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23B47208" w14:textId="77777777" w:rsidTr="005316B0">
        <w:trPr>
          <w:trHeight w:hRule="exact" w:val="851"/>
        </w:trPr>
        <w:tc>
          <w:tcPr>
            <w:tcW w:w="1276" w:type="dxa"/>
            <w:tcBorders>
              <w:bottom w:val="single" w:sz="4" w:space="0" w:color="auto"/>
            </w:tcBorders>
          </w:tcPr>
          <w:p w14:paraId="543AFAD0" w14:textId="77777777" w:rsidR="001433FD" w:rsidRPr="00DB58B5" w:rsidRDefault="001433FD" w:rsidP="0001207F"/>
        </w:tc>
        <w:tc>
          <w:tcPr>
            <w:tcW w:w="2268" w:type="dxa"/>
            <w:tcBorders>
              <w:bottom w:val="single" w:sz="4" w:space="0" w:color="auto"/>
            </w:tcBorders>
            <w:vAlign w:val="bottom"/>
          </w:tcPr>
          <w:p w14:paraId="75B4E662"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F7423A" w14:textId="77777777" w:rsidR="001433FD" w:rsidRPr="00DB58B5" w:rsidRDefault="00453A35" w:rsidP="00453A35">
            <w:pPr>
              <w:jc w:val="right"/>
            </w:pPr>
            <w:r w:rsidRPr="00453A35">
              <w:rPr>
                <w:sz w:val="40"/>
              </w:rPr>
              <w:t>ECE</w:t>
            </w:r>
            <w:r>
              <w:t>/TRANS/WP.15/251</w:t>
            </w:r>
          </w:p>
        </w:tc>
      </w:tr>
      <w:tr w:rsidR="001433FD" w:rsidRPr="00DB58B5" w14:paraId="5ED4C2E5" w14:textId="77777777" w:rsidTr="007D3236">
        <w:trPr>
          <w:trHeight w:hRule="exact" w:val="2835"/>
        </w:trPr>
        <w:tc>
          <w:tcPr>
            <w:tcW w:w="1276" w:type="dxa"/>
            <w:tcBorders>
              <w:top w:val="single" w:sz="4" w:space="0" w:color="auto"/>
              <w:bottom w:val="single" w:sz="12" w:space="0" w:color="auto"/>
            </w:tcBorders>
          </w:tcPr>
          <w:p w14:paraId="5C8750E8" w14:textId="77777777" w:rsidR="001433FD" w:rsidRPr="00DB58B5" w:rsidRDefault="001433FD" w:rsidP="007D3236">
            <w:pPr>
              <w:spacing w:before="120"/>
              <w:jc w:val="center"/>
            </w:pPr>
            <w:r>
              <w:rPr>
                <w:noProof/>
                <w:lang w:eastAsia="fr-CH"/>
              </w:rPr>
              <w:drawing>
                <wp:inline distT="0" distB="0" distL="0" distR="0" wp14:anchorId="45934AA4" wp14:editId="3EA35BDB">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37B05E"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975E90E" w14:textId="77777777" w:rsidR="0001207F" w:rsidRDefault="00453A35" w:rsidP="00453A35">
            <w:pPr>
              <w:spacing w:before="240" w:line="240" w:lineRule="exact"/>
            </w:pPr>
            <w:r>
              <w:t>Distr. générale</w:t>
            </w:r>
          </w:p>
          <w:p w14:paraId="4B7A8EEF" w14:textId="2AE455EB" w:rsidR="00453A35" w:rsidRDefault="00ED32AB" w:rsidP="00453A35">
            <w:pPr>
              <w:spacing w:line="240" w:lineRule="exact"/>
            </w:pPr>
            <w:r>
              <w:t>3</w:t>
            </w:r>
            <w:r w:rsidR="000B0BE4">
              <w:t xml:space="preserve"> décembre</w:t>
            </w:r>
            <w:r w:rsidR="00453A35">
              <w:t xml:space="preserve"> 2020</w:t>
            </w:r>
          </w:p>
          <w:p w14:paraId="37CA404A" w14:textId="15FF5B79" w:rsidR="00453A35" w:rsidRDefault="008565AC" w:rsidP="00453A35">
            <w:pPr>
              <w:spacing w:line="240" w:lineRule="exact"/>
            </w:pPr>
            <w:r>
              <w:t>Français</w:t>
            </w:r>
          </w:p>
          <w:p w14:paraId="65112C13" w14:textId="51D2E90A" w:rsidR="00453A35" w:rsidRPr="00DB58B5" w:rsidRDefault="00453A35" w:rsidP="00453A35">
            <w:pPr>
              <w:spacing w:line="240" w:lineRule="exact"/>
            </w:pPr>
            <w:r>
              <w:t xml:space="preserve">Original : </w:t>
            </w:r>
            <w:r w:rsidR="008565AC">
              <w:t xml:space="preserve">anglais et </w:t>
            </w:r>
            <w:r>
              <w:t>français</w:t>
            </w:r>
          </w:p>
        </w:tc>
      </w:tr>
    </w:tbl>
    <w:p w14:paraId="4DD58953" w14:textId="77777777" w:rsidR="00453A35" w:rsidRDefault="00453A35" w:rsidP="00FD1581">
      <w:pPr>
        <w:spacing w:before="120"/>
        <w:rPr>
          <w:b/>
          <w:sz w:val="28"/>
          <w:szCs w:val="28"/>
        </w:rPr>
      </w:pPr>
      <w:r w:rsidRPr="00883605">
        <w:rPr>
          <w:b/>
          <w:sz w:val="28"/>
          <w:szCs w:val="28"/>
        </w:rPr>
        <w:t>Commission économique pour l’Europe</w:t>
      </w:r>
    </w:p>
    <w:p w14:paraId="140205EE" w14:textId="77777777" w:rsidR="00453A35" w:rsidRPr="00990CE8" w:rsidRDefault="00453A35" w:rsidP="00FD1581">
      <w:pPr>
        <w:spacing w:before="120"/>
        <w:rPr>
          <w:sz w:val="28"/>
          <w:szCs w:val="28"/>
        </w:rPr>
      </w:pPr>
      <w:r w:rsidRPr="00990CE8">
        <w:rPr>
          <w:sz w:val="28"/>
          <w:szCs w:val="28"/>
        </w:rPr>
        <w:t>Comité des transports intérieurs</w:t>
      </w:r>
    </w:p>
    <w:p w14:paraId="2CAA2798" w14:textId="77777777" w:rsidR="00453A35" w:rsidRPr="00990CE8" w:rsidRDefault="00453A35" w:rsidP="00FD1581">
      <w:pPr>
        <w:spacing w:before="120"/>
        <w:rPr>
          <w:b/>
          <w:sz w:val="24"/>
          <w:szCs w:val="24"/>
        </w:rPr>
      </w:pPr>
      <w:r w:rsidRPr="00990CE8">
        <w:rPr>
          <w:b/>
          <w:sz w:val="24"/>
          <w:szCs w:val="24"/>
        </w:rPr>
        <w:t xml:space="preserve">Groupe de travail des transports </w:t>
      </w:r>
      <w:r w:rsidRPr="00990CE8">
        <w:rPr>
          <w:b/>
          <w:sz w:val="24"/>
          <w:szCs w:val="24"/>
        </w:rPr>
        <w:br/>
        <w:t>de marchandises dangereuses</w:t>
      </w:r>
    </w:p>
    <w:p w14:paraId="74F4F8B8" w14:textId="0D19F81D" w:rsidR="00453A35" w:rsidRPr="00A91A7C" w:rsidRDefault="00453A35" w:rsidP="00453A35">
      <w:pPr>
        <w:spacing w:before="120"/>
        <w:rPr>
          <w:b/>
          <w:lang w:val="fr-FR"/>
        </w:rPr>
      </w:pPr>
      <w:r w:rsidRPr="00A91A7C">
        <w:rPr>
          <w:b/>
          <w:lang w:val="fr-FR"/>
        </w:rPr>
        <w:t>10</w:t>
      </w:r>
      <w:r>
        <w:rPr>
          <w:b/>
          <w:lang w:val="fr-FR"/>
        </w:rPr>
        <w:t>8</w:t>
      </w:r>
      <w:r w:rsidRPr="00A91A7C">
        <w:rPr>
          <w:b/>
          <w:vertAlign w:val="superscript"/>
          <w:lang w:val="fr-FR"/>
        </w:rPr>
        <w:t>e</w:t>
      </w:r>
      <w:r w:rsidRPr="00A91A7C">
        <w:rPr>
          <w:b/>
          <w:lang w:val="fr-FR"/>
        </w:rPr>
        <w:t> session</w:t>
      </w:r>
    </w:p>
    <w:p w14:paraId="74F69C35" w14:textId="7583D5BD" w:rsidR="00453A35" w:rsidRPr="00A91A7C" w:rsidRDefault="00453A35" w:rsidP="00453A35">
      <w:pPr>
        <w:rPr>
          <w:lang w:val="fr-FR"/>
        </w:rPr>
      </w:pPr>
      <w:r w:rsidRPr="00A91A7C">
        <w:rPr>
          <w:lang w:val="fr-FR"/>
        </w:rPr>
        <w:t>Genève, 1</w:t>
      </w:r>
      <w:r>
        <w:rPr>
          <w:lang w:val="fr-FR"/>
        </w:rPr>
        <w:t>0</w:t>
      </w:r>
      <w:r w:rsidRPr="00A91A7C">
        <w:rPr>
          <w:lang w:val="fr-FR"/>
        </w:rPr>
        <w:t>-1</w:t>
      </w:r>
      <w:r>
        <w:rPr>
          <w:lang w:val="fr-FR"/>
        </w:rPr>
        <w:t>3</w:t>
      </w:r>
      <w:r w:rsidRPr="00A91A7C">
        <w:rPr>
          <w:lang w:val="fr-FR"/>
        </w:rPr>
        <w:t xml:space="preserve"> novembre 20</w:t>
      </w:r>
      <w:r>
        <w:rPr>
          <w:lang w:val="fr-FR"/>
        </w:rPr>
        <w:t>20</w:t>
      </w:r>
    </w:p>
    <w:p w14:paraId="33D396B7" w14:textId="76F52813" w:rsidR="00453A35" w:rsidRPr="00A91A7C" w:rsidRDefault="00453A35" w:rsidP="00453A35">
      <w:pPr>
        <w:pStyle w:val="HChG"/>
        <w:rPr>
          <w:lang w:val="fr-FR"/>
        </w:rPr>
      </w:pPr>
      <w:r w:rsidRPr="00A91A7C">
        <w:rPr>
          <w:lang w:val="fr-FR"/>
        </w:rPr>
        <w:tab/>
      </w:r>
      <w:r w:rsidRPr="00A91A7C">
        <w:rPr>
          <w:lang w:val="fr-FR"/>
        </w:rPr>
        <w:tab/>
        <w:t>Rapport du Groupe de travail sur sa 10</w:t>
      </w:r>
      <w:r>
        <w:rPr>
          <w:lang w:val="fr-FR"/>
        </w:rPr>
        <w:t>8</w:t>
      </w:r>
      <w:r w:rsidRPr="00A91A7C">
        <w:rPr>
          <w:vertAlign w:val="superscript"/>
          <w:lang w:val="fr-FR"/>
        </w:rPr>
        <w:t>e</w:t>
      </w:r>
      <w:r w:rsidRPr="00A91A7C">
        <w:rPr>
          <w:lang w:val="fr-FR"/>
        </w:rPr>
        <w:t xml:space="preserve"> session</w:t>
      </w:r>
      <w:bookmarkStart w:id="0" w:name="_Toc499903628"/>
      <w:bookmarkEnd w:id="0"/>
    </w:p>
    <w:p w14:paraId="5749AEE4" w14:textId="77B30EC2" w:rsidR="00453A35" w:rsidRDefault="00453A35" w:rsidP="00453A35">
      <w:pPr>
        <w:pStyle w:val="H56G"/>
        <w:rPr>
          <w:lang w:val="fr-FR"/>
        </w:rPr>
      </w:pPr>
      <w:r w:rsidRPr="00A91A7C">
        <w:rPr>
          <w:lang w:val="fr-FR"/>
        </w:rPr>
        <w:tab/>
      </w:r>
      <w:r w:rsidRPr="00A91A7C">
        <w:rPr>
          <w:lang w:val="fr-FR"/>
        </w:rPr>
        <w:tab/>
        <w:t>tenue à Genève du 1</w:t>
      </w:r>
      <w:r>
        <w:rPr>
          <w:lang w:val="fr-FR"/>
        </w:rPr>
        <w:t>0</w:t>
      </w:r>
      <w:r w:rsidRPr="00A91A7C">
        <w:rPr>
          <w:lang w:val="fr-FR"/>
        </w:rPr>
        <w:t xml:space="preserve"> au 1</w:t>
      </w:r>
      <w:r>
        <w:rPr>
          <w:lang w:val="fr-FR"/>
        </w:rPr>
        <w:t>3</w:t>
      </w:r>
      <w:r w:rsidRPr="00A91A7C">
        <w:rPr>
          <w:lang w:val="fr-FR"/>
        </w:rPr>
        <w:t xml:space="preserve"> novembre 20</w:t>
      </w:r>
      <w:r>
        <w:rPr>
          <w:lang w:val="fr-FR"/>
        </w:rPr>
        <w:t>20</w:t>
      </w:r>
    </w:p>
    <w:p w14:paraId="55AB9CAE" w14:textId="77777777" w:rsidR="000B0BE4" w:rsidRPr="00F51ECD" w:rsidRDefault="000B0BE4" w:rsidP="006E5E26">
      <w:pPr>
        <w:spacing w:after="120"/>
        <w:rPr>
          <w:sz w:val="28"/>
        </w:rPr>
      </w:pPr>
      <w:r w:rsidRPr="00F51ECD">
        <w:rPr>
          <w:sz w:val="28"/>
        </w:rPr>
        <w:t>Table des matières</w:t>
      </w:r>
    </w:p>
    <w:p w14:paraId="3D55C8A0" w14:textId="27BDC370" w:rsidR="00386464" w:rsidRDefault="00386464" w:rsidP="00386464">
      <w:pPr>
        <w:tabs>
          <w:tab w:val="right" w:pos="8929"/>
          <w:tab w:val="right" w:pos="9638"/>
        </w:tabs>
        <w:spacing w:after="120"/>
        <w:ind w:left="283"/>
      </w:pPr>
      <w:r>
        <w:rPr>
          <w:i/>
          <w:sz w:val="18"/>
        </w:rPr>
        <w:tab/>
        <w:t>Paragraph</w:t>
      </w:r>
      <w:r w:rsidR="00FC46D2">
        <w:rPr>
          <w:i/>
          <w:sz w:val="18"/>
        </w:rPr>
        <w:t>e</w:t>
      </w:r>
      <w:r>
        <w:rPr>
          <w:i/>
          <w:sz w:val="18"/>
        </w:rPr>
        <w:t>s</w:t>
      </w:r>
      <w:r>
        <w:rPr>
          <w:i/>
          <w:sz w:val="18"/>
        </w:rPr>
        <w:tab/>
        <w:t>Page</w:t>
      </w:r>
    </w:p>
    <w:p w14:paraId="1EFE8435" w14:textId="7C3A578C" w:rsidR="00386464" w:rsidRDefault="00386464" w:rsidP="00386464">
      <w:pPr>
        <w:tabs>
          <w:tab w:val="right" w:pos="850"/>
          <w:tab w:val="left" w:pos="1134"/>
          <w:tab w:val="left" w:pos="1559"/>
          <w:tab w:val="left" w:pos="1984"/>
          <w:tab w:val="left" w:leader="dot" w:pos="7654"/>
          <w:tab w:val="right" w:pos="8929"/>
          <w:tab w:val="right" w:pos="9638"/>
        </w:tabs>
        <w:spacing w:after="120"/>
      </w:pPr>
      <w:r w:rsidRPr="00E552FA">
        <w:tab/>
        <w:t>I.</w:t>
      </w:r>
      <w:r w:rsidRPr="00E552FA">
        <w:tab/>
      </w:r>
      <w:r w:rsidR="002D7A89">
        <w:t>Questions d’organisation et p</w:t>
      </w:r>
      <w:r w:rsidR="002D7A89" w:rsidRPr="00F12E1F">
        <w:t>articipation</w:t>
      </w:r>
      <w:r w:rsidRPr="00E552FA">
        <w:tab/>
      </w:r>
      <w:r w:rsidRPr="00E552FA">
        <w:tab/>
        <w:t>1</w:t>
      </w:r>
      <w:r>
        <w:tab/>
        <w:t>3</w:t>
      </w:r>
    </w:p>
    <w:p w14:paraId="2522B62E" w14:textId="06B9EDB1"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tab/>
      </w:r>
      <w:r>
        <w:tab/>
      </w:r>
      <w:r w:rsidRPr="00E552FA">
        <w:t>A.</w:t>
      </w:r>
      <w:r w:rsidRPr="00E552FA">
        <w:tab/>
      </w:r>
      <w:r w:rsidR="00A41011">
        <w:t>Questions d’organisation</w:t>
      </w:r>
      <w:r w:rsidRPr="00E552FA">
        <w:tab/>
      </w:r>
      <w:r w:rsidRPr="00E552FA">
        <w:tab/>
      </w:r>
      <w:r>
        <w:t>2-4</w:t>
      </w:r>
      <w:r>
        <w:tab/>
        <w:t>3</w:t>
      </w:r>
    </w:p>
    <w:p w14:paraId="3FB3BCC8" w14:textId="32EE2931" w:rsidR="00386464" w:rsidRPr="008955F5" w:rsidRDefault="00386464" w:rsidP="00386464">
      <w:pPr>
        <w:tabs>
          <w:tab w:val="right" w:pos="850"/>
          <w:tab w:val="left" w:pos="1134"/>
          <w:tab w:val="left" w:pos="1559"/>
          <w:tab w:val="left" w:pos="1984"/>
          <w:tab w:val="left" w:leader="dot" w:pos="7654"/>
          <w:tab w:val="right" w:pos="8929"/>
          <w:tab w:val="right" w:pos="9638"/>
        </w:tabs>
        <w:spacing w:after="120"/>
        <w:rPr>
          <w:b/>
          <w:bCs/>
        </w:rPr>
      </w:pPr>
      <w:r>
        <w:rPr>
          <w:rFonts w:eastAsia="SimSun"/>
        </w:rPr>
        <w:tab/>
      </w:r>
      <w:r>
        <w:rPr>
          <w:rFonts w:eastAsia="SimSun"/>
        </w:rPr>
        <w:tab/>
      </w:r>
      <w:r w:rsidRPr="007A297D">
        <w:rPr>
          <w:rFonts w:eastAsia="SimSun"/>
        </w:rPr>
        <w:t>B.</w:t>
      </w:r>
      <w:r w:rsidRPr="007A297D">
        <w:rPr>
          <w:rFonts w:eastAsia="SimSun"/>
        </w:rPr>
        <w:tab/>
      </w:r>
      <w:r w:rsidR="00F037E0">
        <w:t>Participation</w:t>
      </w:r>
      <w:r>
        <w:rPr>
          <w:rFonts w:eastAsia="SimSun"/>
        </w:rPr>
        <w:tab/>
      </w:r>
      <w:r>
        <w:rPr>
          <w:rFonts w:eastAsia="SimSun"/>
        </w:rPr>
        <w:tab/>
        <w:t>5-9</w:t>
      </w:r>
      <w:r>
        <w:rPr>
          <w:rFonts w:eastAsia="SimSun"/>
        </w:rPr>
        <w:tab/>
        <w:t>3</w:t>
      </w:r>
    </w:p>
    <w:p w14:paraId="6D5E15BA" w14:textId="3D985B65"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sidRPr="00E552FA">
        <w:tab/>
        <w:t>II.</w:t>
      </w:r>
      <w:r w:rsidRPr="00E552FA">
        <w:tab/>
      </w:r>
      <w:r w:rsidR="003755B3" w:rsidRPr="00047D1A">
        <w:rPr>
          <w:lang w:val="fr-FR"/>
        </w:rPr>
        <w:t>Adoption de l’ordre du jour (point 1 de l’ordre du jour)</w:t>
      </w:r>
      <w:r w:rsidRPr="00E552FA">
        <w:tab/>
      </w:r>
      <w:r w:rsidRPr="00E552FA">
        <w:tab/>
      </w:r>
      <w:r>
        <w:t>10</w:t>
      </w:r>
      <w:r>
        <w:tab/>
      </w:r>
      <w:r w:rsidR="00673D41">
        <w:t>4</w:t>
      </w:r>
    </w:p>
    <w:p w14:paraId="4D746EF0" w14:textId="134110F8"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sidRPr="00E552FA">
        <w:tab/>
        <w:t>III.</w:t>
      </w:r>
      <w:r w:rsidRPr="00E552FA">
        <w:tab/>
      </w:r>
      <w:r w:rsidR="0043791A">
        <w:rPr>
          <w:lang w:val="fr-FR"/>
        </w:rPr>
        <w:t>Quatre-vingt-deuxième session du Comité des transports intérieurs</w:t>
      </w:r>
      <w:r w:rsidR="0043791A" w:rsidRPr="00047D1A">
        <w:rPr>
          <w:lang w:val="fr-FR"/>
        </w:rPr>
        <w:t xml:space="preserve"> </w:t>
      </w:r>
      <w:r w:rsidR="00264ADF">
        <w:rPr>
          <w:lang w:val="fr-FR"/>
        </w:rPr>
        <w:br/>
      </w:r>
      <w:r w:rsidR="00264ADF">
        <w:rPr>
          <w:lang w:val="fr-FR"/>
        </w:rPr>
        <w:tab/>
      </w:r>
      <w:r w:rsidR="00264ADF">
        <w:rPr>
          <w:lang w:val="fr-FR"/>
        </w:rPr>
        <w:tab/>
      </w:r>
      <w:r w:rsidR="0043791A" w:rsidRPr="00047D1A">
        <w:rPr>
          <w:lang w:val="fr-FR"/>
        </w:rPr>
        <w:t xml:space="preserve">(point </w:t>
      </w:r>
      <w:r w:rsidR="0043791A">
        <w:rPr>
          <w:lang w:val="fr-FR"/>
        </w:rPr>
        <w:t>2</w:t>
      </w:r>
      <w:r w:rsidR="0043791A" w:rsidRPr="00047D1A">
        <w:rPr>
          <w:lang w:val="fr-FR"/>
        </w:rPr>
        <w:t xml:space="preserve"> de l’ordre du jour)</w:t>
      </w:r>
      <w:r w:rsidRPr="00E552FA">
        <w:tab/>
      </w:r>
      <w:r w:rsidRPr="00E552FA">
        <w:tab/>
      </w:r>
      <w:r>
        <w:t>11-14</w:t>
      </w:r>
      <w:r>
        <w:tab/>
        <w:t>4</w:t>
      </w:r>
    </w:p>
    <w:p w14:paraId="06D0DC76" w14:textId="20B11CC6"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sidRPr="00E552FA">
        <w:tab/>
        <w:t>IV.</w:t>
      </w:r>
      <w:r w:rsidRPr="00E552FA">
        <w:tab/>
      </w:r>
      <w:r w:rsidR="008D20CB" w:rsidRPr="003E35AF">
        <w:rPr>
          <w:lang w:val="fr-FR"/>
        </w:rPr>
        <w:t xml:space="preserve">État de l’Accord européen relatif au transport international des marchandises </w:t>
      </w:r>
      <w:r w:rsidR="008D20CB">
        <w:rPr>
          <w:lang w:val="fr-FR"/>
        </w:rPr>
        <w:br/>
      </w:r>
      <w:r w:rsidR="008D20CB">
        <w:rPr>
          <w:lang w:val="fr-FR"/>
        </w:rPr>
        <w:tab/>
      </w:r>
      <w:r w:rsidR="008D20CB">
        <w:rPr>
          <w:lang w:val="fr-FR"/>
        </w:rPr>
        <w:tab/>
      </w:r>
      <w:r w:rsidR="008D20CB" w:rsidRPr="003E35AF">
        <w:rPr>
          <w:lang w:val="fr-FR"/>
        </w:rPr>
        <w:t>dangereuses par route (ADR) et questions connexes</w:t>
      </w:r>
      <w:r w:rsidR="008D20CB">
        <w:rPr>
          <w:lang w:val="fr-FR"/>
        </w:rPr>
        <w:t xml:space="preserve"> </w:t>
      </w:r>
      <w:r w:rsidR="008D20CB" w:rsidRPr="005B2C1D">
        <w:t xml:space="preserve">(point </w:t>
      </w:r>
      <w:r w:rsidR="008D20CB">
        <w:t>3</w:t>
      </w:r>
      <w:r w:rsidR="008D20CB" w:rsidRPr="005B2C1D">
        <w:t xml:space="preserve"> de l</w:t>
      </w:r>
      <w:r w:rsidR="008D20CB">
        <w:t>’</w:t>
      </w:r>
      <w:r w:rsidR="008D20CB" w:rsidRPr="005B2C1D">
        <w:t>ordre du jour)</w:t>
      </w:r>
      <w:r w:rsidRPr="00E552FA">
        <w:tab/>
      </w:r>
      <w:r w:rsidRPr="00E552FA">
        <w:tab/>
      </w:r>
      <w:r>
        <w:t>15-19</w:t>
      </w:r>
      <w:r>
        <w:tab/>
        <w:t>4</w:t>
      </w:r>
    </w:p>
    <w:p w14:paraId="15A6443B" w14:textId="706D63A1"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sidRPr="00E552FA">
        <w:tab/>
        <w:t>V.</w:t>
      </w:r>
      <w:r w:rsidRPr="00E552FA">
        <w:tab/>
      </w:r>
      <w:r w:rsidR="00B06E87" w:rsidRPr="00A91A7C">
        <w:rPr>
          <w:lang w:val="fr-FR"/>
        </w:rPr>
        <w:t>Travaux de la Réunion commune RID/ADR/ADN (point 4 de l’ordre du jour)</w:t>
      </w:r>
      <w:r w:rsidRPr="00E552FA">
        <w:tab/>
      </w:r>
      <w:r w:rsidRPr="00E552FA">
        <w:tab/>
      </w:r>
      <w:r>
        <w:t>20-22</w:t>
      </w:r>
      <w:r>
        <w:tab/>
        <w:t>5</w:t>
      </w:r>
    </w:p>
    <w:p w14:paraId="2694491A" w14:textId="016B3B67"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sidRPr="00E552FA">
        <w:tab/>
        <w:t>VI.</w:t>
      </w:r>
      <w:r w:rsidRPr="00E552FA">
        <w:tab/>
      </w:r>
      <w:r w:rsidR="00312994" w:rsidRPr="00312994">
        <w:rPr>
          <w:lang w:val="fr-FR"/>
        </w:rPr>
        <w:t xml:space="preserve">Propositions d’amendements aux annexes A et B de l’ADR </w:t>
      </w:r>
      <w:r w:rsidR="00312994">
        <w:rPr>
          <w:lang w:val="fr-FR"/>
        </w:rPr>
        <w:br/>
      </w:r>
      <w:r w:rsidR="00312994">
        <w:rPr>
          <w:lang w:val="fr-FR"/>
        </w:rPr>
        <w:tab/>
      </w:r>
      <w:r w:rsidR="00312994">
        <w:rPr>
          <w:lang w:val="fr-FR"/>
        </w:rPr>
        <w:tab/>
      </w:r>
      <w:r w:rsidR="00312994" w:rsidRPr="00312994">
        <w:rPr>
          <w:lang w:val="fr-FR"/>
        </w:rPr>
        <w:t>(point 5 de l’ordre du jour)</w:t>
      </w:r>
      <w:r w:rsidRPr="00312994">
        <w:rPr>
          <w:lang w:val="fr-FR"/>
        </w:rPr>
        <w:tab/>
      </w:r>
      <w:r w:rsidRPr="00E552FA">
        <w:tab/>
      </w:r>
      <w:r>
        <w:t>23-43</w:t>
      </w:r>
      <w:r>
        <w:tab/>
        <w:t>5</w:t>
      </w:r>
    </w:p>
    <w:p w14:paraId="21C530BB" w14:textId="47D476B5"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tab/>
      </w:r>
      <w:r>
        <w:tab/>
      </w:r>
      <w:r w:rsidRPr="00E552FA">
        <w:t>A.</w:t>
      </w:r>
      <w:r w:rsidRPr="00E552FA">
        <w:tab/>
      </w:r>
      <w:r w:rsidR="00255959" w:rsidRPr="00255959">
        <w:t>Construction et agrément des véhicules</w:t>
      </w:r>
      <w:r w:rsidRPr="00E552FA">
        <w:tab/>
      </w:r>
      <w:r w:rsidRPr="00E552FA">
        <w:tab/>
      </w:r>
      <w:r>
        <w:t>23-26</w:t>
      </w:r>
      <w:r>
        <w:tab/>
        <w:t>5</w:t>
      </w:r>
    </w:p>
    <w:p w14:paraId="24EB37F3" w14:textId="661AEF96"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rPr>
          <w:lang w:eastAsia="fr-FR"/>
        </w:rPr>
      </w:pPr>
      <w:r>
        <w:tab/>
      </w:r>
      <w:r>
        <w:tab/>
      </w:r>
      <w:r>
        <w:tab/>
      </w:r>
      <w:r w:rsidRPr="00E552FA">
        <w:t>1.</w:t>
      </w:r>
      <w:r w:rsidRPr="00E552FA">
        <w:tab/>
      </w:r>
      <w:r w:rsidR="001E74E9" w:rsidRPr="00880CB0">
        <w:rPr>
          <w:lang w:eastAsia="fr-FR"/>
        </w:rPr>
        <w:t>Protection arrière des véhicules</w:t>
      </w:r>
      <w:r w:rsidRPr="00E552FA">
        <w:rPr>
          <w:lang w:eastAsia="fr-FR"/>
        </w:rPr>
        <w:tab/>
      </w:r>
      <w:r w:rsidRPr="00E552FA">
        <w:rPr>
          <w:lang w:eastAsia="fr-FR"/>
        </w:rPr>
        <w:tab/>
      </w:r>
      <w:r>
        <w:rPr>
          <w:lang w:eastAsia="fr-FR"/>
        </w:rPr>
        <w:t>23-24</w:t>
      </w:r>
      <w:r>
        <w:rPr>
          <w:lang w:eastAsia="fr-FR"/>
        </w:rPr>
        <w:tab/>
        <w:t>5</w:t>
      </w:r>
    </w:p>
    <w:p w14:paraId="6ECE19BA" w14:textId="125AC3A9"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Pr>
          <w:lang w:eastAsia="fr-FR"/>
        </w:rPr>
        <w:tab/>
      </w:r>
      <w:r>
        <w:rPr>
          <w:lang w:eastAsia="fr-FR"/>
        </w:rPr>
        <w:tab/>
      </w:r>
      <w:r>
        <w:rPr>
          <w:lang w:eastAsia="fr-FR"/>
        </w:rPr>
        <w:tab/>
      </w:r>
      <w:r w:rsidRPr="00E552FA">
        <w:rPr>
          <w:lang w:eastAsia="fr-FR"/>
        </w:rPr>
        <w:t>2.</w:t>
      </w:r>
      <w:r w:rsidRPr="00E552FA">
        <w:rPr>
          <w:lang w:eastAsia="fr-FR"/>
        </w:rPr>
        <w:tab/>
      </w:r>
      <w:r w:rsidR="00625804" w:rsidRPr="00880CB0">
        <w:rPr>
          <w:lang w:eastAsia="fr-FR"/>
        </w:rPr>
        <w:t xml:space="preserve">Groupe de travail sur l'utilisation des véhicules électriques </w:t>
      </w:r>
      <w:r w:rsidR="00625804" w:rsidRPr="00880CB0">
        <w:rPr>
          <w:lang w:eastAsia="fr-FR"/>
        </w:rPr>
        <w:br/>
      </w:r>
      <w:r w:rsidR="00625804" w:rsidRPr="00880CB0">
        <w:rPr>
          <w:lang w:eastAsia="fr-FR"/>
        </w:rPr>
        <w:tab/>
      </w:r>
      <w:r w:rsidR="00625804" w:rsidRPr="00880CB0">
        <w:rPr>
          <w:lang w:eastAsia="fr-FR"/>
        </w:rPr>
        <w:tab/>
      </w:r>
      <w:r w:rsidR="00625804" w:rsidRPr="00880CB0">
        <w:rPr>
          <w:lang w:eastAsia="fr-FR"/>
        </w:rPr>
        <w:tab/>
      </w:r>
      <w:r w:rsidR="00625804" w:rsidRPr="00880CB0">
        <w:rPr>
          <w:lang w:eastAsia="fr-FR"/>
        </w:rPr>
        <w:tab/>
        <w:t xml:space="preserve">à batterie et des véhicules à pile à hydrogène pour le transport </w:t>
      </w:r>
      <w:r w:rsidR="00625804" w:rsidRPr="00880CB0">
        <w:rPr>
          <w:lang w:eastAsia="fr-FR"/>
        </w:rPr>
        <w:br/>
      </w:r>
      <w:r w:rsidR="00625804" w:rsidRPr="00880CB0">
        <w:rPr>
          <w:lang w:eastAsia="fr-FR"/>
        </w:rPr>
        <w:tab/>
      </w:r>
      <w:r w:rsidR="00625804" w:rsidRPr="00880CB0">
        <w:rPr>
          <w:lang w:eastAsia="fr-FR"/>
        </w:rPr>
        <w:tab/>
      </w:r>
      <w:r w:rsidR="00625804" w:rsidRPr="00880CB0">
        <w:rPr>
          <w:lang w:eastAsia="fr-FR"/>
        </w:rPr>
        <w:tab/>
      </w:r>
      <w:r w:rsidR="00625804" w:rsidRPr="00880CB0">
        <w:rPr>
          <w:lang w:eastAsia="fr-FR"/>
        </w:rPr>
        <w:tab/>
        <w:t>de marchandises dangereuses</w:t>
      </w:r>
      <w:r w:rsidRPr="00E552FA">
        <w:tab/>
      </w:r>
      <w:r>
        <w:tab/>
        <w:t>25-26</w:t>
      </w:r>
      <w:r>
        <w:tab/>
        <w:t>5</w:t>
      </w:r>
    </w:p>
    <w:p w14:paraId="73BDD41A" w14:textId="5C137DE8"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tab/>
      </w:r>
      <w:r>
        <w:tab/>
      </w:r>
      <w:r w:rsidRPr="00E552FA">
        <w:t>B.</w:t>
      </w:r>
      <w:r w:rsidRPr="00E552FA">
        <w:tab/>
      </w:r>
      <w:r w:rsidR="00993D5D" w:rsidRPr="00880CB0">
        <w:rPr>
          <w:lang w:val="fr-FR"/>
        </w:rPr>
        <w:t>Propositions diverses</w:t>
      </w:r>
      <w:r w:rsidRPr="00E552FA">
        <w:tab/>
      </w:r>
      <w:r w:rsidRPr="00E552FA">
        <w:tab/>
      </w:r>
      <w:r>
        <w:t>27-43</w:t>
      </w:r>
      <w:r>
        <w:tab/>
        <w:t>6</w:t>
      </w:r>
    </w:p>
    <w:p w14:paraId="547EDA10" w14:textId="602B3811"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rPr>
          <w:lang w:eastAsia="fr-FR"/>
        </w:rPr>
      </w:pPr>
      <w:r>
        <w:tab/>
      </w:r>
      <w:r>
        <w:tab/>
      </w:r>
      <w:r>
        <w:tab/>
      </w:r>
      <w:r w:rsidRPr="00E552FA">
        <w:t>1.</w:t>
      </w:r>
      <w:r w:rsidRPr="00E552FA">
        <w:tab/>
      </w:r>
      <w:r w:rsidR="00E13241" w:rsidRPr="00880CB0">
        <w:rPr>
          <w:lang w:eastAsia="fr-FR"/>
        </w:rPr>
        <w:t>Transport sous régulation de température</w:t>
      </w:r>
      <w:r w:rsidRPr="00E552FA">
        <w:rPr>
          <w:lang w:eastAsia="fr-FR"/>
        </w:rPr>
        <w:tab/>
      </w:r>
      <w:r w:rsidRPr="00E552FA">
        <w:rPr>
          <w:lang w:eastAsia="fr-FR"/>
        </w:rPr>
        <w:tab/>
      </w:r>
      <w:r>
        <w:rPr>
          <w:lang w:eastAsia="fr-FR"/>
        </w:rPr>
        <w:t>27-28</w:t>
      </w:r>
      <w:r>
        <w:rPr>
          <w:lang w:eastAsia="fr-FR"/>
        </w:rPr>
        <w:tab/>
        <w:t>6</w:t>
      </w:r>
    </w:p>
    <w:p w14:paraId="218071F4" w14:textId="67E18187"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rPr>
          <w:lang w:eastAsia="fr-FR"/>
        </w:rPr>
      </w:pPr>
      <w:r>
        <w:rPr>
          <w:lang w:eastAsia="fr-FR"/>
        </w:rPr>
        <w:tab/>
      </w:r>
      <w:r>
        <w:rPr>
          <w:lang w:eastAsia="fr-FR"/>
        </w:rPr>
        <w:tab/>
      </w:r>
      <w:r>
        <w:rPr>
          <w:lang w:eastAsia="fr-FR"/>
        </w:rPr>
        <w:tab/>
      </w:r>
      <w:r w:rsidRPr="00E552FA">
        <w:rPr>
          <w:lang w:eastAsia="fr-FR"/>
        </w:rPr>
        <w:t>2.</w:t>
      </w:r>
      <w:r w:rsidRPr="00E552FA">
        <w:rPr>
          <w:lang w:eastAsia="fr-FR"/>
        </w:rPr>
        <w:tab/>
      </w:r>
      <w:r w:rsidR="00561057" w:rsidRPr="00880CB0">
        <w:rPr>
          <w:lang w:eastAsia="fr-FR"/>
        </w:rPr>
        <w:t xml:space="preserve">Information sur les restrictions en tunnels applicables aux numéros </w:t>
      </w:r>
      <w:r w:rsidR="00561057" w:rsidRPr="00880CB0">
        <w:rPr>
          <w:lang w:eastAsia="fr-FR"/>
        </w:rPr>
        <w:br/>
      </w:r>
      <w:r w:rsidR="00561057" w:rsidRPr="00880CB0">
        <w:rPr>
          <w:lang w:eastAsia="fr-FR"/>
        </w:rPr>
        <w:tab/>
      </w:r>
      <w:r w:rsidR="00561057" w:rsidRPr="00880CB0">
        <w:rPr>
          <w:lang w:eastAsia="fr-FR"/>
        </w:rPr>
        <w:tab/>
      </w:r>
      <w:r w:rsidR="00561057" w:rsidRPr="00880CB0">
        <w:rPr>
          <w:lang w:eastAsia="fr-FR"/>
        </w:rPr>
        <w:tab/>
      </w:r>
      <w:r w:rsidR="00561057" w:rsidRPr="00880CB0">
        <w:rPr>
          <w:lang w:eastAsia="fr-FR"/>
        </w:rPr>
        <w:tab/>
        <w:t>ONU 2919 et 3331 dans le document de transport</w:t>
      </w:r>
      <w:r w:rsidRPr="00E552FA">
        <w:rPr>
          <w:lang w:eastAsia="fr-FR"/>
        </w:rPr>
        <w:tab/>
      </w:r>
      <w:r w:rsidRPr="00E552FA">
        <w:rPr>
          <w:lang w:eastAsia="fr-FR"/>
        </w:rPr>
        <w:tab/>
      </w:r>
      <w:r>
        <w:rPr>
          <w:lang w:eastAsia="fr-FR"/>
        </w:rPr>
        <w:t>29</w:t>
      </w:r>
      <w:r>
        <w:rPr>
          <w:lang w:eastAsia="fr-FR"/>
        </w:rPr>
        <w:tab/>
        <w:t>6</w:t>
      </w:r>
    </w:p>
    <w:p w14:paraId="57A064D2" w14:textId="6D1CDF3D"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Pr>
          <w:lang w:eastAsia="fr-FR"/>
        </w:rPr>
        <w:tab/>
      </w:r>
      <w:r>
        <w:rPr>
          <w:lang w:eastAsia="fr-FR"/>
        </w:rPr>
        <w:tab/>
      </w:r>
      <w:r>
        <w:rPr>
          <w:lang w:eastAsia="fr-FR"/>
        </w:rPr>
        <w:tab/>
      </w:r>
      <w:r w:rsidRPr="00E552FA">
        <w:rPr>
          <w:lang w:eastAsia="fr-FR"/>
        </w:rPr>
        <w:t>3.</w:t>
      </w:r>
      <w:r w:rsidRPr="00E552FA">
        <w:rPr>
          <w:lang w:eastAsia="fr-FR"/>
        </w:rPr>
        <w:tab/>
      </w:r>
      <w:r w:rsidR="00EF51F9" w:rsidRPr="00880CB0">
        <w:rPr>
          <w:lang w:eastAsia="fr-FR"/>
        </w:rPr>
        <w:t xml:space="preserve">Application du code de restriction en tunnels pour </w:t>
      </w:r>
      <w:r w:rsidR="00EF51F9" w:rsidRPr="00880CB0">
        <w:rPr>
          <w:lang w:eastAsia="fr-FR"/>
        </w:rPr>
        <w:br/>
      </w:r>
      <w:r w:rsidR="00EF51F9" w:rsidRPr="00880CB0">
        <w:rPr>
          <w:lang w:eastAsia="fr-FR"/>
        </w:rPr>
        <w:tab/>
      </w:r>
      <w:r w:rsidR="00EF51F9" w:rsidRPr="00880CB0">
        <w:rPr>
          <w:lang w:eastAsia="fr-FR"/>
        </w:rPr>
        <w:tab/>
      </w:r>
      <w:r w:rsidR="00EF51F9" w:rsidRPr="00880CB0">
        <w:rPr>
          <w:lang w:eastAsia="fr-FR"/>
        </w:rPr>
        <w:tab/>
      </w:r>
      <w:r w:rsidR="00EF51F9" w:rsidRPr="00880CB0">
        <w:rPr>
          <w:lang w:eastAsia="fr-FR"/>
        </w:rPr>
        <w:tab/>
        <w:t>les emballages vides</w:t>
      </w:r>
      <w:r w:rsidRPr="00E552FA">
        <w:tab/>
      </w:r>
      <w:r w:rsidRPr="00E552FA">
        <w:tab/>
      </w:r>
      <w:r>
        <w:t>30</w:t>
      </w:r>
      <w:r>
        <w:tab/>
        <w:t>6</w:t>
      </w:r>
    </w:p>
    <w:p w14:paraId="3F48BB8F" w14:textId="3BDE1BFB"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rPr>
          <w:lang w:eastAsia="fr-FR"/>
        </w:rPr>
      </w:pPr>
      <w:r>
        <w:lastRenderedPageBreak/>
        <w:tab/>
      </w:r>
      <w:r>
        <w:tab/>
      </w:r>
      <w:r>
        <w:tab/>
      </w:r>
      <w:r w:rsidRPr="00E552FA">
        <w:t>4.</w:t>
      </w:r>
      <w:r w:rsidRPr="00E552FA">
        <w:tab/>
      </w:r>
      <w:r w:rsidR="00600C72" w:rsidRPr="00880CB0">
        <w:rPr>
          <w:lang w:eastAsia="fr-FR"/>
        </w:rPr>
        <w:t xml:space="preserve">Suppression du code de restriction en tunnels pour </w:t>
      </w:r>
      <w:r w:rsidR="00600C72" w:rsidRPr="00880CB0">
        <w:rPr>
          <w:lang w:eastAsia="fr-FR"/>
        </w:rPr>
        <w:br/>
      </w:r>
      <w:r w:rsidR="00600C72" w:rsidRPr="00880CB0">
        <w:rPr>
          <w:lang w:eastAsia="fr-FR"/>
        </w:rPr>
        <w:tab/>
      </w:r>
      <w:r w:rsidR="00600C72" w:rsidRPr="00880CB0">
        <w:rPr>
          <w:lang w:eastAsia="fr-FR"/>
        </w:rPr>
        <w:tab/>
      </w:r>
      <w:r w:rsidR="00600C72" w:rsidRPr="00880CB0">
        <w:rPr>
          <w:lang w:eastAsia="fr-FR"/>
        </w:rPr>
        <w:tab/>
      </w:r>
      <w:r w:rsidR="00600C72" w:rsidRPr="00880CB0">
        <w:rPr>
          <w:lang w:eastAsia="fr-FR"/>
        </w:rPr>
        <w:tab/>
        <w:t>les colis exceptés (Nos ONU 2908 à 2911)</w:t>
      </w:r>
      <w:r w:rsidRPr="00E552FA">
        <w:rPr>
          <w:lang w:eastAsia="fr-FR"/>
        </w:rPr>
        <w:tab/>
      </w:r>
      <w:r w:rsidRPr="00E552FA">
        <w:rPr>
          <w:lang w:eastAsia="fr-FR"/>
        </w:rPr>
        <w:tab/>
      </w:r>
      <w:r>
        <w:rPr>
          <w:lang w:eastAsia="fr-FR"/>
        </w:rPr>
        <w:t>31</w:t>
      </w:r>
      <w:r>
        <w:rPr>
          <w:lang w:eastAsia="fr-FR"/>
        </w:rPr>
        <w:tab/>
        <w:t>6</w:t>
      </w:r>
    </w:p>
    <w:p w14:paraId="64502CAC" w14:textId="539CEB48"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rPr>
          <w:lang w:eastAsia="fr-FR"/>
        </w:rPr>
      </w:pPr>
      <w:r>
        <w:rPr>
          <w:lang w:eastAsia="fr-FR"/>
        </w:rPr>
        <w:tab/>
      </w:r>
      <w:r>
        <w:rPr>
          <w:lang w:eastAsia="fr-FR"/>
        </w:rPr>
        <w:tab/>
      </w:r>
      <w:r>
        <w:rPr>
          <w:lang w:eastAsia="fr-FR"/>
        </w:rPr>
        <w:tab/>
      </w:r>
      <w:r w:rsidRPr="00E552FA">
        <w:rPr>
          <w:lang w:eastAsia="fr-FR"/>
        </w:rPr>
        <w:t>5.</w:t>
      </w:r>
      <w:r w:rsidRPr="00E552FA">
        <w:rPr>
          <w:lang w:eastAsia="fr-FR"/>
        </w:rPr>
        <w:tab/>
      </w:r>
      <w:r w:rsidR="00605C69" w:rsidRPr="00880CB0">
        <w:rPr>
          <w:lang w:eastAsia="fr-FR"/>
        </w:rPr>
        <w:t xml:space="preserve">Clarification des règles relatives au transport des véhicules électriques </w:t>
      </w:r>
      <w:r w:rsidR="00605C69" w:rsidRPr="00880CB0">
        <w:rPr>
          <w:lang w:eastAsia="fr-FR"/>
        </w:rPr>
        <w:br/>
      </w:r>
      <w:r w:rsidR="00605C69" w:rsidRPr="00880CB0">
        <w:rPr>
          <w:lang w:eastAsia="fr-FR"/>
        </w:rPr>
        <w:tab/>
      </w:r>
      <w:r w:rsidR="00605C69" w:rsidRPr="00880CB0">
        <w:rPr>
          <w:lang w:eastAsia="fr-FR"/>
        </w:rPr>
        <w:tab/>
      </w:r>
      <w:r w:rsidR="00605C69" w:rsidRPr="00880CB0">
        <w:rPr>
          <w:lang w:eastAsia="fr-FR"/>
        </w:rPr>
        <w:tab/>
      </w:r>
      <w:r w:rsidR="00605C69" w:rsidRPr="00880CB0">
        <w:rPr>
          <w:lang w:eastAsia="fr-FR"/>
        </w:rPr>
        <w:tab/>
        <w:t xml:space="preserve">à batterie et des véhicules hybrides en tant que chargement, </w:t>
      </w:r>
      <w:r w:rsidR="00605C69" w:rsidRPr="00880CB0">
        <w:rPr>
          <w:lang w:eastAsia="fr-FR"/>
        </w:rPr>
        <w:br/>
      </w:r>
      <w:r w:rsidR="00605C69" w:rsidRPr="00880CB0">
        <w:rPr>
          <w:lang w:eastAsia="fr-FR"/>
        </w:rPr>
        <w:tab/>
      </w:r>
      <w:r w:rsidR="00605C69" w:rsidRPr="00880CB0">
        <w:rPr>
          <w:lang w:eastAsia="fr-FR"/>
        </w:rPr>
        <w:tab/>
      </w:r>
      <w:r w:rsidR="00605C69" w:rsidRPr="00880CB0">
        <w:rPr>
          <w:lang w:eastAsia="fr-FR"/>
        </w:rPr>
        <w:tab/>
      </w:r>
      <w:r w:rsidR="00605C69" w:rsidRPr="00880CB0">
        <w:rPr>
          <w:lang w:eastAsia="fr-FR"/>
        </w:rPr>
        <w:tab/>
        <w:t>disposition spéciale 667</w:t>
      </w:r>
      <w:r w:rsidRPr="00E552FA">
        <w:rPr>
          <w:lang w:eastAsia="fr-FR"/>
        </w:rPr>
        <w:tab/>
      </w:r>
      <w:r w:rsidRPr="00E552FA">
        <w:rPr>
          <w:lang w:eastAsia="fr-FR"/>
        </w:rPr>
        <w:tab/>
      </w:r>
      <w:r>
        <w:rPr>
          <w:lang w:eastAsia="fr-FR"/>
        </w:rPr>
        <w:t>32-34</w:t>
      </w:r>
      <w:r>
        <w:rPr>
          <w:lang w:eastAsia="fr-FR"/>
        </w:rPr>
        <w:tab/>
        <w:t>6</w:t>
      </w:r>
    </w:p>
    <w:p w14:paraId="72CEA683" w14:textId="6750284E"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rPr>
          <w:lang w:eastAsia="fr-FR"/>
        </w:rPr>
      </w:pPr>
      <w:r>
        <w:rPr>
          <w:lang w:eastAsia="fr-FR"/>
        </w:rPr>
        <w:tab/>
      </w:r>
      <w:r>
        <w:rPr>
          <w:lang w:eastAsia="fr-FR"/>
        </w:rPr>
        <w:tab/>
      </w:r>
      <w:r>
        <w:rPr>
          <w:lang w:eastAsia="fr-FR"/>
        </w:rPr>
        <w:tab/>
      </w:r>
      <w:r w:rsidRPr="00E552FA">
        <w:rPr>
          <w:lang w:eastAsia="fr-FR"/>
        </w:rPr>
        <w:t>6.</w:t>
      </w:r>
      <w:r w:rsidRPr="00E552FA">
        <w:rPr>
          <w:lang w:eastAsia="fr-FR"/>
        </w:rPr>
        <w:tab/>
      </w:r>
      <w:r w:rsidR="00602104" w:rsidRPr="00880CB0">
        <w:rPr>
          <w:lang w:eastAsia="fr-FR"/>
        </w:rPr>
        <w:t xml:space="preserve">Marchandises dangereuses exemptées des restrictions de circulation </w:t>
      </w:r>
      <w:r w:rsidR="00D10615" w:rsidRPr="00880CB0">
        <w:rPr>
          <w:lang w:eastAsia="fr-FR"/>
        </w:rPr>
        <w:br/>
      </w:r>
      <w:r w:rsidR="00D10615" w:rsidRPr="00880CB0">
        <w:rPr>
          <w:lang w:eastAsia="fr-FR"/>
        </w:rPr>
        <w:tab/>
      </w:r>
      <w:r w:rsidR="00D10615" w:rsidRPr="00880CB0">
        <w:rPr>
          <w:lang w:eastAsia="fr-FR"/>
        </w:rPr>
        <w:tab/>
      </w:r>
      <w:r w:rsidR="00D10615" w:rsidRPr="00880CB0">
        <w:rPr>
          <w:lang w:eastAsia="fr-FR"/>
        </w:rPr>
        <w:tab/>
      </w:r>
      <w:r w:rsidR="00D10615" w:rsidRPr="00880CB0">
        <w:rPr>
          <w:lang w:eastAsia="fr-FR"/>
        </w:rPr>
        <w:tab/>
      </w:r>
      <w:r w:rsidR="00602104" w:rsidRPr="00880CB0">
        <w:rPr>
          <w:lang w:eastAsia="fr-FR"/>
        </w:rPr>
        <w:t>dans les tunnels</w:t>
      </w:r>
      <w:r w:rsidRPr="00E552FA">
        <w:rPr>
          <w:lang w:eastAsia="fr-FR"/>
        </w:rPr>
        <w:tab/>
      </w:r>
      <w:r w:rsidRPr="00E552FA">
        <w:rPr>
          <w:lang w:eastAsia="fr-FR"/>
        </w:rPr>
        <w:tab/>
      </w:r>
      <w:r>
        <w:rPr>
          <w:lang w:eastAsia="fr-FR"/>
        </w:rPr>
        <w:t>35-36</w:t>
      </w:r>
      <w:r>
        <w:rPr>
          <w:lang w:eastAsia="fr-FR"/>
        </w:rPr>
        <w:tab/>
        <w:t>7</w:t>
      </w:r>
    </w:p>
    <w:p w14:paraId="7CD6DC3C" w14:textId="45F72FF4"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rPr>
          <w:lang w:eastAsia="fr-FR"/>
        </w:rPr>
      </w:pPr>
      <w:r>
        <w:rPr>
          <w:lang w:eastAsia="fr-FR"/>
        </w:rPr>
        <w:tab/>
      </w:r>
      <w:r>
        <w:rPr>
          <w:lang w:eastAsia="fr-FR"/>
        </w:rPr>
        <w:tab/>
      </w:r>
      <w:r>
        <w:rPr>
          <w:lang w:eastAsia="fr-FR"/>
        </w:rPr>
        <w:tab/>
      </w:r>
      <w:r w:rsidRPr="00E552FA">
        <w:rPr>
          <w:lang w:eastAsia="fr-FR"/>
        </w:rPr>
        <w:t>7.</w:t>
      </w:r>
      <w:r w:rsidRPr="00E552FA">
        <w:rPr>
          <w:lang w:eastAsia="fr-FR"/>
        </w:rPr>
        <w:tab/>
      </w:r>
      <w:r w:rsidRPr="00614A91">
        <w:rPr>
          <w:lang w:eastAsia="fr-FR"/>
        </w:rPr>
        <w:t>Text</w:t>
      </w:r>
      <w:r w:rsidR="00D10615">
        <w:rPr>
          <w:lang w:eastAsia="fr-FR"/>
        </w:rPr>
        <w:t>e</w:t>
      </w:r>
      <w:r w:rsidRPr="00614A91">
        <w:rPr>
          <w:lang w:eastAsia="fr-FR"/>
        </w:rPr>
        <w:t xml:space="preserve"> </w:t>
      </w:r>
      <w:r w:rsidR="00D10615">
        <w:rPr>
          <w:lang w:eastAsia="fr-FR"/>
        </w:rPr>
        <w:t>du</w:t>
      </w:r>
      <w:r w:rsidRPr="00614A91">
        <w:rPr>
          <w:lang w:eastAsia="fr-FR"/>
        </w:rPr>
        <w:t xml:space="preserve"> 9.1.3.4</w:t>
      </w:r>
      <w:r w:rsidRPr="00E552FA">
        <w:rPr>
          <w:lang w:eastAsia="fr-FR"/>
        </w:rPr>
        <w:tab/>
      </w:r>
      <w:r w:rsidRPr="00E552FA">
        <w:rPr>
          <w:lang w:eastAsia="fr-FR"/>
        </w:rPr>
        <w:tab/>
      </w:r>
      <w:r>
        <w:rPr>
          <w:lang w:eastAsia="fr-FR"/>
        </w:rPr>
        <w:t>37-38</w:t>
      </w:r>
      <w:r>
        <w:rPr>
          <w:lang w:eastAsia="fr-FR"/>
        </w:rPr>
        <w:tab/>
        <w:t>7</w:t>
      </w:r>
    </w:p>
    <w:p w14:paraId="59CBD252" w14:textId="6770E38D"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Pr>
          <w:lang w:eastAsia="fr-FR"/>
        </w:rPr>
        <w:tab/>
      </w:r>
      <w:r>
        <w:rPr>
          <w:lang w:eastAsia="fr-FR"/>
        </w:rPr>
        <w:tab/>
      </w:r>
      <w:r>
        <w:rPr>
          <w:lang w:eastAsia="fr-FR"/>
        </w:rPr>
        <w:tab/>
      </w:r>
      <w:r w:rsidRPr="00E552FA">
        <w:rPr>
          <w:lang w:eastAsia="fr-FR"/>
        </w:rPr>
        <w:t>8.</w:t>
      </w:r>
      <w:r w:rsidRPr="00E552FA">
        <w:rPr>
          <w:lang w:eastAsia="fr-FR"/>
        </w:rPr>
        <w:tab/>
      </w:r>
      <w:r w:rsidR="00450A47" w:rsidRPr="00880CB0">
        <w:rPr>
          <w:lang w:eastAsia="fr-FR"/>
        </w:rPr>
        <w:t>Disposition spéciale V6</w:t>
      </w:r>
      <w:r w:rsidRPr="00E552FA">
        <w:tab/>
      </w:r>
      <w:r w:rsidRPr="00E552FA">
        <w:tab/>
      </w:r>
      <w:r>
        <w:t>39</w:t>
      </w:r>
      <w:r>
        <w:tab/>
        <w:t>7</w:t>
      </w:r>
    </w:p>
    <w:p w14:paraId="7B507C9C" w14:textId="3273B049" w:rsidR="00386464" w:rsidRDefault="00386464" w:rsidP="00386464">
      <w:pPr>
        <w:tabs>
          <w:tab w:val="right" w:pos="850"/>
          <w:tab w:val="left" w:pos="1134"/>
          <w:tab w:val="left" w:pos="1559"/>
          <w:tab w:val="left" w:pos="1984"/>
          <w:tab w:val="left" w:leader="dot" w:pos="7654"/>
          <w:tab w:val="right" w:pos="8929"/>
          <w:tab w:val="right" w:pos="9638"/>
        </w:tabs>
        <w:spacing w:after="120"/>
      </w:pPr>
      <w:r>
        <w:tab/>
      </w:r>
      <w:r>
        <w:tab/>
      </w:r>
      <w:r>
        <w:tab/>
      </w:r>
      <w:r w:rsidRPr="00E552FA">
        <w:t>9.</w:t>
      </w:r>
      <w:r w:rsidRPr="00E552FA">
        <w:tab/>
      </w:r>
      <w:r w:rsidR="003D3C7B" w:rsidRPr="00040D43">
        <w:rPr>
          <w:lang w:val="fr-FR"/>
        </w:rPr>
        <w:t xml:space="preserve">Marquage des unités de transport et des conteneurs chargés avec </w:t>
      </w:r>
      <w:r w:rsidR="003D3C7B">
        <w:rPr>
          <w:lang w:val="fr-FR"/>
        </w:rPr>
        <w:br/>
      </w:r>
      <w:r w:rsidR="003D3C7B">
        <w:rPr>
          <w:lang w:val="fr-FR"/>
        </w:rPr>
        <w:tab/>
      </w:r>
      <w:r w:rsidR="003D3C7B">
        <w:rPr>
          <w:lang w:val="fr-FR"/>
        </w:rPr>
        <w:tab/>
      </w:r>
      <w:r w:rsidR="003D3C7B">
        <w:rPr>
          <w:lang w:val="fr-FR"/>
        </w:rPr>
        <w:tab/>
      </w:r>
      <w:r w:rsidR="003D3C7B">
        <w:rPr>
          <w:lang w:val="fr-FR"/>
        </w:rPr>
        <w:tab/>
      </w:r>
      <w:r w:rsidR="003D3C7B" w:rsidRPr="00040D43">
        <w:rPr>
          <w:lang w:val="fr-FR"/>
        </w:rPr>
        <w:t>des quantités limitées</w:t>
      </w:r>
      <w:r w:rsidRPr="00E552FA">
        <w:tab/>
      </w:r>
      <w:r w:rsidRPr="00E552FA">
        <w:tab/>
      </w:r>
      <w:r>
        <w:t>40-42</w:t>
      </w:r>
      <w:r>
        <w:tab/>
        <w:t>7</w:t>
      </w:r>
    </w:p>
    <w:p w14:paraId="59C9714B" w14:textId="69AA8312"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tab/>
      </w:r>
      <w:r>
        <w:tab/>
      </w:r>
      <w:r>
        <w:tab/>
      </w:r>
      <w:r w:rsidRPr="00614A91">
        <w:rPr>
          <w:lang w:eastAsia="fr-FR"/>
        </w:rPr>
        <w:t>10.</w:t>
      </w:r>
      <w:r w:rsidRPr="00614A91">
        <w:rPr>
          <w:lang w:eastAsia="fr-FR"/>
        </w:rPr>
        <w:tab/>
      </w:r>
      <w:r w:rsidR="006F2FDD">
        <w:rPr>
          <w:lang w:val="fr-FR"/>
        </w:rPr>
        <w:t>Changement du titre de l’ADR</w:t>
      </w:r>
      <w:r w:rsidRPr="00614A91">
        <w:rPr>
          <w:lang w:eastAsia="fr-FR"/>
        </w:rPr>
        <w:tab/>
      </w:r>
      <w:r w:rsidRPr="00614A91">
        <w:rPr>
          <w:lang w:eastAsia="fr-FR"/>
        </w:rPr>
        <w:tab/>
      </w:r>
      <w:r>
        <w:t>43</w:t>
      </w:r>
      <w:r w:rsidRPr="00614A91">
        <w:rPr>
          <w:lang w:eastAsia="fr-FR"/>
        </w:rPr>
        <w:tab/>
      </w:r>
      <w:r w:rsidR="00E2017F">
        <w:t>8</w:t>
      </w:r>
    </w:p>
    <w:p w14:paraId="200C3792" w14:textId="59D40BC0" w:rsidR="00386464" w:rsidRDefault="00386464" w:rsidP="00386464">
      <w:pPr>
        <w:tabs>
          <w:tab w:val="right" w:pos="850"/>
          <w:tab w:val="left" w:pos="1134"/>
          <w:tab w:val="left" w:pos="1559"/>
          <w:tab w:val="left" w:pos="1984"/>
          <w:tab w:val="left" w:leader="dot" w:pos="7654"/>
          <w:tab w:val="right" w:pos="8929"/>
          <w:tab w:val="right" w:pos="9638"/>
        </w:tabs>
        <w:spacing w:after="120"/>
      </w:pPr>
      <w:r w:rsidRPr="00E552FA">
        <w:tab/>
        <w:t>VII.</w:t>
      </w:r>
      <w:r w:rsidRPr="00E552FA">
        <w:tab/>
      </w:r>
      <w:r w:rsidR="008D43DB" w:rsidRPr="00880CB0">
        <w:rPr>
          <w:lang w:val="fr-FR"/>
        </w:rPr>
        <w:t>Interprétation de l’ADR (point 6 de l’ordre du jour)</w:t>
      </w:r>
      <w:r w:rsidRPr="00E552FA">
        <w:tab/>
      </w:r>
      <w:r w:rsidRPr="00E552FA">
        <w:tab/>
      </w:r>
      <w:r>
        <w:t>44-58</w:t>
      </w:r>
      <w:r>
        <w:tab/>
      </w:r>
      <w:r w:rsidR="00E2017F">
        <w:t>8</w:t>
      </w:r>
    </w:p>
    <w:p w14:paraId="0FBC900B" w14:textId="1B28F9E3"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rPr>
          <w:lang w:eastAsia="fr-FR"/>
        </w:rPr>
      </w:pPr>
      <w:r>
        <w:tab/>
      </w:r>
      <w:r>
        <w:tab/>
      </w:r>
      <w:r>
        <w:tab/>
      </w:r>
      <w:r w:rsidRPr="00E552FA">
        <w:t>1.</w:t>
      </w:r>
      <w:r w:rsidRPr="00E552FA">
        <w:tab/>
      </w:r>
      <w:r w:rsidR="00B9690D" w:rsidRPr="00880CB0">
        <w:rPr>
          <w:lang w:eastAsia="fr-FR"/>
        </w:rPr>
        <w:t xml:space="preserve">Prescriptions relatives à la construction ou aux épreuves auxquelles </w:t>
      </w:r>
      <w:r w:rsidR="00B9690D" w:rsidRPr="00880CB0">
        <w:rPr>
          <w:lang w:eastAsia="fr-FR"/>
        </w:rPr>
        <w:br/>
      </w:r>
      <w:r w:rsidR="00B9690D" w:rsidRPr="00880CB0">
        <w:rPr>
          <w:lang w:eastAsia="fr-FR"/>
        </w:rPr>
        <w:tab/>
      </w:r>
      <w:r w:rsidR="00B9690D" w:rsidRPr="00880CB0">
        <w:rPr>
          <w:lang w:eastAsia="fr-FR"/>
        </w:rPr>
        <w:tab/>
      </w:r>
      <w:r w:rsidR="00B9690D" w:rsidRPr="00880CB0">
        <w:rPr>
          <w:lang w:eastAsia="fr-FR"/>
        </w:rPr>
        <w:tab/>
      </w:r>
      <w:r w:rsidR="00B9690D" w:rsidRPr="00880CB0">
        <w:rPr>
          <w:lang w:eastAsia="fr-FR"/>
        </w:rPr>
        <w:tab/>
        <w:t xml:space="preserve">est soumis le compartiment de protection ou le système de contenant </w:t>
      </w:r>
      <w:r w:rsidR="00B9690D" w:rsidRPr="00880CB0">
        <w:rPr>
          <w:lang w:eastAsia="fr-FR"/>
        </w:rPr>
        <w:br/>
      </w:r>
      <w:r w:rsidR="00B9690D" w:rsidRPr="00880CB0">
        <w:rPr>
          <w:lang w:eastAsia="fr-FR"/>
        </w:rPr>
        <w:tab/>
      </w:r>
      <w:r w:rsidR="00B9690D" w:rsidRPr="00880CB0">
        <w:rPr>
          <w:lang w:eastAsia="fr-FR"/>
        </w:rPr>
        <w:tab/>
      </w:r>
      <w:r w:rsidR="00B9690D" w:rsidRPr="00880CB0">
        <w:rPr>
          <w:lang w:eastAsia="fr-FR"/>
        </w:rPr>
        <w:tab/>
      </w:r>
      <w:r w:rsidR="00B9690D" w:rsidRPr="00880CB0">
        <w:rPr>
          <w:lang w:eastAsia="fr-FR"/>
        </w:rPr>
        <w:tab/>
        <w:t>conformément à la note a du tableau du paragraphe 7.5.2.2</w:t>
      </w:r>
      <w:r w:rsidRPr="00E552FA">
        <w:rPr>
          <w:lang w:eastAsia="fr-FR"/>
        </w:rPr>
        <w:tab/>
      </w:r>
      <w:r w:rsidRPr="00E552FA">
        <w:rPr>
          <w:lang w:eastAsia="fr-FR"/>
        </w:rPr>
        <w:tab/>
      </w:r>
      <w:r>
        <w:rPr>
          <w:lang w:eastAsia="fr-FR"/>
        </w:rPr>
        <w:t>44-48</w:t>
      </w:r>
      <w:r>
        <w:rPr>
          <w:lang w:eastAsia="fr-FR"/>
        </w:rPr>
        <w:tab/>
      </w:r>
      <w:r w:rsidR="008830A5">
        <w:rPr>
          <w:lang w:eastAsia="fr-FR"/>
        </w:rPr>
        <w:t>8</w:t>
      </w:r>
    </w:p>
    <w:p w14:paraId="4FEEABB8" w14:textId="4CB00ABB" w:rsidR="00386464" w:rsidRPr="00614A91" w:rsidRDefault="00386464" w:rsidP="00386464">
      <w:pPr>
        <w:tabs>
          <w:tab w:val="right" w:pos="850"/>
          <w:tab w:val="left" w:pos="1134"/>
          <w:tab w:val="left" w:pos="1559"/>
          <w:tab w:val="left" w:pos="1984"/>
          <w:tab w:val="left" w:leader="dot" w:pos="7654"/>
          <w:tab w:val="right" w:pos="8929"/>
          <w:tab w:val="right" w:pos="9638"/>
        </w:tabs>
        <w:spacing w:after="120"/>
        <w:rPr>
          <w:lang w:eastAsia="fr-FR"/>
        </w:rPr>
      </w:pPr>
      <w:r w:rsidRPr="00614A91">
        <w:rPr>
          <w:lang w:eastAsia="fr-FR"/>
        </w:rPr>
        <w:tab/>
      </w:r>
      <w:r w:rsidRPr="00614A91">
        <w:rPr>
          <w:lang w:eastAsia="fr-FR"/>
        </w:rPr>
        <w:tab/>
      </w:r>
      <w:r w:rsidRPr="00614A91">
        <w:rPr>
          <w:lang w:eastAsia="fr-FR"/>
        </w:rPr>
        <w:tab/>
        <w:t>2.</w:t>
      </w:r>
      <w:r w:rsidRPr="00614A91">
        <w:rPr>
          <w:lang w:eastAsia="fr-FR"/>
        </w:rPr>
        <w:tab/>
      </w:r>
      <w:r w:rsidR="000A6372" w:rsidRPr="00880CB0">
        <w:rPr>
          <w:lang w:eastAsia="fr-FR"/>
        </w:rPr>
        <w:t>Problème d’interprétation du paragraphe 7.5.2.3</w:t>
      </w:r>
      <w:r w:rsidRPr="00614A91">
        <w:rPr>
          <w:lang w:eastAsia="fr-FR"/>
        </w:rPr>
        <w:tab/>
      </w:r>
      <w:r w:rsidRPr="00614A91">
        <w:rPr>
          <w:lang w:eastAsia="fr-FR"/>
        </w:rPr>
        <w:tab/>
      </w:r>
      <w:r>
        <w:rPr>
          <w:lang w:eastAsia="fr-FR"/>
        </w:rPr>
        <w:t>49-50</w:t>
      </w:r>
      <w:r w:rsidRPr="00614A91">
        <w:rPr>
          <w:lang w:eastAsia="fr-FR"/>
        </w:rPr>
        <w:tab/>
      </w:r>
      <w:r>
        <w:rPr>
          <w:lang w:eastAsia="fr-FR"/>
        </w:rPr>
        <w:t>8</w:t>
      </w:r>
    </w:p>
    <w:p w14:paraId="123E94C1" w14:textId="44F14C91" w:rsidR="00386464" w:rsidRPr="00880CB0" w:rsidRDefault="00386464" w:rsidP="00386464">
      <w:pPr>
        <w:tabs>
          <w:tab w:val="right" w:pos="851"/>
          <w:tab w:val="left" w:pos="1134"/>
          <w:tab w:val="left" w:pos="1559"/>
          <w:tab w:val="left" w:pos="1984"/>
          <w:tab w:val="left" w:leader="dot" w:pos="7654"/>
          <w:tab w:val="right" w:pos="8929"/>
          <w:tab w:val="right" w:pos="9638"/>
        </w:tabs>
        <w:spacing w:after="120"/>
        <w:rPr>
          <w:lang w:eastAsia="fr-FR"/>
        </w:rPr>
      </w:pPr>
      <w:r w:rsidRPr="00614A91">
        <w:rPr>
          <w:lang w:eastAsia="fr-FR"/>
        </w:rPr>
        <w:tab/>
      </w:r>
      <w:r w:rsidRPr="00614A91">
        <w:rPr>
          <w:lang w:eastAsia="fr-FR"/>
        </w:rPr>
        <w:tab/>
      </w:r>
      <w:r w:rsidRPr="00614A91">
        <w:rPr>
          <w:lang w:eastAsia="fr-FR"/>
        </w:rPr>
        <w:tab/>
        <w:t>3.</w:t>
      </w:r>
      <w:r w:rsidRPr="00614A91">
        <w:rPr>
          <w:lang w:eastAsia="fr-FR"/>
        </w:rPr>
        <w:tab/>
      </w:r>
      <w:r w:rsidR="00D064D4" w:rsidRPr="00880CB0">
        <w:rPr>
          <w:lang w:eastAsia="fr-FR"/>
        </w:rPr>
        <w:t>Interprétation du 5.4.1.1.1 f)</w:t>
      </w:r>
      <w:r w:rsidRPr="00614A91">
        <w:rPr>
          <w:lang w:eastAsia="fr-FR"/>
        </w:rPr>
        <w:tab/>
      </w:r>
      <w:r w:rsidRPr="00614A91">
        <w:rPr>
          <w:lang w:eastAsia="fr-FR"/>
        </w:rPr>
        <w:tab/>
      </w:r>
      <w:r>
        <w:rPr>
          <w:lang w:eastAsia="fr-FR"/>
        </w:rPr>
        <w:t>51-52</w:t>
      </w:r>
      <w:r w:rsidRPr="00614A91">
        <w:rPr>
          <w:lang w:eastAsia="fr-FR"/>
        </w:rPr>
        <w:tab/>
      </w:r>
      <w:r>
        <w:rPr>
          <w:lang w:eastAsia="fr-FR"/>
        </w:rPr>
        <w:t>8</w:t>
      </w:r>
    </w:p>
    <w:p w14:paraId="05DD5A9A" w14:textId="5AA2052B" w:rsidR="00386464" w:rsidRPr="00880CB0" w:rsidRDefault="00386464" w:rsidP="00386464">
      <w:pPr>
        <w:tabs>
          <w:tab w:val="right" w:pos="851"/>
          <w:tab w:val="left" w:pos="1134"/>
          <w:tab w:val="left" w:pos="1559"/>
          <w:tab w:val="left" w:pos="1984"/>
          <w:tab w:val="left" w:leader="dot" w:pos="7654"/>
          <w:tab w:val="right" w:pos="8929"/>
          <w:tab w:val="right" w:pos="9638"/>
        </w:tabs>
        <w:spacing w:after="120"/>
        <w:rPr>
          <w:lang w:eastAsia="fr-FR"/>
        </w:rPr>
      </w:pPr>
      <w:r w:rsidRPr="00614A91">
        <w:rPr>
          <w:lang w:eastAsia="fr-FR"/>
        </w:rPr>
        <w:tab/>
      </w:r>
      <w:r w:rsidRPr="00614A91">
        <w:rPr>
          <w:lang w:eastAsia="fr-FR"/>
        </w:rPr>
        <w:tab/>
      </w:r>
      <w:r w:rsidRPr="00614A91">
        <w:rPr>
          <w:lang w:eastAsia="fr-FR"/>
        </w:rPr>
        <w:tab/>
        <w:t>4.</w:t>
      </w:r>
      <w:r w:rsidRPr="00614A91">
        <w:rPr>
          <w:lang w:eastAsia="fr-FR"/>
        </w:rPr>
        <w:tab/>
      </w:r>
      <w:r w:rsidR="004054BC" w:rsidRPr="00880CB0">
        <w:rPr>
          <w:lang w:eastAsia="fr-FR"/>
        </w:rPr>
        <w:t xml:space="preserve">Interprétation des prescriptions relatives aux citernes </w:t>
      </w:r>
      <w:r w:rsidR="004054BC" w:rsidRPr="00880CB0">
        <w:rPr>
          <w:lang w:eastAsia="fr-FR"/>
        </w:rPr>
        <w:br/>
      </w:r>
      <w:r w:rsidR="004054BC" w:rsidRPr="00880CB0">
        <w:rPr>
          <w:lang w:eastAsia="fr-FR"/>
        </w:rPr>
        <w:tab/>
      </w:r>
      <w:r w:rsidR="004054BC" w:rsidRPr="00880CB0">
        <w:rPr>
          <w:lang w:eastAsia="fr-FR"/>
        </w:rPr>
        <w:tab/>
      </w:r>
      <w:r w:rsidR="004054BC" w:rsidRPr="00880CB0">
        <w:rPr>
          <w:lang w:eastAsia="fr-FR"/>
        </w:rPr>
        <w:tab/>
      </w:r>
      <w:r w:rsidR="004054BC" w:rsidRPr="00880CB0">
        <w:rPr>
          <w:lang w:eastAsia="fr-FR"/>
        </w:rPr>
        <w:tab/>
        <w:t>à déchets opérant sous vide</w:t>
      </w:r>
      <w:r w:rsidRPr="00614A91">
        <w:rPr>
          <w:lang w:eastAsia="fr-FR"/>
        </w:rPr>
        <w:tab/>
      </w:r>
      <w:r w:rsidRPr="00614A91">
        <w:rPr>
          <w:lang w:eastAsia="fr-FR"/>
        </w:rPr>
        <w:tab/>
      </w:r>
      <w:r>
        <w:rPr>
          <w:lang w:eastAsia="fr-FR"/>
        </w:rPr>
        <w:t>53</w:t>
      </w:r>
      <w:r>
        <w:rPr>
          <w:lang w:eastAsia="fr-FR"/>
        </w:rPr>
        <w:tab/>
      </w:r>
      <w:r w:rsidR="00C1634C">
        <w:rPr>
          <w:lang w:eastAsia="fr-FR"/>
        </w:rPr>
        <w:t>9</w:t>
      </w:r>
    </w:p>
    <w:p w14:paraId="17E9790D" w14:textId="4FB3D1D7" w:rsidR="00386464" w:rsidRPr="00880CB0" w:rsidRDefault="00386464" w:rsidP="00386464">
      <w:pPr>
        <w:tabs>
          <w:tab w:val="right" w:pos="851"/>
          <w:tab w:val="left" w:pos="1134"/>
          <w:tab w:val="left" w:pos="1559"/>
          <w:tab w:val="left" w:pos="1984"/>
          <w:tab w:val="left" w:leader="dot" w:pos="7654"/>
          <w:tab w:val="right" w:pos="8929"/>
          <w:tab w:val="right" w:pos="9638"/>
        </w:tabs>
        <w:spacing w:after="120"/>
        <w:rPr>
          <w:lang w:eastAsia="fr-FR"/>
        </w:rPr>
      </w:pPr>
      <w:r w:rsidRPr="00614A91">
        <w:rPr>
          <w:lang w:eastAsia="fr-FR"/>
        </w:rPr>
        <w:tab/>
      </w:r>
      <w:r w:rsidRPr="00614A91">
        <w:rPr>
          <w:lang w:eastAsia="fr-FR"/>
        </w:rPr>
        <w:tab/>
      </w:r>
      <w:r w:rsidRPr="00614A91">
        <w:rPr>
          <w:lang w:eastAsia="fr-FR"/>
        </w:rPr>
        <w:tab/>
        <w:t>5.</w:t>
      </w:r>
      <w:r w:rsidRPr="00614A91">
        <w:rPr>
          <w:lang w:eastAsia="fr-FR"/>
        </w:rPr>
        <w:tab/>
      </w:r>
      <w:r w:rsidR="00387859" w:rsidRPr="00880CB0">
        <w:rPr>
          <w:lang w:eastAsia="fr-FR"/>
        </w:rPr>
        <w:t>Catégorie de transport du No ONU 3291</w:t>
      </w:r>
      <w:r w:rsidRPr="00614A91">
        <w:rPr>
          <w:lang w:eastAsia="fr-FR"/>
        </w:rPr>
        <w:tab/>
      </w:r>
      <w:r w:rsidRPr="00614A91">
        <w:rPr>
          <w:lang w:eastAsia="fr-FR"/>
        </w:rPr>
        <w:tab/>
      </w:r>
      <w:r>
        <w:rPr>
          <w:lang w:eastAsia="fr-FR"/>
        </w:rPr>
        <w:t>54</w:t>
      </w:r>
      <w:r w:rsidRPr="00614A91">
        <w:rPr>
          <w:lang w:eastAsia="fr-FR"/>
        </w:rPr>
        <w:tab/>
      </w:r>
      <w:r w:rsidR="00C1634C">
        <w:rPr>
          <w:lang w:eastAsia="fr-FR"/>
        </w:rPr>
        <w:t>9</w:t>
      </w:r>
    </w:p>
    <w:p w14:paraId="72D5968D" w14:textId="10F5FE1B" w:rsidR="00386464" w:rsidRPr="00880CB0" w:rsidRDefault="00386464" w:rsidP="00386464">
      <w:pPr>
        <w:tabs>
          <w:tab w:val="right" w:pos="851"/>
          <w:tab w:val="left" w:pos="1134"/>
          <w:tab w:val="left" w:pos="1559"/>
          <w:tab w:val="left" w:pos="1984"/>
          <w:tab w:val="left" w:leader="dot" w:pos="7654"/>
          <w:tab w:val="right" w:pos="8929"/>
          <w:tab w:val="right" w:pos="9638"/>
        </w:tabs>
        <w:spacing w:after="120"/>
        <w:rPr>
          <w:lang w:eastAsia="fr-FR"/>
        </w:rPr>
      </w:pPr>
      <w:r w:rsidRPr="00614A91">
        <w:rPr>
          <w:lang w:eastAsia="fr-FR"/>
        </w:rPr>
        <w:tab/>
      </w:r>
      <w:r w:rsidRPr="00614A91">
        <w:rPr>
          <w:lang w:eastAsia="fr-FR"/>
        </w:rPr>
        <w:tab/>
      </w:r>
      <w:r w:rsidRPr="00614A91">
        <w:rPr>
          <w:lang w:eastAsia="fr-FR"/>
        </w:rPr>
        <w:tab/>
        <w:t>6.</w:t>
      </w:r>
      <w:r w:rsidRPr="00614A91">
        <w:rPr>
          <w:lang w:eastAsia="fr-FR"/>
        </w:rPr>
        <w:tab/>
      </w:r>
      <w:r w:rsidR="00CE0F32" w:rsidRPr="00880CB0">
        <w:rPr>
          <w:lang w:eastAsia="fr-FR"/>
        </w:rPr>
        <w:t xml:space="preserve">Interprétation du 8.5 S1 (6) tel que modifié pour entrée en vigueur </w:t>
      </w:r>
      <w:r w:rsidR="00CE0F32" w:rsidRPr="00880CB0">
        <w:rPr>
          <w:lang w:eastAsia="fr-FR"/>
        </w:rPr>
        <w:br/>
      </w:r>
      <w:r w:rsidR="00CE0F32" w:rsidRPr="00880CB0">
        <w:rPr>
          <w:lang w:eastAsia="fr-FR"/>
        </w:rPr>
        <w:tab/>
      </w:r>
      <w:r w:rsidR="00CE0F32" w:rsidRPr="00880CB0">
        <w:rPr>
          <w:lang w:eastAsia="fr-FR"/>
        </w:rPr>
        <w:tab/>
      </w:r>
      <w:r w:rsidR="00CE0F32" w:rsidRPr="00880CB0">
        <w:rPr>
          <w:lang w:eastAsia="fr-FR"/>
        </w:rPr>
        <w:tab/>
      </w:r>
      <w:r w:rsidR="00CE0F32" w:rsidRPr="00880CB0">
        <w:rPr>
          <w:lang w:eastAsia="fr-FR"/>
        </w:rPr>
        <w:tab/>
        <w:t>au 1er janvier 2021</w:t>
      </w:r>
      <w:r w:rsidRPr="00614A91">
        <w:rPr>
          <w:lang w:eastAsia="fr-FR"/>
        </w:rPr>
        <w:tab/>
      </w:r>
      <w:r w:rsidRPr="00614A91">
        <w:rPr>
          <w:lang w:eastAsia="fr-FR"/>
        </w:rPr>
        <w:tab/>
      </w:r>
      <w:r>
        <w:rPr>
          <w:lang w:eastAsia="fr-FR"/>
        </w:rPr>
        <w:t>55-57</w:t>
      </w:r>
      <w:r w:rsidRPr="00614A91">
        <w:rPr>
          <w:lang w:eastAsia="fr-FR"/>
        </w:rPr>
        <w:tab/>
      </w:r>
      <w:r w:rsidR="00C1634C">
        <w:rPr>
          <w:lang w:eastAsia="fr-FR"/>
        </w:rPr>
        <w:t>9</w:t>
      </w:r>
    </w:p>
    <w:p w14:paraId="06FD8D39" w14:textId="430785CA" w:rsidR="00386464" w:rsidRPr="00614A91" w:rsidRDefault="00386464" w:rsidP="00386464">
      <w:pPr>
        <w:tabs>
          <w:tab w:val="right" w:pos="851"/>
          <w:tab w:val="left" w:pos="1134"/>
          <w:tab w:val="left" w:pos="1559"/>
          <w:tab w:val="left" w:pos="1984"/>
          <w:tab w:val="left" w:leader="dot" w:pos="7654"/>
          <w:tab w:val="right" w:pos="8929"/>
          <w:tab w:val="right" w:pos="9638"/>
        </w:tabs>
        <w:spacing w:after="120"/>
        <w:rPr>
          <w:lang w:val="en-GB" w:eastAsia="fr-FR"/>
        </w:rPr>
      </w:pPr>
      <w:r w:rsidRPr="00614A91">
        <w:rPr>
          <w:lang w:eastAsia="fr-FR"/>
        </w:rPr>
        <w:tab/>
      </w:r>
      <w:r w:rsidRPr="00614A91">
        <w:rPr>
          <w:lang w:eastAsia="fr-FR"/>
        </w:rPr>
        <w:tab/>
      </w:r>
      <w:r w:rsidRPr="00614A91">
        <w:rPr>
          <w:lang w:eastAsia="fr-FR"/>
        </w:rPr>
        <w:tab/>
        <w:t>7.</w:t>
      </w:r>
      <w:r w:rsidRPr="00614A91">
        <w:rPr>
          <w:lang w:eastAsia="fr-FR"/>
        </w:rPr>
        <w:tab/>
      </w:r>
      <w:r w:rsidR="0081277B" w:rsidRPr="00880CB0">
        <w:rPr>
          <w:lang w:eastAsia="fr-FR"/>
        </w:rPr>
        <w:t xml:space="preserve">Application des prescriptions relatives à l'équipement électrique </w:t>
      </w:r>
      <w:r w:rsidR="0081277B" w:rsidRPr="00880CB0">
        <w:rPr>
          <w:lang w:eastAsia="fr-FR"/>
        </w:rPr>
        <w:br/>
      </w:r>
      <w:r w:rsidR="0081277B" w:rsidRPr="00880CB0">
        <w:rPr>
          <w:lang w:eastAsia="fr-FR"/>
        </w:rPr>
        <w:tab/>
      </w:r>
      <w:r w:rsidR="0081277B" w:rsidRPr="00880CB0">
        <w:rPr>
          <w:lang w:eastAsia="fr-FR"/>
        </w:rPr>
        <w:tab/>
      </w:r>
      <w:r w:rsidR="0081277B" w:rsidRPr="00880CB0">
        <w:rPr>
          <w:lang w:eastAsia="fr-FR"/>
        </w:rPr>
        <w:tab/>
      </w:r>
      <w:r w:rsidR="0081277B" w:rsidRPr="00880CB0">
        <w:rPr>
          <w:lang w:eastAsia="fr-FR"/>
        </w:rPr>
        <w:tab/>
        <w:t>des véhicules conformément au 9.2.1.1</w:t>
      </w:r>
      <w:r>
        <w:tab/>
      </w:r>
      <w:r>
        <w:tab/>
        <w:t>58</w:t>
      </w:r>
      <w:r>
        <w:tab/>
        <w:t>9</w:t>
      </w:r>
    </w:p>
    <w:p w14:paraId="481F69B2" w14:textId="29162E58" w:rsidR="00386464" w:rsidRPr="00880CB0" w:rsidRDefault="00386464" w:rsidP="00386464">
      <w:pPr>
        <w:tabs>
          <w:tab w:val="right" w:pos="850"/>
          <w:tab w:val="left" w:pos="1134"/>
          <w:tab w:val="left" w:pos="1559"/>
          <w:tab w:val="left" w:pos="1984"/>
          <w:tab w:val="left" w:leader="dot" w:pos="7654"/>
          <w:tab w:val="right" w:pos="8929"/>
          <w:tab w:val="right" w:pos="9638"/>
        </w:tabs>
        <w:spacing w:after="120"/>
        <w:rPr>
          <w:lang w:val="fr-FR"/>
        </w:rPr>
      </w:pPr>
      <w:r w:rsidRPr="00E552FA">
        <w:tab/>
        <w:t>VIII.</w:t>
      </w:r>
      <w:r w:rsidRPr="00E552FA">
        <w:tab/>
      </w:r>
      <w:r w:rsidR="00910102" w:rsidRPr="00880CB0">
        <w:rPr>
          <w:lang w:val="fr-FR"/>
        </w:rPr>
        <w:t>Programme de travail (point 7 de l’ordre du jour)</w:t>
      </w:r>
      <w:r w:rsidRPr="00880CB0">
        <w:rPr>
          <w:lang w:val="fr-FR"/>
        </w:rPr>
        <w:tab/>
      </w:r>
      <w:r w:rsidRPr="00880CB0">
        <w:rPr>
          <w:lang w:val="fr-FR"/>
        </w:rPr>
        <w:tab/>
        <w:t>59-60</w:t>
      </w:r>
      <w:r w:rsidRPr="00880CB0">
        <w:rPr>
          <w:lang w:val="fr-FR"/>
        </w:rPr>
        <w:tab/>
        <w:t>9</w:t>
      </w:r>
    </w:p>
    <w:p w14:paraId="7826AF06" w14:textId="5B417CF6"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sidRPr="00880CB0">
        <w:rPr>
          <w:lang w:val="fr-FR"/>
        </w:rPr>
        <w:tab/>
        <w:t>IX.</w:t>
      </w:r>
      <w:r w:rsidRPr="00880CB0">
        <w:rPr>
          <w:lang w:val="fr-FR"/>
        </w:rPr>
        <w:tab/>
      </w:r>
      <w:r w:rsidR="00BD1725" w:rsidRPr="00880CB0">
        <w:rPr>
          <w:lang w:val="fr-FR"/>
        </w:rPr>
        <w:t>Questions diverses (point 8 de l’ordre du jour)</w:t>
      </w:r>
      <w:r w:rsidRPr="00880CB0">
        <w:rPr>
          <w:lang w:val="fr-FR"/>
        </w:rPr>
        <w:tab/>
      </w:r>
      <w:r w:rsidRPr="00E552FA">
        <w:tab/>
      </w:r>
      <w:r>
        <w:t>61-70</w:t>
      </w:r>
      <w:r>
        <w:tab/>
      </w:r>
      <w:r w:rsidR="001B595A">
        <w:t>10</w:t>
      </w:r>
    </w:p>
    <w:p w14:paraId="7F155F74" w14:textId="60F32A40"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tab/>
      </w:r>
      <w:r>
        <w:tab/>
      </w:r>
      <w:r w:rsidRPr="00E552FA">
        <w:t>A.</w:t>
      </w:r>
      <w:r w:rsidRPr="00E552FA">
        <w:tab/>
      </w:r>
      <w:r w:rsidR="008C7C3E" w:rsidRPr="00880CB0">
        <w:rPr>
          <w:lang w:val="fr-FR"/>
        </w:rPr>
        <w:t>Stabilité des véhicules-citernes</w:t>
      </w:r>
      <w:r w:rsidRPr="00E552FA">
        <w:tab/>
      </w:r>
      <w:r w:rsidRPr="00E552FA">
        <w:tab/>
      </w:r>
      <w:r>
        <w:t>61</w:t>
      </w:r>
      <w:r>
        <w:tab/>
      </w:r>
      <w:r w:rsidR="006F7BB6">
        <w:t>10</w:t>
      </w:r>
    </w:p>
    <w:p w14:paraId="71FBE318" w14:textId="615DB510"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tab/>
      </w:r>
      <w:r>
        <w:tab/>
      </w:r>
      <w:r w:rsidRPr="00E552FA">
        <w:t>B.</w:t>
      </w:r>
      <w:r w:rsidRPr="00E552FA">
        <w:tab/>
      </w:r>
      <w:r w:rsidR="00483505" w:rsidRPr="00880CB0">
        <w:rPr>
          <w:lang w:val="fr-FR"/>
        </w:rPr>
        <w:t>Amendements au tableau B de l’ADR</w:t>
      </w:r>
      <w:r w:rsidRPr="00E552FA">
        <w:tab/>
      </w:r>
      <w:r w:rsidRPr="00E552FA">
        <w:tab/>
      </w:r>
      <w:r>
        <w:t>62</w:t>
      </w:r>
      <w:r>
        <w:tab/>
        <w:t>10</w:t>
      </w:r>
    </w:p>
    <w:p w14:paraId="6743F698" w14:textId="0F34E4DC" w:rsidR="00386464" w:rsidRDefault="00386464" w:rsidP="00386464">
      <w:pPr>
        <w:tabs>
          <w:tab w:val="right" w:pos="850"/>
          <w:tab w:val="left" w:pos="1134"/>
          <w:tab w:val="left" w:pos="1559"/>
          <w:tab w:val="left" w:pos="1984"/>
          <w:tab w:val="left" w:leader="dot" w:pos="7654"/>
          <w:tab w:val="right" w:pos="8929"/>
          <w:tab w:val="right" w:pos="9638"/>
        </w:tabs>
        <w:spacing w:after="120"/>
      </w:pPr>
      <w:r>
        <w:tab/>
      </w:r>
      <w:r>
        <w:tab/>
      </w:r>
      <w:r w:rsidRPr="00E552FA">
        <w:t>C.</w:t>
      </w:r>
      <w:r w:rsidRPr="00E552FA">
        <w:tab/>
      </w:r>
      <w:r w:rsidR="00095B4B" w:rsidRPr="00880CB0">
        <w:rPr>
          <w:lang w:val="fr-FR"/>
        </w:rPr>
        <w:t>Différences entre l'ADR 2021 et le Règlement de l'AIEA</w:t>
      </w:r>
      <w:r w:rsidRPr="00E552FA">
        <w:tab/>
      </w:r>
      <w:r>
        <w:tab/>
        <w:t>63-65</w:t>
      </w:r>
      <w:r>
        <w:tab/>
        <w:t>10</w:t>
      </w:r>
    </w:p>
    <w:p w14:paraId="35580E32" w14:textId="4463AE93" w:rsidR="00386464" w:rsidRPr="00614A91" w:rsidRDefault="00386464" w:rsidP="00386464">
      <w:pPr>
        <w:tabs>
          <w:tab w:val="right" w:pos="851"/>
          <w:tab w:val="left" w:pos="1134"/>
          <w:tab w:val="left" w:pos="1559"/>
          <w:tab w:val="left" w:pos="1984"/>
          <w:tab w:val="left" w:leader="dot" w:pos="7654"/>
          <w:tab w:val="right" w:pos="8929"/>
          <w:tab w:val="right" w:pos="9638"/>
        </w:tabs>
        <w:spacing w:after="120"/>
        <w:rPr>
          <w:lang w:val="en-GB" w:eastAsia="fr-FR"/>
        </w:rPr>
      </w:pPr>
      <w:r w:rsidRPr="00614A91">
        <w:rPr>
          <w:lang w:eastAsia="fr-FR"/>
        </w:rPr>
        <w:tab/>
      </w:r>
      <w:r>
        <w:tab/>
      </w:r>
      <w:r w:rsidRPr="00614A91">
        <w:rPr>
          <w:lang w:eastAsia="fr-FR"/>
        </w:rPr>
        <w:t>D.</w:t>
      </w:r>
      <w:r w:rsidRPr="00614A91">
        <w:rPr>
          <w:lang w:eastAsia="fr-FR"/>
        </w:rPr>
        <w:tab/>
      </w:r>
      <w:r w:rsidR="00694045" w:rsidRPr="009917F5">
        <w:rPr>
          <w:lang w:val="fr-FR"/>
        </w:rPr>
        <w:t>Langues utilisées pour la documentation</w:t>
      </w:r>
      <w:r>
        <w:tab/>
      </w:r>
      <w:r>
        <w:tab/>
        <w:t>66</w:t>
      </w:r>
      <w:r>
        <w:tab/>
        <w:t>1</w:t>
      </w:r>
      <w:r w:rsidR="006F7BB6">
        <w:t>1</w:t>
      </w:r>
    </w:p>
    <w:p w14:paraId="0E255A00" w14:textId="0A42AE70" w:rsidR="00386464" w:rsidRPr="00614A91" w:rsidRDefault="00386464" w:rsidP="00386464">
      <w:pPr>
        <w:tabs>
          <w:tab w:val="right" w:pos="851"/>
          <w:tab w:val="left" w:pos="1134"/>
          <w:tab w:val="left" w:pos="1559"/>
          <w:tab w:val="left" w:pos="1984"/>
          <w:tab w:val="left" w:leader="dot" w:pos="7654"/>
          <w:tab w:val="right" w:pos="8929"/>
          <w:tab w:val="right" w:pos="9638"/>
        </w:tabs>
        <w:spacing w:after="120"/>
        <w:rPr>
          <w:lang w:val="en-GB" w:eastAsia="fr-FR"/>
        </w:rPr>
      </w:pPr>
      <w:r w:rsidRPr="00614A91">
        <w:rPr>
          <w:lang w:eastAsia="fr-FR"/>
        </w:rPr>
        <w:tab/>
      </w:r>
      <w:r>
        <w:tab/>
      </w:r>
      <w:r w:rsidRPr="00614A91">
        <w:rPr>
          <w:lang w:eastAsia="fr-FR"/>
        </w:rPr>
        <w:t>E.</w:t>
      </w:r>
      <w:r w:rsidRPr="00614A91">
        <w:rPr>
          <w:lang w:eastAsia="fr-FR"/>
        </w:rPr>
        <w:tab/>
      </w:r>
      <w:r w:rsidR="007B1247">
        <w:rPr>
          <w:lang w:val="fr-FR"/>
        </w:rPr>
        <w:t>Transport de machines contenant de l’hydrogène</w:t>
      </w:r>
      <w:r>
        <w:tab/>
      </w:r>
      <w:r>
        <w:tab/>
        <w:t>67</w:t>
      </w:r>
      <w:r>
        <w:tab/>
      </w:r>
      <w:r w:rsidR="006F7BB6">
        <w:t>11</w:t>
      </w:r>
    </w:p>
    <w:p w14:paraId="49FA7091" w14:textId="72D90635" w:rsidR="00386464" w:rsidRPr="00614A91" w:rsidRDefault="00386464" w:rsidP="00386464">
      <w:pPr>
        <w:tabs>
          <w:tab w:val="right" w:pos="851"/>
          <w:tab w:val="left" w:pos="1134"/>
          <w:tab w:val="left" w:pos="1559"/>
          <w:tab w:val="left" w:pos="1984"/>
          <w:tab w:val="left" w:leader="dot" w:pos="7654"/>
          <w:tab w:val="right" w:pos="8929"/>
          <w:tab w:val="right" w:pos="9638"/>
        </w:tabs>
        <w:spacing w:after="120"/>
        <w:rPr>
          <w:lang w:val="en-GB" w:eastAsia="fr-FR"/>
        </w:rPr>
      </w:pPr>
      <w:r w:rsidRPr="00614A91">
        <w:rPr>
          <w:lang w:eastAsia="fr-FR"/>
        </w:rPr>
        <w:tab/>
      </w:r>
      <w:r>
        <w:tab/>
      </w:r>
      <w:r w:rsidRPr="00614A91">
        <w:rPr>
          <w:lang w:eastAsia="fr-FR"/>
        </w:rPr>
        <w:t>F.</w:t>
      </w:r>
      <w:r w:rsidRPr="00614A91">
        <w:rPr>
          <w:lang w:eastAsia="fr-FR"/>
        </w:rPr>
        <w:tab/>
      </w:r>
      <w:r w:rsidR="00393E02" w:rsidRPr="00880CB0">
        <w:rPr>
          <w:lang w:val="fr-FR"/>
        </w:rPr>
        <w:t>Hommages</w:t>
      </w:r>
      <w:r>
        <w:tab/>
      </w:r>
      <w:r>
        <w:tab/>
        <w:t>68-70</w:t>
      </w:r>
      <w:r>
        <w:tab/>
        <w:t>1</w:t>
      </w:r>
      <w:r w:rsidR="006F7BB6">
        <w:t>1</w:t>
      </w:r>
    </w:p>
    <w:p w14:paraId="27BD37DB" w14:textId="70F3098A"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sidRPr="00E552FA">
        <w:tab/>
        <w:t>X.</w:t>
      </w:r>
      <w:r w:rsidRPr="00E552FA">
        <w:tab/>
      </w:r>
      <w:r w:rsidR="00DA4D33" w:rsidRPr="00A91A7C">
        <w:rPr>
          <w:lang w:val="fr-FR"/>
        </w:rPr>
        <w:t>Élection du Bureau pour 202</w:t>
      </w:r>
      <w:r w:rsidR="00DA4D33">
        <w:rPr>
          <w:lang w:val="fr-FR"/>
        </w:rPr>
        <w:t>1</w:t>
      </w:r>
      <w:r w:rsidR="00DA4D33" w:rsidRPr="00A91A7C">
        <w:rPr>
          <w:lang w:val="fr-FR"/>
        </w:rPr>
        <w:t xml:space="preserve"> (point 9 de l’ordre du jour)</w:t>
      </w:r>
      <w:r w:rsidRPr="00E552FA">
        <w:tab/>
      </w:r>
      <w:r w:rsidRPr="00E552FA">
        <w:tab/>
      </w:r>
      <w:r>
        <w:t>71</w:t>
      </w:r>
      <w:r>
        <w:tab/>
        <w:t>11</w:t>
      </w:r>
    </w:p>
    <w:p w14:paraId="2114837C" w14:textId="1B5B7F4F" w:rsidR="00386464" w:rsidRPr="00E552FA" w:rsidRDefault="00386464" w:rsidP="00386464">
      <w:pPr>
        <w:tabs>
          <w:tab w:val="right" w:pos="850"/>
          <w:tab w:val="left" w:pos="1134"/>
          <w:tab w:val="left" w:pos="1559"/>
          <w:tab w:val="left" w:pos="1984"/>
          <w:tab w:val="left" w:leader="dot" w:pos="7654"/>
          <w:tab w:val="right" w:pos="8929"/>
          <w:tab w:val="right" w:pos="9638"/>
        </w:tabs>
        <w:spacing w:after="120"/>
      </w:pPr>
      <w:r w:rsidRPr="00E552FA">
        <w:tab/>
      </w:r>
      <w:r>
        <w:t>XI</w:t>
      </w:r>
      <w:r w:rsidRPr="00E552FA">
        <w:t>.</w:t>
      </w:r>
      <w:r w:rsidRPr="00E552FA">
        <w:tab/>
      </w:r>
      <w:r w:rsidR="00AE319B" w:rsidRPr="00A91A7C">
        <w:rPr>
          <w:lang w:val="fr-FR"/>
        </w:rPr>
        <w:t>Adoption du rapport (point 10 de l’ordre du jour)</w:t>
      </w:r>
      <w:r w:rsidRPr="00E552FA">
        <w:tab/>
      </w:r>
      <w:r w:rsidRPr="00E552FA">
        <w:tab/>
      </w:r>
      <w:r>
        <w:t>72-73</w:t>
      </w:r>
      <w:r>
        <w:tab/>
        <w:t>11</w:t>
      </w:r>
    </w:p>
    <w:p w14:paraId="2B04E4FE" w14:textId="77777777" w:rsidR="00386464" w:rsidRPr="00E552FA" w:rsidRDefault="00386464" w:rsidP="00386464">
      <w:pPr>
        <w:tabs>
          <w:tab w:val="right" w:pos="850"/>
          <w:tab w:val="left" w:pos="1134"/>
          <w:tab w:val="left" w:pos="1559"/>
          <w:tab w:val="left" w:pos="1984"/>
          <w:tab w:val="left" w:leader="dot" w:pos="8787"/>
          <w:tab w:val="right" w:pos="9638"/>
        </w:tabs>
        <w:spacing w:after="120"/>
      </w:pPr>
      <w:r w:rsidRPr="00E552FA">
        <w:tab/>
        <w:t>Annexes</w:t>
      </w:r>
    </w:p>
    <w:p w14:paraId="75D1BFE8" w14:textId="3A9862BB" w:rsidR="00386464" w:rsidRPr="00E552FA" w:rsidRDefault="00386464" w:rsidP="00386464">
      <w:pPr>
        <w:tabs>
          <w:tab w:val="right" w:pos="850"/>
          <w:tab w:val="left" w:pos="1134"/>
          <w:tab w:val="left" w:pos="1559"/>
          <w:tab w:val="left" w:pos="1984"/>
          <w:tab w:val="left" w:leader="dot" w:pos="8787"/>
          <w:tab w:val="right" w:pos="9638"/>
        </w:tabs>
        <w:spacing w:after="120"/>
      </w:pPr>
      <w:r w:rsidRPr="00E552FA">
        <w:tab/>
        <w:t>I.</w:t>
      </w:r>
      <w:r w:rsidRPr="00E552FA">
        <w:tab/>
      </w:r>
      <w:r w:rsidR="00285D5F" w:rsidRPr="0050519A">
        <w:rPr>
          <w:lang w:val="fr-FR"/>
        </w:rPr>
        <w:t xml:space="preserve">Projet d’amendements à l’annexe A et B de l’ADR pour entrée en vigueur </w:t>
      </w:r>
      <w:r w:rsidR="00285D5F">
        <w:rPr>
          <w:lang w:val="fr-FR"/>
        </w:rPr>
        <w:br/>
      </w:r>
      <w:r w:rsidR="00285D5F">
        <w:rPr>
          <w:lang w:val="fr-FR"/>
        </w:rPr>
        <w:tab/>
      </w:r>
      <w:r w:rsidR="00285D5F">
        <w:rPr>
          <w:lang w:val="fr-FR"/>
        </w:rPr>
        <w:tab/>
      </w:r>
      <w:r w:rsidR="00285D5F" w:rsidRPr="0050519A">
        <w:rPr>
          <w:lang w:val="fr-FR"/>
        </w:rPr>
        <w:t>le 1er janvier 2023</w:t>
      </w:r>
      <w:r w:rsidRPr="00E552FA">
        <w:tab/>
      </w:r>
      <w:r w:rsidRPr="00E552FA">
        <w:tab/>
      </w:r>
      <w:r>
        <w:t>12</w:t>
      </w:r>
    </w:p>
    <w:p w14:paraId="0ABC2D1B" w14:textId="135435BC" w:rsidR="00386464" w:rsidRPr="00E552FA" w:rsidRDefault="00386464" w:rsidP="00386464">
      <w:pPr>
        <w:tabs>
          <w:tab w:val="right" w:pos="850"/>
          <w:tab w:val="left" w:pos="1134"/>
          <w:tab w:val="left" w:pos="1559"/>
          <w:tab w:val="left" w:pos="1984"/>
          <w:tab w:val="left" w:leader="dot" w:pos="8787"/>
          <w:tab w:val="right" w:pos="9638"/>
        </w:tabs>
        <w:spacing w:after="120"/>
      </w:pPr>
      <w:r w:rsidRPr="00E552FA">
        <w:tab/>
        <w:t>II.</w:t>
      </w:r>
      <w:r w:rsidRPr="00E552FA">
        <w:tab/>
      </w:r>
      <w:r w:rsidR="00880CB0">
        <w:rPr>
          <w:lang w:val="fr-FR"/>
        </w:rPr>
        <w:t>Liste de décisions</w:t>
      </w:r>
      <w:r w:rsidRPr="00E552FA">
        <w:tab/>
      </w:r>
      <w:r w:rsidRPr="00E552FA">
        <w:tab/>
      </w:r>
      <w:r>
        <w:t>18</w:t>
      </w:r>
    </w:p>
    <w:p w14:paraId="1B4CE23F" w14:textId="77777777" w:rsidR="000B0BE4" w:rsidRPr="00ED4CEA" w:rsidRDefault="000B0BE4" w:rsidP="006E5E26">
      <w:pPr>
        <w:tabs>
          <w:tab w:val="right" w:pos="850"/>
          <w:tab w:val="left" w:pos="1134"/>
          <w:tab w:val="left" w:pos="1559"/>
          <w:tab w:val="left" w:pos="1984"/>
          <w:tab w:val="left" w:leader="dot" w:pos="7654"/>
          <w:tab w:val="right" w:pos="8929"/>
          <w:tab w:val="right" w:pos="9638"/>
        </w:tabs>
        <w:spacing w:after="120"/>
      </w:pPr>
    </w:p>
    <w:p w14:paraId="2B4A1F9D" w14:textId="77777777" w:rsidR="000B0BE4" w:rsidRPr="000B0BE4" w:rsidRDefault="000B0BE4" w:rsidP="000B0BE4">
      <w:pPr>
        <w:rPr>
          <w:lang w:val="fr-FR"/>
        </w:rPr>
      </w:pPr>
    </w:p>
    <w:p w14:paraId="17BAA613" w14:textId="6E81D428" w:rsidR="00453A35" w:rsidRDefault="00453A35">
      <w:pPr>
        <w:suppressAutoHyphens w:val="0"/>
        <w:kinsoku/>
        <w:overflowPunct/>
        <w:autoSpaceDE/>
        <w:autoSpaceDN/>
        <w:adjustRightInd/>
        <w:snapToGrid/>
        <w:spacing w:after="200" w:line="276" w:lineRule="auto"/>
        <w:rPr>
          <w:lang w:val="fr-FR"/>
        </w:rPr>
      </w:pPr>
      <w:r>
        <w:rPr>
          <w:lang w:val="fr-FR"/>
        </w:rPr>
        <w:br w:type="page"/>
      </w:r>
    </w:p>
    <w:p w14:paraId="0E18FEBA" w14:textId="77777777" w:rsidR="002B62D7" w:rsidRPr="00F12E1F" w:rsidRDefault="002B62D7" w:rsidP="002B62D7">
      <w:pPr>
        <w:pStyle w:val="HChG"/>
      </w:pPr>
      <w:r w:rsidRPr="00F12E1F">
        <w:lastRenderedPageBreak/>
        <w:tab/>
        <w:t>I.</w:t>
      </w:r>
      <w:r w:rsidRPr="00F12E1F">
        <w:tab/>
      </w:r>
      <w:r>
        <w:t>Questions d’organisation et p</w:t>
      </w:r>
      <w:r w:rsidRPr="00F12E1F">
        <w:t>articipation</w:t>
      </w:r>
    </w:p>
    <w:p w14:paraId="6FF0ED93" w14:textId="77777777" w:rsidR="002B62D7" w:rsidRDefault="002B62D7" w:rsidP="002B62D7">
      <w:pPr>
        <w:pStyle w:val="SingleTxtG"/>
        <w:rPr>
          <w:lang w:val="fr-FR"/>
        </w:rPr>
      </w:pPr>
      <w:r w:rsidRPr="00047D1A">
        <w:rPr>
          <w:lang w:val="fr-FR"/>
        </w:rPr>
        <w:t>1.</w:t>
      </w:r>
      <w:r w:rsidRPr="00047D1A">
        <w:rPr>
          <w:lang w:val="fr-FR"/>
        </w:rPr>
        <w:tab/>
        <w:t>Le Groupe de travail des transports de marchandises dangereuses a tenu sa 10</w:t>
      </w:r>
      <w:r>
        <w:rPr>
          <w:lang w:val="fr-FR"/>
        </w:rPr>
        <w:t>8</w:t>
      </w:r>
      <w:r w:rsidRPr="00373DE3">
        <w:rPr>
          <w:lang w:val="fr-FR"/>
        </w:rPr>
        <w:t>e</w:t>
      </w:r>
      <w:r>
        <w:rPr>
          <w:lang w:val="fr-FR"/>
        </w:rPr>
        <w:t> </w:t>
      </w:r>
      <w:r w:rsidRPr="00047D1A">
        <w:rPr>
          <w:lang w:val="fr-FR"/>
        </w:rPr>
        <w:t xml:space="preserve">session du </w:t>
      </w:r>
      <w:r>
        <w:rPr>
          <w:lang w:val="fr-FR"/>
        </w:rPr>
        <w:t>10</w:t>
      </w:r>
      <w:r w:rsidRPr="00047D1A">
        <w:rPr>
          <w:lang w:val="fr-FR"/>
        </w:rPr>
        <w:t xml:space="preserve"> au </w:t>
      </w:r>
      <w:r>
        <w:rPr>
          <w:lang w:val="fr-FR"/>
        </w:rPr>
        <w:t>13</w:t>
      </w:r>
      <w:r w:rsidRPr="00047D1A">
        <w:rPr>
          <w:lang w:val="fr-FR"/>
        </w:rPr>
        <w:t xml:space="preserve"> </w:t>
      </w:r>
      <w:r>
        <w:rPr>
          <w:lang w:val="fr-FR"/>
        </w:rPr>
        <w:t>novembre</w:t>
      </w:r>
      <w:r w:rsidRPr="00047D1A">
        <w:rPr>
          <w:lang w:val="fr-FR"/>
        </w:rPr>
        <w:t xml:space="preserve"> 20</w:t>
      </w:r>
      <w:r>
        <w:rPr>
          <w:lang w:val="fr-FR"/>
        </w:rPr>
        <w:t>20</w:t>
      </w:r>
      <w:r w:rsidRPr="00047D1A">
        <w:rPr>
          <w:lang w:val="fr-FR"/>
        </w:rPr>
        <w:t xml:space="preserve"> sous la présidence de </w:t>
      </w:r>
      <w:r w:rsidRPr="0012735B">
        <w:rPr>
          <w:lang w:val="fr-FR"/>
        </w:rPr>
        <w:t>M</w:t>
      </w:r>
      <w:r w:rsidRPr="0012735B">
        <w:rPr>
          <w:vertAlign w:val="superscript"/>
          <w:lang w:val="fr-FR"/>
        </w:rPr>
        <w:t>me</w:t>
      </w:r>
      <w:r w:rsidRPr="0012735B">
        <w:rPr>
          <w:lang w:val="fr-FR"/>
        </w:rPr>
        <w:t> </w:t>
      </w:r>
      <w:r w:rsidRPr="00047D1A">
        <w:rPr>
          <w:lang w:val="fr-FR"/>
        </w:rPr>
        <w:t>A.</w:t>
      </w:r>
      <w:r>
        <w:rPr>
          <w:lang w:val="fr-FR"/>
        </w:rPr>
        <w:t> </w:t>
      </w:r>
      <w:r w:rsidRPr="00047D1A">
        <w:rPr>
          <w:lang w:val="fr-FR"/>
        </w:rPr>
        <w:t>Roumier (France)</w:t>
      </w:r>
      <w:r>
        <w:rPr>
          <w:lang w:val="fr-FR"/>
        </w:rPr>
        <w:t xml:space="preserve"> </w:t>
      </w:r>
      <w:r w:rsidRPr="00047D1A">
        <w:rPr>
          <w:lang w:val="fr-FR"/>
        </w:rPr>
        <w:t>et la vice-présidence de</w:t>
      </w:r>
      <w:r>
        <w:rPr>
          <w:lang w:val="fr-FR"/>
        </w:rPr>
        <w:t xml:space="preserve"> M. A. Simoni (Italie)</w:t>
      </w:r>
      <w:r w:rsidRPr="00047D1A">
        <w:rPr>
          <w:lang w:val="fr-FR"/>
        </w:rPr>
        <w:t>.</w:t>
      </w:r>
    </w:p>
    <w:p w14:paraId="08D70F9A" w14:textId="77777777" w:rsidR="002B62D7" w:rsidRPr="00F12E1F" w:rsidRDefault="002B62D7" w:rsidP="002B62D7">
      <w:pPr>
        <w:pStyle w:val="H1G"/>
      </w:pPr>
      <w:r w:rsidRPr="00F12E1F">
        <w:tab/>
      </w:r>
      <w:r>
        <w:t>A</w:t>
      </w:r>
      <w:r w:rsidRPr="00F12E1F">
        <w:t>.</w:t>
      </w:r>
      <w:r w:rsidRPr="00F12E1F">
        <w:tab/>
      </w:r>
      <w:r>
        <w:t>Questions d’organisation</w:t>
      </w:r>
    </w:p>
    <w:p w14:paraId="3D7E2956" w14:textId="77777777" w:rsidR="002B62D7" w:rsidRPr="004E1915" w:rsidRDefault="002B62D7" w:rsidP="009073B5">
      <w:pPr>
        <w:pStyle w:val="SingleTxtG"/>
        <w:tabs>
          <w:tab w:val="left" w:pos="3402"/>
        </w:tabs>
        <w:ind w:left="2268" w:hanging="1134"/>
        <w:jc w:val="left"/>
        <w:rPr>
          <w:szCs w:val="24"/>
          <w:lang w:val="fr-FR"/>
        </w:rPr>
      </w:pPr>
      <w:r>
        <w:rPr>
          <w:i/>
          <w:lang w:val="fr-FR"/>
        </w:rPr>
        <w:t>Document informel </w:t>
      </w:r>
      <w:r w:rsidRPr="004B4555">
        <w:rPr>
          <w:lang w:val="fr-FR"/>
        </w:rPr>
        <w:t>:</w:t>
      </w:r>
      <w:r w:rsidRPr="004B4555">
        <w:rPr>
          <w:lang w:val="fr-FR"/>
        </w:rPr>
        <w:tab/>
      </w:r>
      <w:r>
        <w:rPr>
          <w:szCs w:val="24"/>
          <w:lang w:val="fr-FR"/>
        </w:rPr>
        <w:t>INF.7/Rev.1 (Secrétariat)</w:t>
      </w:r>
    </w:p>
    <w:p w14:paraId="2C04B065" w14:textId="77777777" w:rsidR="002B62D7" w:rsidRPr="00537B3D" w:rsidRDefault="002B62D7" w:rsidP="002B62D7">
      <w:pPr>
        <w:pStyle w:val="SingleTxtG"/>
        <w:rPr>
          <w:lang w:val="fr-FR"/>
        </w:rPr>
      </w:pPr>
      <w:r>
        <w:rPr>
          <w:lang w:val="fr-FR"/>
        </w:rPr>
        <w:t>2.</w:t>
      </w:r>
      <w:r>
        <w:rPr>
          <w:lang w:val="fr-FR"/>
        </w:rPr>
        <w:tab/>
      </w:r>
      <w:r w:rsidRPr="00537B3D">
        <w:rPr>
          <w:lang w:val="fr-FR"/>
        </w:rPr>
        <w:t xml:space="preserve">En raison de la pandémie de coronavirus et des mesures mises en œuvre par la Commission économique pour l'Europe et </w:t>
      </w:r>
      <w:r>
        <w:rPr>
          <w:lang w:val="fr-FR"/>
        </w:rPr>
        <w:t>par l</w:t>
      </w:r>
      <w:r w:rsidRPr="00537B3D">
        <w:rPr>
          <w:lang w:val="fr-FR"/>
        </w:rPr>
        <w:t xml:space="preserve">es Parties contractantes à l'ADR pour protéger la santé publique, telles que les restrictions de voyage, </w:t>
      </w:r>
      <w:r>
        <w:rPr>
          <w:lang w:val="fr-FR"/>
        </w:rPr>
        <w:t>l</w:t>
      </w:r>
      <w:r w:rsidRPr="00537B3D">
        <w:rPr>
          <w:lang w:val="fr-FR"/>
        </w:rPr>
        <w:t xml:space="preserve">a </w:t>
      </w:r>
      <w:r>
        <w:rPr>
          <w:lang w:val="fr-FR"/>
        </w:rPr>
        <w:t xml:space="preserve">108e </w:t>
      </w:r>
      <w:r w:rsidRPr="00537B3D">
        <w:rPr>
          <w:lang w:val="fr-FR"/>
        </w:rPr>
        <w:t>session, initialement prévue du 11 au 15 mai, a</w:t>
      </w:r>
      <w:r>
        <w:rPr>
          <w:lang w:val="fr-FR"/>
        </w:rPr>
        <w:t>vait</w:t>
      </w:r>
      <w:r w:rsidRPr="00537B3D">
        <w:rPr>
          <w:lang w:val="fr-FR"/>
        </w:rPr>
        <w:t xml:space="preserve"> été </w:t>
      </w:r>
      <w:r>
        <w:rPr>
          <w:lang w:val="fr-FR"/>
        </w:rPr>
        <w:t xml:space="preserve">initialement </w:t>
      </w:r>
      <w:r w:rsidRPr="00537B3D">
        <w:rPr>
          <w:lang w:val="fr-FR"/>
        </w:rPr>
        <w:t>reportée aux 9-13 novembre 2020 à la place de la 109e session.</w:t>
      </w:r>
    </w:p>
    <w:p w14:paraId="4AEFD899" w14:textId="286AE8BF" w:rsidR="002B62D7" w:rsidRDefault="002B62D7" w:rsidP="002B62D7">
      <w:pPr>
        <w:pStyle w:val="SingleTxtG"/>
        <w:rPr>
          <w:lang w:val="fr-FR"/>
        </w:rPr>
      </w:pPr>
      <w:r>
        <w:rPr>
          <w:lang w:val="fr-FR"/>
        </w:rPr>
        <w:t>3</w:t>
      </w:r>
      <w:r w:rsidRPr="00537B3D">
        <w:rPr>
          <w:lang w:val="fr-FR"/>
        </w:rPr>
        <w:t>.</w:t>
      </w:r>
      <w:r>
        <w:rPr>
          <w:lang w:val="fr-FR"/>
        </w:rPr>
        <w:tab/>
        <w:t>De plus, e</w:t>
      </w:r>
      <w:r>
        <w:t xml:space="preserve">n raison d'une combinaison de mesures d'intervention COVID-19, de contraintes financières déclenchées par la crise de liquidités à laquelle l'Organisation des Nations Unies est confrontée, des travaux de rénovation en cours au Palais des Nations dans le cadre du Plan stratégique patrimonial et de contraintes techniques liées au nombre de salles de réunion disponibles pour les réunions hybrides, la part des services de réunion avec interprétation allouée à la </w:t>
      </w:r>
      <w:r w:rsidRPr="00537B3D">
        <w:rPr>
          <w:lang w:val="fr-FR"/>
        </w:rPr>
        <w:t xml:space="preserve">Commission économique pour l'Europe </w:t>
      </w:r>
      <w:r>
        <w:t xml:space="preserve">a été réduite de trois réunions par jours à une seule par jour pour le dernier trimestre 2020. </w:t>
      </w:r>
      <w:r w:rsidRPr="00537B3D">
        <w:rPr>
          <w:lang w:val="fr-FR"/>
        </w:rPr>
        <w:t>Compte tenu de ces facteurs</w:t>
      </w:r>
      <w:r>
        <w:rPr>
          <w:lang w:val="fr-FR"/>
        </w:rPr>
        <w:t xml:space="preserve"> et</w:t>
      </w:r>
      <w:r w:rsidRPr="00537B3D">
        <w:rPr>
          <w:lang w:val="fr-FR"/>
        </w:rPr>
        <w:t xml:space="preserve"> des restrictions de quarantaine et de voyage en vigueur, et après consultation du secrétariat et des services de conférence de l’ONUG, le Bureau du Groupe de travail a décidé d’adapter le format de la 108e session</w:t>
      </w:r>
      <w:r>
        <w:rPr>
          <w:lang w:val="fr-FR"/>
        </w:rPr>
        <w:t>.</w:t>
      </w:r>
    </w:p>
    <w:p w14:paraId="6E55517A" w14:textId="77777777" w:rsidR="002B62D7" w:rsidRDefault="002B62D7" w:rsidP="002B62D7">
      <w:pPr>
        <w:pStyle w:val="SingleTxtG"/>
        <w:rPr>
          <w:lang w:val="fr-FR"/>
        </w:rPr>
      </w:pPr>
      <w:r>
        <w:rPr>
          <w:lang w:val="fr-FR"/>
        </w:rPr>
        <w:t>4.</w:t>
      </w:r>
      <w:r>
        <w:rPr>
          <w:lang w:val="fr-FR"/>
        </w:rPr>
        <w:tab/>
        <w:t>En conséquence, la session s’est tenue du 10 au 13 novembre 2020, sous format hybride, avec la possibilité de participer en ligne ou en présentiel. Les 10 et 11 novembre, le Groupe de travail s’est réuni en réunions informelles sans interprétation. Les 12 et 13 novembre 2020, le Groupe de travail s’est réuni en réunions hybrides officielles au cours desquelles il a pu</w:t>
      </w:r>
      <w:r w:rsidRPr="00C76227">
        <w:rPr>
          <w:lang w:val="fr-FR"/>
        </w:rPr>
        <w:t xml:space="preserve"> prendre des décisions sur les propositions et adopter le projet de rapport de la réunion.</w:t>
      </w:r>
    </w:p>
    <w:p w14:paraId="5A23A4BD" w14:textId="77777777" w:rsidR="002B62D7" w:rsidRPr="00F12E1F" w:rsidRDefault="002B62D7" w:rsidP="002B62D7">
      <w:pPr>
        <w:pStyle w:val="H1G"/>
      </w:pPr>
      <w:r w:rsidRPr="00F12E1F">
        <w:tab/>
      </w:r>
      <w:r>
        <w:t>B</w:t>
      </w:r>
      <w:r w:rsidRPr="00F12E1F">
        <w:t>.</w:t>
      </w:r>
      <w:r w:rsidRPr="00F12E1F">
        <w:tab/>
      </w:r>
      <w:r>
        <w:t>Participation</w:t>
      </w:r>
    </w:p>
    <w:p w14:paraId="2473C466" w14:textId="709D4DA1" w:rsidR="002B62D7" w:rsidRPr="00CE1BD4" w:rsidRDefault="002B62D7" w:rsidP="002B62D7">
      <w:pPr>
        <w:pStyle w:val="SingleTxtG"/>
        <w:rPr>
          <w:lang w:val="fr-FR"/>
        </w:rPr>
      </w:pPr>
      <w:r>
        <w:rPr>
          <w:lang w:val="fr-FR"/>
        </w:rPr>
        <w:t>5</w:t>
      </w:r>
      <w:r w:rsidRPr="00047D1A">
        <w:rPr>
          <w:lang w:val="fr-FR"/>
        </w:rPr>
        <w:t>.</w:t>
      </w:r>
      <w:r w:rsidRPr="00047D1A">
        <w:rPr>
          <w:lang w:val="fr-FR"/>
        </w:rPr>
        <w:tab/>
      </w:r>
      <w:r w:rsidRPr="00CE1BD4">
        <w:rPr>
          <w:lang w:val="fr-FR"/>
        </w:rPr>
        <w:t xml:space="preserve">Ont pris part à la session des représentants des pays suivants : Allemagne, Autriche, Bélarus, Belgique, Danemark, Espagne, Fédération de Russie, Finlande, France, Grèce, </w:t>
      </w:r>
      <w:r w:rsidR="00951063">
        <w:rPr>
          <w:lang w:val="fr-FR"/>
        </w:rPr>
        <w:t xml:space="preserve">Irlande, </w:t>
      </w:r>
      <w:r w:rsidRPr="00CE1BD4">
        <w:rPr>
          <w:lang w:val="fr-FR"/>
        </w:rPr>
        <w:t xml:space="preserve">Italie, Lettonie, Luxembourg, </w:t>
      </w:r>
      <w:r>
        <w:rPr>
          <w:lang w:val="fr-FR"/>
        </w:rPr>
        <w:t xml:space="preserve">Norvège, </w:t>
      </w:r>
      <w:r w:rsidRPr="00CE1BD4">
        <w:rPr>
          <w:lang w:val="fr-FR"/>
        </w:rPr>
        <w:t>Pays-Bas, Portugal, Roumanie, Royaume-Uni, Suède, Suisse, Tchéquie et Turquie.</w:t>
      </w:r>
    </w:p>
    <w:p w14:paraId="6713DFE8" w14:textId="16E696F5" w:rsidR="00567389" w:rsidRPr="00047D1A" w:rsidRDefault="00567389" w:rsidP="00567389">
      <w:pPr>
        <w:pStyle w:val="SingleTxtG"/>
      </w:pPr>
      <w:r>
        <w:rPr>
          <w:lang w:val="fr-FR"/>
        </w:rPr>
        <w:t>6</w:t>
      </w:r>
      <w:r w:rsidRPr="00A81676">
        <w:rPr>
          <w:lang w:val="fr-FR"/>
        </w:rPr>
        <w:t>.</w:t>
      </w:r>
      <w:r w:rsidRPr="00A81676">
        <w:rPr>
          <w:lang w:val="fr-FR"/>
        </w:rPr>
        <w:tab/>
      </w:r>
      <w:r>
        <w:rPr>
          <w:lang w:val="fr-FR"/>
        </w:rPr>
        <w:t>Un représentant de la Tunisie</w:t>
      </w:r>
      <w:r w:rsidRPr="00A81676">
        <w:rPr>
          <w:lang w:val="fr-FR"/>
        </w:rPr>
        <w:t xml:space="preserve"> </w:t>
      </w:r>
      <w:r w:rsidR="00AB60E1">
        <w:rPr>
          <w:lang w:val="fr-FR"/>
        </w:rPr>
        <w:t>a</w:t>
      </w:r>
      <w:r w:rsidRPr="00A81676">
        <w:rPr>
          <w:lang w:val="fr-FR"/>
        </w:rPr>
        <w:t xml:space="preserve"> participé à la session conformément aux</w:t>
      </w:r>
      <w:r w:rsidRPr="00047D1A">
        <w:rPr>
          <w:lang w:val="fr-FR"/>
        </w:rPr>
        <w:t xml:space="preserve"> dispositions du paragraphe 11 du mandat de la Commission économique pour l’Europe. </w:t>
      </w:r>
      <w:r>
        <w:rPr>
          <w:lang w:val="fr-FR"/>
        </w:rPr>
        <w:t>Il</w:t>
      </w:r>
      <w:r w:rsidRPr="00047D1A">
        <w:rPr>
          <w:lang w:val="fr-FR"/>
        </w:rPr>
        <w:t xml:space="preserve"> </w:t>
      </w:r>
      <w:r w:rsidR="00AB60E1">
        <w:rPr>
          <w:lang w:val="fr-FR"/>
        </w:rPr>
        <w:t>a</w:t>
      </w:r>
      <w:r w:rsidRPr="00047D1A">
        <w:rPr>
          <w:lang w:val="fr-FR"/>
        </w:rPr>
        <w:t xml:space="preserve"> pris part de plein droit à la session pour les questions relatives à l’Accord européen relatif au transport international des marchandises dangereuses par route (ADR), conformément à l’article premier, alinéa b), du règlement intérieur du Groupe de travail.</w:t>
      </w:r>
    </w:p>
    <w:p w14:paraId="08423973" w14:textId="286FB10B" w:rsidR="002B62D7" w:rsidRPr="00A81676" w:rsidRDefault="00705E24" w:rsidP="002B62D7">
      <w:pPr>
        <w:pStyle w:val="SingleTxtG"/>
      </w:pPr>
      <w:r>
        <w:rPr>
          <w:lang w:val="fr-FR"/>
        </w:rPr>
        <w:t>7</w:t>
      </w:r>
      <w:r w:rsidR="002B62D7" w:rsidRPr="00A81676">
        <w:rPr>
          <w:lang w:val="fr-FR"/>
        </w:rPr>
        <w:t>.</w:t>
      </w:r>
      <w:r w:rsidR="002B62D7" w:rsidRPr="00A81676">
        <w:rPr>
          <w:lang w:val="fr-FR"/>
        </w:rPr>
        <w:tab/>
        <w:t>L’Union européenne était représentée.</w:t>
      </w:r>
    </w:p>
    <w:p w14:paraId="6FA2B3B0" w14:textId="5FE7BBAD" w:rsidR="002B62D7" w:rsidRPr="00A81676" w:rsidRDefault="00705E24" w:rsidP="002B62D7">
      <w:pPr>
        <w:pStyle w:val="SingleTxtG"/>
      </w:pPr>
      <w:r>
        <w:rPr>
          <w:lang w:val="fr-FR"/>
        </w:rPr>
        <w:t>8</w:t>
      </w:r>
      <w:r w:rsidR="002B62D7" w:rsidRPr="00A81676">
        <w:rPr>
          <w:lang w:val="fr-FR"/>
        </w:rPr>
        <w:t>.</w:t>
      </w:r>
      <w:r w:rsidR="002B62D7" w:rsidRPr="00A81676">
        <w:rPr>
          <w:lang w:val="fr-FR"/>
        </w:rPr>
        <w:tab/>
        <w:t>L’organisation intergouvernementale suivante était représentée : Organisation intergouvernementale pour les transports internationaux ferroviaires (OTIF).</w:t>
      </w:r>
    </w:p>
    <w:p w14:paraId="4FD448A5" w14:textId="5817BD07" w:rsidR="002B62D7" w:rsidRDefault="00705E24" w:rsidP="002B62D7">
      <w:pPr>
        <w:pStyle w:val="SingleTxtG"/>
        <w:rPr>
          <w:lang w:val="fr-FR"/>
        </w:rPr>
      </w:pPr>
      <w:r>
        <w:rPr>
          <w:lang w:val="fr-FR"/>
        </w:rPr>
        <w:t>9</w:t>
      </w:r>
      <w:r w:rsidR="002B62D7" w:rsidRPr="00A81676">
        <w:rPr>
          <w:lang w:val="fr-FR"/>
        </w:rPr>
        <w:t>.</w:t>
      </w:r>
      <w:r w:rsidR="002B62D7" w:rsidRPr="00A81676">
        <w:rPr>
          <w:lang w:val="fr-FR"/>
        </w:rPr>
        <w:tab/>
      </w:r>
      <w:r w:rsidR="002B62D7" w:rsidRPr="00CE1BD4">
        <w:rPr>
          <w:lang w:val="fr-FR"/>
        </w:rPr>
        <w:t xml:space="preserve">Les organisations non gouvernementales suivantes étaient représentées : </w:t>
      </w:r>
      <w:r w:rsidR="002B62D7" w:rsidRPr="00A91A7C">
        <w:rPr>
          <w:lang w:val="fr-FR"/>
        </w:rPr>
        <w:t xml:space="preserve">la Conférence européenne des négociants en combustibles et carburants (ECFD), </w:t>
      </w:r>
      <w:r w:rsidR="002B62D7" w:rsidRPr="00CE1BD4">
        <w:rPr>
          <w:lang w:val="fr-FR"/>
        </w:rPr>
        <w:t xml:space="preserve">le Conseil européen de l’industrie chimique (CEFIC), </w:t>
      </w:r>
      <w:r w:rsidR="002B62D7">
        <w:rPr>
          <w:lang w:val="fr-FR"/>
        </w:rPr>
        <w:t>Council on Safe Transportation of Hazardous Articles (COSTHA), FuelsEurope, l’</w:t>
      </w:r>
      <w:r w:rsidR="002B62D7" w:rsidRPr="00CE1BD4">
        <w:rPr>
          <w:lang w:val="fr-FR"/>
        </w:rPr>
        <w:t>Organisation internationale des constructeurs automobiles (OICA)</w:t>
      </w:r>
      <w:r w:rsidR="002B62D7" w:rsidRPr="000E0A31">
        <w:rPr>
          <w:lang w:val="fr-FR"/>
        </w:rPr>
        <w:t xml:space="preserve"> et l’Union internationale des transports routiers (IRU). Le projet EuroMed était également représenté.</w:t>
      </w:r>
    </w:p>
    <w:p w14:paraId="1DF3B663" w14:textId="77777777" w:rsidR="002B62D7" w:rsidRPr="00047D1A" w:rsidRDefault="002B62D7" w:rsidP="002B62D7">
      <w:pPr>
        <w:pStyle w:val="HChG"/>
      </w:pPr>
      <w:r w:rsidRPr="00047D1A">
        <w:rPr>
          <w:lang w:val="fr-FR"/>
        </w:rPr>
        <w:lastRenderedPageBreak/>
        <w:tab/>
        <w:t>II.</w:t>
      </w:r>
      <w:r w:rsidRPr="00047D1A">
        <w:rPr>
          <w:lang w:val="fr-FR"/>
        </w:rPr>
        <w:tab/>
      </w:r>
      <w:bookmarkStart w:id="1" w:name="_Hlk6316889"/>
      <w:r w:rsidRPr="00047D1A">
        <w:rPr>
          <w:lang w:val="fr-FR"/>
        </w:rPr>
        <w:t>Adoption de l’ordre du jour (point 1 de l’ordre du jour)</w:t>
      </w:r>
      <w:bookmarkStart w:id="2" w:name="_Toc499903630"/>
      <w:bookmarkEnd w:id="1"/>
      <w:bookmarkEnd w:id="2"/>
    </w:p>
    <w:p w14:paraId="29A8C2A4" w14:textId="32E8243A" w:rsidR="002B62D7" w:rsidRPr="00047D1A" w:rsidRDefault="002B62D7" w:rsidP="002B62D7">
      <w:pPr>
        <w:pStyle w:val="SingleTxtG"/>
        <w:spacing w:after="0"/>
        <w:ind w:left="3402" w:hanging="2268"/>
      </w:pPr>
      <w:r w:rsidRPr="00047D1A">
        <w:rPr>
          <w:i/>
          <w:iCs/>
          <w:lang w:val="fr-FR"/>
        </w:rPr>
        <w:t>Documents</w:t>
      </w:r>
      <w:r>
        <w:rPr>
          <w:i/>
          <w:iCs/>
          <w:lang w:val="fr-FR"/>
        </w:rPr>
        <w:t> </w:t>
      </w:r>
      <w:r w:rsidRPr="00F871EF">
        <w:rPr>
          <w:iCs/>
          <w:lang w:val="fr-FR"/>
        </w:rPr>
        <w:t>:</w:t>
      </w:r>
      <w:r w:rsidRPr="00047D1A">
        <w:rPr>
          <w:lang w:val="fr-FR"/>
        </w:rPr>
        <w:tab/>
        <w:t>ECE/TRANS/WP.15/2</w:t>
      </w:r>
      <w:r>
        <w:rPr>
          <w:lang w:val="fr-FR"/>
        </w:rPr>
        <w:t>50/Rev.1</w:t>
      </w:r>
      <w:r w:rsidRPr="00047D1A">
        <w:rPr>
          <w:lang w:val="fr-FR"/>
        </w:rPr>
        <w:t xml:space="preserve"> et Add.1</w:t>
      </w:r>
      <w:r>
        <w:rPr>
          <w:lang w:val="fr-FR"/>
        </w:rPr>
        <w:t>/Rev.1</w:t>
      </w:r>
      <w:r w:rsidRPr="00047D1A">
        <w:rPr>
          <w:lang w:val="fr-FR"/>
        </w:rPr>
        <w:t xml:space="preserve"> (secrétariat)</w:t>
      </w:r>
    </w:p>
    <w:p w14:paraId="4A3FDCC7" w14:textId="77777777" w:rsidR="002B62D7" w:rsidRPr="00047D1A" w:rsidRDefault="002B62D7" w:rsidP="002B62D7">
      <w:pPr>
        <w:pStyle w:val="SingleTxtG"/>
        <w:ind w:left="3402" w:hanging="2268"/>
      </w:pPr>
      <w:r w:rsidRPr="00047D1A">
        <w:rPr>
          <w:i/>
          <w:iCs/>
          <w:lang w:val="fr-FR"/>
        </w:rPr>
        <w:t>Documents informels</w:t>
      </w:r>
      <w:r>
        <w:rPr>
          <w:i/>
          <w:iCs/>
          <w:lang w:val="fr-FR"/>
        </w:rPr>
        <w:t> </w:t>
      </w:r>
      <w:r w:rsidRPr="00047D1A">
        <w:rPr>
          <w:lang w:val="fr-FR"/>
        </w:rPr>
        <w:t>:</w:t>
      </w:r>
      <w:r w:rsidRPr="00047D1A">
        <w:rPr>
          <w:lang w:val="fr-FR"/>
        </w:rPr>
        <w:tab/>
        <w:t>INF.1</w:t>
      </w:r>
      <w:r>
        <w:rPr>
          <w:lang w:val="fr-FR"/>
        </w:rPr>
        <w:t xml:space="preserve">, </w:t>
      </w:r>
      <w:r w:rsidRPr="00047D1A">
        <w:rPr>
          <w:lang w:val="fr-FR"/>
        </w:rPr>
        <w:t>INF.2</w:t>
      </w:r>
      <w:r>
        <w:rPr>
          <w:lang w:val="fr-FR"/>
        </w:rPr>
        <w:t>, INF.7/Rev.1 et INF.15</w:t>
      </w:r>
      <w:r w:rsidRPr="00047D1A">
        <w:rPr>
          <w:lang w:val="fr-FR"/>
        </w:rPr>
        <w:t xml:space="preserve"> (secrétariat)</w:t>
      </w:r>
    </w:p>
    <w:p w14:paraId="0F0597E9" w14:textId="2D5BE58C" w:rsidR="002B62D7" w:rsidRDefault="00705E24" w:rsidP="002B62D7">
      <w:pPr>
        <w:pStyle w:val="SingleTxtG"/>
        <w:rPr>
          <w:lang w:val="fr-FR"/>
        </w:rPr>
      </w:pPr>
      <w:r>
        <w:rPr>
          <w:lang w:val="fr-FR"/>
        </w:rPr>
        <w:t>10</w:t>
      </w:r>
      <w:r w:rsidR="002B62D7" w:rsidRPr="00047D1A">
        <w:rPr>
          <w:lang w:val="fr-FR"/>
        </w:rPr>
        <w:t>.</w:t>
      </w:r>
      <w:r w:rsidR="002B62D7" w:rsidRPr="00047D1A">
        <w:rPr>
          <w:lang w:val="fr-FR"/>
        </w:rPr>
        <w:tab/>
        <w:t>Le Groupe de travail a adopté l’ordre du jour provisoire établi par le secrétariat, tel que modifié par le document informel INF.2 pour tenir compte des documents informels INF.1 à INF</w:t>
      </w:r>
      <w:r w:rsidR="00951063" w:rsidRPr="00047D1A">
        <w:rPr>
          <w:lang w:val="fr-FR"/>
        </w:rPr>
        <w:t>.</w:t>
      </w:r>
      <w:r w:rsidR="00951063">
        <w:rPr>
          <w:lang w:val="fr-FR"/>
        </w:rPr>
        <w:t>27</w:t>
      </w:r>
      <w:r w:rsidR="00951063" w:rsidRPr="00047D1A">
        <w:rPr>
          <w:lang w:val="fr-FR"/>
        </w:rPr>
        <w:t>.</w:t>
      </w:r>
    </w:p>
    <w:p w14:paraId="64A18269" w14:textId="77777777" w:rsidR="002B62D7" w:rsidRPr="00047D1A" w:rsidRDefault="002B62D7" w:rsidP="002B62D7">
      <w:pPr>
        <w:pStyle w:val="HChG"/>
      </w:pPr>
      <w:r w:rsidRPr="00047D1A">
        <w:rPr>
          <w:lang w:val="fr-FR"/>
        </w:rPr>
        <w:tab/>
        <w:t>II</w:t>
      </w:r>
      <w:r>
        <w:rPr>
          <w:lang w:val="fr-FR"/>
        </w:rPr>
        <w:t>I</w:t>
      </w:r>
      <w:r w:rsidRPr="00047D1A">
        <w:rPr>
          <w:lang w:val="fr-FR"/>
        </w:rPr>
        <w:t>.</w:t>
      </w:r>
      <w:r w:rsidRPr="00047D1A">
        <w:rPr>
          <w:lang w:val="fr-FR"/>
        </w:rPr>
        <w:tab/>
      </w:r>
      <w:r>
        <w:rPr>
          <w:lang w:val="fr-FR"/>
        </w:rPr>
        <w:t>Quatre-vingt-deuxième session du Comité des transports intérieurs</w:t>
      </w:r>
      <w:r w:rsidRPr="00047D1A">
        <w:rPr>
          <w:lang w:val="fr-FR"/>
        </w:rPr>
        <w:t xml:space="preserve"> (point </w:t>
      </w:r>
      <w:r>
        <w:rPr>
          <w:lang w:val="fr-FR"/>
        </w:rPr>
        <w:t>2</w:t>
      </w:r>
      <w:r w:rsidRPr="00047D1A">
        <w:rPr>
          <w:lang w:val="fr-FR"/>
        </w:rPr>
        <w:t xml:space="preserve"> de l’ordre du jour)</w:t>
      </w:r>
    </w:p>
    <w:p w14:paraId="2314DBE6" w14:textId="28F3974F" w:rsidR="002B62D7" w:rsidRPr="00047D1A" w:rsidRDefault="002B62D7" w:rsidP="002B62D7">
      <w:pPr>
        <w:pStyle w:val="SingleTxtG"/>
        <w:spacing w:after="0"/>
        <w:ind w:left="3402" w:hanging="2268"/>
      </w:pPr>
      <w:r w:rsidRPr="00047D1A">
        <w:rPr>
          <w:i/>
          <w:iCs/>
          <w:lang w:val="fr-FR"/>
        </w:rPr>
        <w:t>Document</w:t>
      </w:r>
      <w:r>
        <w:rPr>
          <w:i/>
          <w:iCs/>
          <w:lang w:val="fr-FR"/>
        </w:rPr>
        <w:t>s </w:t>
      </w:r>
      <w:r w:rsidRPr="00F871EF">
        <w:rPr>
          <w:iCs/>
          <w:lang w:val="fr-FR"/>
        </w:rPr>
        <w:t>:</w:t>
      </w:r>
      <w:r w:rsidRPr="00047D1A">
        <w:rPr>
          <w:lang w:val="fr-FR"/>
        </w:rPr>
        <w:tab/>
        <w:t>ECE/TRANS/</w:t>
      </w:r>
      <w:r w:rsidR="00AA5AD5">
        <w:rPr>
          <w:lang w:val="fr-FR"/>
        </w:rPr>
        <w:t>294</w:t>
      </w:r>
      <w:r w:rsidRPr="00047D1A">
        <w:rPr>
          <w:lang w:val="fr-FR"/>
        </w:rPr>
        <w:t xml:space="preserve"> et Add.1 (secrétariat)</w:t>
      </w:r>
    </w:p>
    <w:p w14:paraId="7244D3A7" w14:textId="77777777" w:rsidR="002B62D7" w:rsidRPr="00047D1A" w:rsidRDefault="002B62D7" w:rsidP="002B62D7">
      <w:pPr>
        <w:pStyle w:val="SingleTxtG"/>
        <w:ind w:left="3402" w:hanging="2268"/>
      </w:pPr>
      <w:r w:rsidRPr="000E0A31">
        <w:rPr>
          <w:i/>
          <w:iCs/>
          <w:lang w:val="fr-FR"/>
        </w:rPr>
        <w:t>Document informel </w:t>
      </w:r>
      <w:r w:rsidRPr="000E0A31">
        <w:rPr>
          <w:lang w:val="fr-FR"/>
        </w:rPr>
        <w:t>:</w:t>
      </w:r>
      <w:r w:rsidRPr="000E0A31">
        <w:rPr>
          <w:lang w:val="fr-FR"/>
        </w:rPr>
        <w:tab/>
        <w:t>INF.19 (secrétariat)</w:t>
      </w:r>
    </w:p>
    <w:p w14:paraId="5578AA59" w14:textId="2400804D" w:rsidR="002B62D7" w:rsidRDefault="00A47E7A" w:rsidP="002B62D7">
      <w:pPr>
        <w:pStyle w:val="SingleTxtG"/>
        <w:rPr>
          <w:lang w:val="fr-FR"/>
        </w:rPr>
      </w:pPr>
      <w:r>
        <w:rPr>
          <w:lang w:val="fr-FR"/>
        </w:rPr>
        <w:t>11</w:t>
      </w:r>
      <w:r w:rsidR="002B62D7">
        <w:rPr>
          <w:lang w:val="fr-FR"/>
        </w:rPr>
        <w:t>.</w:t>
      </w:r>
      <w:r w:rsidR="002B62D7">
        <w:rPr>
          <w:lang w:val="fr-FR"/>
        </w:rPr>
        <w:tab/>
        <w:t>Le Groupe de travail a pris note du rapport du Comité des transports intérieurs sur sa quatre-vingt-deuxième session (Genève, 25</w:t>
      </w:r>
      <w:r w:rsidR="002B62D7">
        <w:rPr>
          <w:lang w:val="fr-FR"/>
        </w:rPr>
        <w:noBreakHyphen/>
        <w:t>28 février 2020) et notamment des paragraphes 71-80 concernant les activités relatives au transport de marchandises dangereuses et aux travaux du Groupe de travail.</w:t>
      </w:r>
    </w:p>
    <w:p w14:paraId="112BFBC4" w14:textId="4246D234" w:rsidR="002B62D7" w:rsidRDefault="00A47E7A" w:rsidP="002B62D7">
      <w:pPr>
        <w:pStyle w:val="SingleTxtG"/>
      </w:pPr>
      <w:r>
        <w:rPr>
          <w:lang w:val="fr-FR"/>
        </w:rPr>
        <w:t>12</w:t>
      </w:r>
      <w:r w:rsidR="002B62D7">
        <w:rPr>
          <w:lang w:val="fr-FR"/>
        </w:rPr>
        <w:t>.</w:t>
      </w:r>
      <w:r w:rsidR="002B62D7">
        <w:rPr>
          <w:lang w:val="fr-FR"/>
        </w:rPr>
        <w:tab/>
        <w:t xml:space="preserve">Le Groupe de travail a noté avec intérêt les travaux relatifs à la </w:t>
      </w:r>
      <w:r w:rsidR="002B62D7">
        <w:t xml:space="preserve">mise en œuvre de la Stratégie du Comité à l’horizon 2030 (paragraphes 16-20). </w:t>
      </w:r>
    </w:p>
    <w:p w14:paraId="5F66431A" w14:textId="6EBD4C68" w:rsidR="002B62D7" w:rsidRDefault="00A47E7A" w:rsidP="002B62D7">
      <w:pPr>
        <w:pStyle w:val="SingleTxtG"/>
      </w:pPr>
      <w:r>
        <w:t>13</w:t>
      </w:r>
      <w:r w:rsidR="002B62D7">
        <w:t>.</w:t>
      </w:r>
      <w:r w:rsidR="002B62D7">
        <w:tab/>
        <w:t xml:space="preserve">Concernant le paragraphe 18 sur les règlements intérieurs des Groupes de travail, le Groupe de travail a confirmé qu’il souhaitait continuer à appliquer pour l’instant son propre règlement intérieur (ECE/TRANS/WP.15/190/Add.1). Le Groupe de travail évaluera ultérieurement s’il est nécessaire de modifier </w:t>
      </w:r>
      <w:r w:rsidR="002B62D7" w:rsidRPr="00650A7B">
        <w:t>les</w:t>
      </w:r>
      <w:r w:rsidR="002B62D7">
        <w:t xml:space="preserve"> </w:t>
      </w:r>
      <w:r w:rsidR="002B62D7" w:rsidRPr="00650A7B">
        <w:t>règles</w:t>
      </w:r>
      <w:r w:rsidR="002B62D7">
        <w:t xml:space="preserve"> </w:t>
      </w:r>
      <w:r w:rsidR="002B62D7" w:rsidRPr="00650A7B">
        <w:t>régissant</w:t>
      </w:r>
      <w:r w:rsidR="002B62D7">
        <w:t xml:space="preserve"> </w:t>
      </w:r>
      <w:r w:rsidR="002B62D7" w:rsidRPr="00650A7B">
        <w:t>la</w:t>
      </w:r>
      <w:r w:rsidR="002B62D7">
        <w:t xml:space="preserve"> </w:t>
      </w:r>
      <w:r w:rsidR="002B62D7" w:rsidRPr="00650A7B">
        <w:t>participation</w:t>
      </w:r>
      <w:r w:rsidR="002B62D7">
        <w:t xml:space="preserve"> au</w:t>
      </w:r>
      <w:r>
        <w:t>x</w:t>
      </w:r>
      <w:r w:rsidR="002B62D7">
        <w:t xml:space="preserve"> sessions et l’</w:t>
      </w:r>
      <w:r w:rsidR="002B62D7" w:rsidRPr="00650A7B">
        <w:t>adoption</w:t>
      </w:r>
      <w:r w:rsidR="002B62D7">
        <w:t xml:space="preserve"> des </w:t>
      </w:r>
      <w:r w:rsidR="002B62D7" w:rsidRPr="00650A7B">
        <w:t>amendements</w:t>
      </w:r>
      <w:r w:rsidR="002B62D7">
        <w:t>. À cet effet, le Groupe de travail a demandé au secrétariat de préparer une comparaison entre le règlement intérieur du Comité et celui du Groupe de travail sur ces points pour la prochaine session.</w:t>
      </w:r>
    </w:p>
    <w:p w14:paraId="71291F6C" w14:textId="6F291F8C" w:rsidR="002B62D7" w:rsidRDefault="00A47E7A" w:rsidP="002B62D7">
      <w:pPr>
        <w:pStyle w:val="SingleTxtG"/>
      </w:pPr>
      <w:r>
        <w:t>14</w:t>
      </w:r>
      <w:r w:rsidR="002B62D7">
        <w:t>.</w:t>
      </w:r>
      <w:r w:rsidR="002B62D7">
        <w:tab/>
        <w:t>Concernant les paragraphes 19 et 20 sur</w:t>
      </w:r>
      <w:r w:rsidR="002B62D7" w:rsidRPr="00A464F9">
        <w:t xml:space="preserve"> </w:t>
      </w:r>
      <w:r w:rsidR="002B62D7">
        <w:t xml:space="preserve">les activités des groupes de travail, le Groupe de travail a de nouveau souhaité confirmer que ses activités sont </w:t>
      </w:r>
      <w:r w:rsidR="002B62D7" w:rsidRPr="008A6B2C">
        <w:t>en accord avec la stratégie</w:t>
      </w:r>
      <w:r w:rsidR="002B62D7">
        <w:t xml:space="preserve"> adoptée et que le Groupe de travail traite déjà en priorité les points de son ordre du jour qui engagent à l’action, qui présentent un grand intérêt et ont des effets importants sur d’autres points et notamment les points relatifs à l’interprétation et aux amendements de l’ADR dans un soucis de sureté et sécurité et pour assurer l’harmonisation règlementaire entre les modes de transport.</w:t>
      </w:r>
    </w:p>
    <w:p w14:paraId="51A7706A" w14:textId="77777777" w:rsidR="002B62D7" w:rsidRPr="003E35AF" w:rsidRDefault="002B62D7" w:rsidP="002B62D7">
      <w:pPr>
        <w:pStyle w:val="HChG"/>
        <w:spacing w:before="240" w:after="120"/>
        <w:rPr>
          <w:lang w:val="fr-FR"/>
        </w:rPr>
      </w:pPr>
      <w:r w:rsidRPr="003E35AF">
        <w:rPr>
          <w:lang w:val="fr-FR"/>
        </w:rPr>
        <w:tab/>
      </w:r>
      <w:r>
        <w:rPr>
          <w:lang w:val="fr-FR"/>
        </w:rPr>
        <w:t>IV</w:t>
      </w:r>
      <w:r w:rsidRPr="003E35AF">
        <w:rPr>
          <w:lang w:val="fr-FR"/>
        </w:rPr>
        <w:t>.</w:t>
      </w:r>
      <w:r w:rsidRPr="003E35AF">
        <w:rPr>
          <w:lang w:val="fr-FR"/>
        </w:rPr>
        <w:tab/>
        <w:t>État de l’Accord européen relatif au transport international des marchandises dangereuses par route (ADR) et questions connexes</w:t>
      </w:r>
      <w:r>
        <w:rPr>
          <w:lang w:val="fr-FR"/>
        </w:rPr>
        <w:t xml:space="preserve"> </w:t>
      </w:r>
      <w:r w:rsidRPr="005B2C1D">
        <w:t xml:space="preserve">(point </w:t>
      </w:r>
      <w:r>
        <w:t>3</w:t>
      </w:r>
      <w:r w:rsidRPr="005B2C1D">
        <w:t xml:space="preserve"> de l</w:t>
      </w:r>
      <w:r>
        <w:t>’</w:t>
      </w:r>
      <w:r w:rsidRPr="005B2C1D">
        <w:t>ordre du jour)</w:t>
      </w:r>
    </w:p>
    <w:p w14:paraId="1F9067DA" w14:textId="17AC421C" w:rsidR="002B62D7" w:rsidRDefault="00713445" w:rsidP="002B62D7">
      <w:pPr>
        <w:pStyle w:val="SingleTxtG"/>
      </w:pPr>
      <w:r>
        <w:t>15</w:t>
      </w:r>
      <w:r w:rsidR="002B62D7">
        <w:t>.</w:t>
      </w:r>
      <w:r w:rsidR="002B62D7">
        <w:tab/>
        <w:t xml:space="preserve">Le Groupe de travail s’est félicité de l’adhésion </w:t>
      </w:r>
      <w:r w:rsidR="002B62D7">
        <w:rPr>
          <w:lang w:val="fr-FR"/>
        </w:rPr>
        <w:t>de l’Ouzbékistan</w:t>
      </w:r>
      <w:r w:rsidR="002B62D7">
        <w:t xml:space="preserve">. </w:t>
      </w:r>
    </w:p>
    <w:p w14:paraId="01ECEBC4" w14:textId="4670F693" w:rsidR="002B62D7" w:rsidRDefault="00713445" w:rsidP="002B62D7">
      <w:pPr>
        <w:pStyle w:val="SingleTxtG"/>
      </w:pPr>
      <w:r>
        <w:t>16</w:t>
      </w:r>
      <w:r w:rsidR="002B62D7">
        <w:t>.</w:t>
      </w:r>
      <w:r w:rsidR="002B62D7">
        <w:tab/>
      </w:r>
      <w:r w:rsidR="002B62D7" w:rsidRPr="002546F9">
        <w:t xml:space="preserve">Le Groupe de travail a </w:t>
      </w:r>
      <w:r w:rsidR="002B62D7">
        <w:t>noté que</w:t>
      </w:r>
      <w:r w:rsidR="002B62D7" w:rsidRPr="002546F9">
        <w:t xml:space="preserve"> </w:t>
      </w:r>
      <w:r w:rsidR="002B62D7">
        <w:t>treize</w:t>
      </w:r>
      <w:r w:rsidR="002B62D7" w:rsidRPr="002546F9">
        <w:t xml:space="preserve"> pays </w:t>
      </w:r>
      <w:r w:rsidR="002B62D7" w:rsidRPr="00537EE1">
        <w:t>(</w:t>
      </w:r>
      <w:r w:rsidR="002B62D7" w:rsidRPr="009110C3">
        <w:t xml:space="preserve">Azerbaïdjan, Bélarus, Bosnie-Herzégovine, Croatie, </w:t>
      </w:r>
      <w:r w:rsidR="002B62D7">
        <w:t xml:space="preserve">Géorgie, </w:t>
      </w:r>
      <w:r w:rsidR="002B62D7" w:rsidRPr="009110C3">
        <w:t xml:space="preserve">Islande, Kazakhstan, </w:t>
      </w:r>
      <w:r w:rsidR="002B62D7" w:rsidRPr="00E30353">
        <w:t>Macédoine du Nord,</w:t>
      </w:r>
      <w:r w:rsidR="002B62D7" w:rsidRPr="009110C3">
        <w:t xml:space="preserve"> Maroc, Monténégro, </w:t>
      </w:r>
      <w:r w:rsidR="002B62D7">
        <w:t xml:space="preserve">Nigéria, San Marin et </w:t>
      </w:r>
      <w:r w:rsidR="002B62D7" w:rsidRPr="009110C3">
        <w:t>Ta</w:t>
      </w:r>
      <w:r w:rsidR="002B62D7">
        <w:t>djikistan</w:t>
      </w:r>
      <w:r w:rsidR="002B62D7" w:rsidRPr="00537EE1">
        <w:t xml:space="preserve">) </w:t>
      </w:r>
      <w:r w:rsidR="002B62D7" w:rsidRPr="002546F9">
        <w:t>n’ont pas</w:t>
      </w:r>
      <w:r w:rsidR="002B62D7">
        <w:t xml:space="preserve"> encore</w:t>
      </w:r>
      <w:r w:rsidR="002B62D7" w:rsidRPr="002546F9">
        <w:t xml:space="preserve"> déposé l’instrument juridique approprié pour que le Protocole puisse entrer en vigueur et a encouragé ces pays à prendre </w:t>
      </w:r>
      <w:r w:rsidR="002B62D7" w:rsidRPr="00C5445F">
        <w:t>les mesures nécessaires pour rat</w:t>
      </w:r>
      <w:r w:rsidR="002B62D7">
        <w:t xml:space="preserve">ifier ou accéder à ce Protocole, afin qu’il puisse prendre effet. </w:t>
      </w:r>
    </w:p>
    <w:p w14:paraId="791D824F" w14:textId="76B04D66" w:rsidR="002B62D7" w:rsidRPr="00981F5F" w:rsidRDefault="00713445" w:rsidP="002B62D7">
      <w:pPr>
        <w:pStyle w:val="SingleTxtG"/>
      </w:pPr>
      <w:r>
        <w:rPr>
          <w:rFonts w:eastAsiaTheme="minorHAnsi"/>
          <w:lang w:val="fr-FR" w:eastAsia="en-US"/>
        </w:rPr>
        <w:t>17</w:t>
      </w:r>
      <w:r w:rsidR="002B62D7">
        <w:rPr>
          <w:rFonts w:eastAsiaTheme="minorHAnsi"/>
          <w:lang w:val="fr-FR" w:eastAsia="en-US"/>
        </w:rPr>
        <w:t>.</w:t>
      </w:r>
      <w:r w:rsidR="002B62D7">
        <w:rPr>
          <w:rFonts w:eastAsiaTheme="minorHAnsi"/>
          <w:lang w:val="fr-FR" w:eastAsia="en-US"/>
        </w:rPr>
        <w:tab/>
      </w:r>
      <w:r w:rsidR="002B62D7" w:rsidRPr="00981F5F">
        <w:rPr>
          <w:rFonts w:eastAsiaTheme="minorHAnsi"/>
          <w:lang w:val="fr-FR" w:eastAsia="en-US"/>
        </w:rPr>
        <w:t xml:space="preserve">Le Groupe de travail </w:t>
      </w:r>
      <w:r w:rsidR="002B62D7">
        <w:rPr>
          <w:rFonts w:eastAsiaTheme="minorHAnsi"/>
          <w:lang w:val="fr-FR" w:eastAsia="en-US"/>
        </w:rPr>
        <w:t>a</w:t>
      </w:r>
      <w:r w:rsidR="002B62D7" w:rsidRPr="00981F5F">
        <w:rPr>
          <w:rFonts w:eastAsiaTheme="minorHAnsi"/>
          <w:lang w:val="fr-FR" w:eastAsia="en-US"/>
        </w:rPr>
        <w:t xml:space="preserve"> not</w:t>
      </w:r>
      <w:r w:rsidR="002B62D7">
        <w:rPr>
          <w:rFonts w:eastAsiaTheme="minorHAnsi"/>
          <w:lang w:val="fr-FR" w:eastAsia="en-US"/>
        </w:rPr>
        <w:t>é</w:t>
      </w:r>
      <w:r w:rsidR="002B62D7" w:rsidRPr="00981F5F">
        <w:rPr>
          <w:rFonts w:eastAsiaTheme="minorHAnsi"/>
          <w:lang w:val="fr-FR" w:eastAsia="en-US"/>
        </w:rPr>
        <w:t xml:space="preserve"> que le Protocole portant modification du titre de l’ADR, adopté par la Conférence des Parties le 13 mai 2019, a été réputé accepté le 30 novembre 2019 (</w:t>
      </w:r>
      <w:r w:rsidR="002B62D7">
        <w:rPr>
          <w:rFonts w:eastAsiaTheme="minorHAnsi"/>
          <w:lang w:val="fr-FR" w:eastAsia="en-US"/>
        </w:rPr>
        <w:t xml:space="preserve">Notification dépositaire </w:t>
      </w:r>
      <w:r w:rsidR="002B62D7" w:rsidRPr="00981F5F">
        <w:rPr>
          <w:rFonts w:eastAsiaTheme="minorHAnsi"/>
          <w:lang w:val="fr-FR" w:eastAsia="en-US"/>
        </w:rPr>
        <w:t>C.N.606.2019.TREATIES</w:t>
      </w:r>
      <w:r w:rsidR="002B62D7" w:rsidRPr="00981F5F">
        <w:rPr>
          <w:rFonts w:eastAsiaTheme="minorHAnsi"/>
          <w:lang w:val="fr-FR" w:eastAsia="en-US"/>
        </w:rPr>
        <w:noBreakHyphen/>
        <w:t>XI.B.14). L’amendement entrera en vigueur pour toutes les Parties contractantes à l’ADR le 1</w:t>
      </w:r>
      <w:r w:rsidR="002B62D7" w:rsidRPr="00981F5F">
        <w:rPr>
          <w:rFonts w:eastAsiaTheme="minorHAnsi"/>
          <w:vertAlign w:val="superscript"/>
          <w:lang w:val="fr-FR" w:eastAsia="en-US"/>
        </w:rPr>
        <w:t>er</w:t>
      </w:r>
      <w:r w:rsidR="002B62D7" w:rsidRPr="00981F5F">
        <w:rPr>
          <w:rFonts w:eastAsiaTheme="minorHAnsi"/>
          <w:lang w:val="fr-FR" w:eastAsia="en-US"/>
        </w:rPr>
        <w:t> janvier 2021.</w:t>
      </w:r>
    </w:p>
    <w:p w14:paraId="7C1D152C" w14:textId="649646C0" w:rsidR="002B62D7" w:rsidRDefault="00713445" w:rsidP="002B62D7">
      <w:pPr>
        <w:spacing w:after="120"/>
        <w:ind w:left="1134" w:right="1134"/>
        <w:jc w:val="both"/>
        <w:rPr>
          <w:rFonts w:eastAsiaTheme="minorHAnsi"/>
          <w:lang w:eastAsia="en-US"/>
        </w:rPr>
      </w:pPr>
      <w:r>
        <w:rPr>
          <w:rFonts w:eastAsiaTheme="minorHAnsi"/>
          <w:lang w:eastAsia="en-US"/>
        </w:rPr>
        <w:t>18</w:t>
      </w:r>
      <w:r w:rsidR="002B62D7">
        <w:rPr>
          <w:rFonts w:eastAsiaTheme="minorHAnsi"/>
          <w:lang w:eastAsia="en-US"/>
        </w:rPr>
        <w:t>.</w:t>
      </w:r>
      <w:r w:rsidR="002B62D7">
        <w:rPr>
          <w:rFonts w:eastAsiaTheme="minorHAnsi"/>
          <w:lang w:eastAsia="en-US"/>
        </w:rPr>
        <w:tab/>
      </w:r>
      <w:r w:rsidR="002B62D7" w:rsidRPr="00EC0465">
        <w:rPr>
          <w:rFonts w:eastAsiaTheme="minorHAnsi"/>
          <w:lang w:eastAsia="en-US"/>
        </w:rPr>
        <w:t xml:space="preserve">Le Groupe de travail a noté que les amendements adoptés au cours des deux dernières années (ECE/TRANS/WP.15/249 et Corr.1 et Add.1) ont été proposés aux Parties contractantes par le Gouvernement de la France et sont réputés acceptés pour entrée en vigueur le 1er janvier 2021 (notifications dépositaires </w:t>
      </w:r>
      <w:r w:rsidR="002B62D7" w:rsidRPr="00B01983">
        <w:rPr>
          <w:rFonts w:ascii="TimesNewRomanPSMT" w:hAnsi="TimesNewRomanPSMT" w:cs="TimesNewRomanPSMT"/>
          <w:lang w:eastAsia="en-GB"/>
        </w:rPr>
        <w:t>C.N.274.2020.TREATIES-XI.B.14</w:t>
      </w:r>
      <w:r w:rsidR="002B62D7">
        <w:rPr>
          <w:rFonts w:ascii="TimesNewRomanPSMT" w:hAnsi="TimesNewRomanPSMT" w:cs="TimesNewRomanPSMT"/>
          <w:lang w:eastAsia="en-GB"/>
        </w:rPr>
        <w:t xml:space="preserve"> du 1</w:t>
      </w:r>
      <w:r w:rsidR="002B62D7" w:rsidRPr="00443C31">
        <w:rPr>
          <w:rFonts w:ascii="TimesNewRomanPSMT" w:hAnsi="TimesNewRomanPSMT" w:cs="TimesNewRomanPSMT"/>
          <w:vertAlign w:val="superscript"/>
          <w:lang w:eastAsia="en-GB"/>
        </w:rPr>
        <w:t>er</w:t>
      </w:r>
      <w:r w:rsidR="002B62D7">
        <w:rPr>
          <w:rFonts w:ascii="TimesNewRomanPSMT" w:hAnsi="TimesNewRomanPSMT" w:cs="TimesNewRomanPSMT"/>
          <w:lang w:eastAsia="en-GB"/>
        </w:rPr>
        <w:t xml:space="preserve"> juillet 2020 et </w:t>
      </w:r>
      <w:r w:rsidR="002B62D7" w:rsidRPr="00B01983">
        <w:rPr>
          <w:rFonts w:eastAsia="SimSun"/>
        </w:rPr>
        <w:t>C.N.438.2020.TREATIES-XI.B.14</w:t>
      </w:r>
      <w:r w:rsidR="002B62D7">
        <w:rPr>
          <w:rFonts w:eastAsia="SimSun"/>
        </w:rPr>
        <w:t xml:space="preserve"> du 9 octobre 2020</w:t>
      </w:r>
      <w:r w:rsidR="002B62D7" w:rsidRPr="00EC0465">
        <w:rPr>
          <w:rFonts w:eastAsiaTheme="minorHAnsi"/>
          <w:lang w:eastAsia="en-US"/>
        </w:rPr>
        <w:t>).</w:t>
      </w:r>
    </w:p>
    <w:p w14:paraId="02C22F4D" w14:textId="742527F6" w:rsidR="002B62D7" w:rsidRPr="00EC0465" w:rsidRDefault="00713445" w:rsidP="002B62D7">
      <w:pPr>
        <w:spacing w:after="120"/>
        <w:ind w:left="1134" w:right="1134"/>
        <w:jc w:val="both"/>
        <w:rPr>
          <w:rFonts w:eastAsiaTheme="minorHAnsi"/>
          <w:lang w:eastAsia="en-US"/>
        </w:rPr>
      </w:pPr>
      <w:r>
        <w:rPr>
          <w:rFonts w:eastAsiaTheme="minorHAnsi"/>
          <w:lang w:eastAsia="en-US"/>
        </w:rPr>
        <w:lastRenderedPageBreak/>
        <w:t>19</w:t>
      </w:r>
      <w:r w:rsidR="002B62D7">
        <w:rPr>
          <w:rFonts w:eastAsiaTheme="minorHAnsi"/>
          <w:lang w:eastAsia="en-US"/>
        </w:rPr>
        <w:t>.</w:t>
      </w:r>
      <w:r w:rsidR="002B62D7">
        <w:rPr>
          <w:rFonts w:eastAsiaTheme="minorHAnsi"/>
          <w:lang w:eastAsia="en-US"/>
        </w:rPr>
        <w:tab/>
        <w:t>Le Groupe de travail s’est</w:t>
      </w:r>
      <w:r w:rsidR="002B62D7" w:rsidRPr="008259EC">
        <w:rPr>
          <w:rFonts w:eastAsiaTheme="minorHAnsi"/>
          <w:lang w:eastAsia="en-US"/>
        </w:rPr>
        <w:t xml:space="preserve"> félicit</w:t>
      </w:r>
      <w:r w:rsidR="002B62D7">
        <w:rPr>
          <w:rFonts w:eastAsiaTheme="minorHAnsi"/>
          <w:lang w:eastAsia="en-US"/>
        </w:rPr>
        <w:t xml:space="preserve">é que l’ADR 2021 ait pu être publié malgré les contraintes liées à l’épidémie de COVID-19 et a remercié particulièrement la section </w:t>
      </w:r>
      <w:r w:rsidR="002B62D7" w:rsidRPr="00C7343B">
        <w:rPr>
          <w:rFonts w:eastAsiaTheme="minorHAnsi"/>
          <w:lang w:eastAsia="en-US"/>
        </w:rPr>
        <w:t>de la gestion de la sécurité routière et des marchandises dangereuses</w:t>
      </w:r>
      <w:r w:rsidR="002B62D7" w:rsidRPr="008259EC">
        <w:rPr>
          <w:rFonts w:eastAsiaTheme="minorHAnsi"/>
          <w:lang w:eastAsia="en-US"/>
        </w:rPr>
        <w:t xml:space="preserve"> et les services des publications de l’ONU</w:t>
      </w:r>
      <w:r>
        <w:rPr>
          <w:rFonts w:eastAsiaTheme="minorHAnsi"/>
          <w:lang w:eastAsia="en-US"/>
        </w:rPr>
        <w:t xml:space="preserve"> à Genève</w:t>
      </w:r>
      <w:r w:rsidR="002B62D7" w:rsidRPr="008259EC">
        <w:rPr>
          <w:rFonts w:eastAsiaTheme="minorHAnsi"/>
          <w:lang w:eastAsia="en-US"/>
        </w:rPr>
        <w:t xml:space="preserve"> qui ont tout mis en œuvre pour que les publications soient prêtes à temps.</w:t>
      </w:r>
    </w:p>
    <w:p w14:paraId="6E9D4941" w14:textId="77777777" w:rsidR="002B62D7" w:rsidRPr="00A91A7C" w:rsidRDefault="002B62D7" w:rsidP="002B62D7">
      <w:pPr>
        <w:pStyle w:val="HChG"/>
        <w:rPr>
          <w:lang w:val="fr-FR"/>
        </w:rPr>
      </w:pPr>
      <w:r w:rsidRPr="00A91A7C">
        <w:rPr>
          <w:lang w:val="fr-FR"/>
        </w:rPr>
        <w:tab/>
        <w:t>V.</w:t>
      </w:r>
      <w:r w:rsidRPr="00A91A7C">
        <w:rPr>
          <w:lang w:val="fr-FR"/>
        </w:rPr>
        <w:tab/>
        <w:t>Travaux de la Réunion commune RID/ADR/ADN (point 4 de l’ordre du jour)</w:t>
      </w:r>
    </w:p>
    <w:p w14:paraId="231029DE" w14:textId="67E2AA45" w:rsidR="002B62D7" w:rsidRPr="00A91A7C" w:rsidRDefault="002B62D7" w:rsidP="009073B5">
      <w:pPr>
        <w:pStyle w:val="SingleTxtG"/>
        <w:keepNext/>
        <w:keepLines/>
        <w:tabs>
          <w:tab w:val="left" w:pos="3402"/>
        </w:tabs>
        <w:spacing w:after="0"/>
        <w:ind w:left="2268" w:hanging="1134"/>
        <w:jc w:val="left"/>
        <w:rPr>
          <w:lang w:val="fr-FR"/>
        </w:rPr>
      </w:pPr>
      <w:r w:rsidRPr="00A91A7C">
        <w:rPr>
          <w:i/>
          <w:lang w:val="fr-FR"/>
        </w:rPr>
        <w:t>Document </w:t>
      </w:r>
      <w:r w:rsidRPr="00A91A7C">
        <w:rPr>
          <w:lang w:val="fr-FR"/>
        </w:rPr>
        <w:t>:</w:t>
      </w:r>
      <w:r w:rsidRPr="00A91A7C">
        <w:rPr>
          <w:lang w:val="fr-FR"/>
        </w:rPr>
        <w:tab/>
      </w:r>
      <w:r w:rsidRPr="00A91A7C">
        <w:rPr>
          <w:lang w:val="fr-FR"/>
        </w:rPr>
        <w:tab/>
      </w:r>
      <w:r w:rsidRPr="00BE3C89">
        <w:rPr>
          <w:lang w:val="fr-FR"/>
        </w:rPr>
        <w:t>ECE/TRANS/WP.15/AC.1/158</w:t>
      </w:r>
      <w:r w:rsidRPr="00A91A7C">
        <w:rPr>
          <w:lang w:val="fr-FR"/>
        </w:rPr>
        <w:t xml:space="preserve"> (Rapport de la Réunion </w:t>
      </w:r>
      <w:r w:rsidR="009073B5">
        <w:rPr>
          <w:lang w:val="fr-FR"/>
        </w:rPr>
        <w:tab/>
      </w:r>
      <w:r w:rsidR="009073B5">
        <w:rPr>
          <w:lang w:val="fr-FR"/>
        </w:rPr>
        <w:tab/>
      </w:r>
      <w:r w:rsidRPr="00A91A7C">
        <w:rPr>
          <w:lang w:val="fr-FR"/>
        </w:rPr>
        <w:t>commune sur sa session d’automne 20</w:t>
      </w:r>
      <w:r>
        <w:rPr>
          <w:lang w:val="fr-FR"/>
        </w:rPr>
        <w:t>20</w:t>
      </w:r>
      <w:r w:rsidRPr="00A91A7C">
        <w:rPr>
          <w:lang w:val="fr-FR"/>
        </w:rPr>
        <w:t>)</w:t>
      </w:r>
    </w:p>
    <w:p w14:paraId="3E22FFBE" w14:textId="77777777" w:rsidR="002B62D7" w:rsidRPr="00A91A7C" w:rsidRDefault="002B62D7" w:rsidP="002B62D7">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lang w:val="fr-FR"/>
        </w:rPr>
        <w:tab/>
        <w:t>INF.</w:t>
      </w:r>
      <w:r>
        <w:rPr>
          <w:lang w:val="fr-FR"/>
        </w:rPr>
        <w:t>8</w:t>
      </w:r>
      <w:r w:rsidRPr="00A91A7C">
        <w:rPr>
          <w:lang w:val="fr-FR"/>
        </w:rPr>
        <w:t xml:space="preserve"> (</w:t>
      </w:r>
      <w:r>
        <w:rPr>
          <w:lang w:val="fr-FR"/>
        </w:rPr>
        <w:t>Secrétariat</w:t>
      </w:r>
      <w:r w:rsidRPr="00A91A7C">
        <w:rPr>
          <w:lang w:val="fr-FR"/>
        </w:rPr>
        <w:t>)</w:t>
      </w:r>
    </w:p>
    <w:p w14:paraId="5FB9EA8C" w14:textId="507AFE01" w:rsidR="002B62D7" w:rsidRDefault="00D3093F" w:rsidP="002B62D7">
      <w:pPr>
        <w:pStyle w:val="SingleTxtG"/>
        <w:rPr>
          <w:lang w:val="fr-FR"/>
        </w:rPr>
      </w:pPr>
      <w:r>
        <w:rPr>
          <w:lang w:val="fr-FR"/>
        </w:rPr>
        <w:t>20</w:t>
      </w:r>
      <w:r w:rsidR="002B62D7">
        <w:rPr>
          <w:lang w:val="fr-FR"/>
        </w:rPr>
        <w:t>.</w:t>
      </w:r>
      <w:r w:rsidR="002B62D7">
        <w:rPr>
          <w:lang w:val="fr-FR"/>
        </w:rPr>
        <w:tab/>
        <w:t>Le Groupe de travail a noté que les amendements au chapitre 1.2 devaient encore être revus à la prochaine session de la Réunion commune et a préféré reporter la décision sur ce point à sa prochaine session.</w:t>
      </w:r>
    </w:p>
    <w:p w14:paraId="7A67E47B" w14:textId="196F4D19" w:rsidR="002B62D7" w:rsidRDefault="008C2F3B" w:rsidP="002B62D7">
      <w:pPr>
        <w:pStyle w:val="SingleTxtG"/>
        <w:rPr>
          <w:lang w:val="fr-FR"/>
        </w:rPr>
      </w:pPr>
      <w:r>
        <w:rPr>
          <w:lang w:val="fr-FR"/>
        </w:rPr>
        <w:t>21</w:t>
      </w:r>
      <w:r w:rsidR="002B62D7">
        <w:rPr>
          <w:lang w:val="fr-FR"/>
        </w:rPr>
        <w:t>.</w:t>
      </w:r>
      <w:r w:rsidR="002B62D7">
        <w:rPr>
          <w:lang w:val="fr-FR"/>
        </w:rPr>
        <w:tab/>
        <w:t xml:space="preserve">Plusieurs délégations ont souhaité avoir plus de temps pour étudier les lignes </w:t>
      </w:r>
      <w:r w:rsidR="002B62D7" w:rsidRPr="00EC007A">
        <w:rPr>
          <w:lang w:val="fr-FR"/>
        </w:rPr>
        <w:t>directrices multimodales (Inland TDG Risk Management Framework) de l’Union européenne</w:t>
      </w:r>
      <w:r w:rsidR="002B62D7">
        <w:rPr>
          <w:lang w:val="fr-FR"/>
        </w:rPr>
        <w:t xml:space="preserve"> avant d’adopter l’ajout d’une référence </w:t>
      </w:r>
      <w:r w:rsidR="002B62D7" w:rsidRPr="00EC007A">
        <w:rPr>
          <w:lang w:val="fr-FR"/>
        </w:rPr>
        <w:t xml:space="preserve">non contraignante </w:t>
      </w:r>
      <w:r w:rsidR="002B62D7">
        <w:rPr>
          <w:lang w:val="fr-FR"/>
        </w:rPr>
        <w:t>à ces</w:t>
      </w:r>
      <w:r w:rsidR="002B62D7" w:rsidRPr="00EC007A">
        <w:rPr>
          <w:lang w:val="fr-FR"/>
        </w:rPr>
        <w:t xml:space="preserve"> lignes directrices</w:t>
      </w:r>
      <w:r w:rsidR="002B62D7">
        <w:rPr>
          <w:lang w:val="fr-FR"/>
        </w:rPr>
        <w:t xml:space="preserve"> au 1.9.4. Plusieurs délégations considéraient qu’il était prématuré de faire référence à ces lignes directrices dont le contenu devait encore être complété ou adapté pour le transport routier. D’autres délégations étaient d’avis que la référence à ces lignes directrices était utile et pouvait être un facteur d’harmonisation pour l’évaluation des risques. En l’absence de consensus, le Groupe de travail a préféré reporter sa décision à la prochaine session. Il a invité les délégations qui le souhaiteraient à soumettre leurs commentaires par écrit.</w:t>
      </w:r>
    </w:p>
    <w:p w14:paraId="6EC62A61" w14:textId="6AE25800" w:rsidR="00FC0445" w:rsidRDefault="00801B8F" w:rsidP="00BF5382">
      <w:pPr>
        <w:pStyle w:val="SingleTxtG"/>
        <w:rPr>
          <w:lang w:val="fr-FR"/>
        </w:rPr>
      </w:pPr>
      <w:r>
        <w:rPr>
          <w:lang w:val="fr-FR"/>
        </w:rPr>
        <w:t>22</w:t>
      </w:r>
      <w:r w:rsidR="002B62D7">
        <w:rPr>
          <w:lang w:val="fr-FR"/>
        </w:rPr>
        <w:t>.</w:t>
      </w:r>
      <w:r w:rsidR="002B62D7">
        <w:rPr>
          <w:lang w:val="fr-FR"/>
        </w:rPr>
        <w:tab/>
      </w:r>
      <w:r w:rsidR="002B62D7" w:rsidRPr="00A91A7C">
        <w:rPr>
          <w:lang w:val="fr-FR"/>
        </w:rPr>
        <w:t xml:space="preserve">Le Groupe de travail a entériné les </w:t>
      </w:r>
      <w:r w:rsidR="002B62D7">
        <w:rPr>
          <w:lang w:val="fr-FR"/>
        </w:rPr>
        <w:t xml:space="preserve">autres </w:t>
      </w:r>
      <w:r w:rsidR="002B62D7" w:rsidRPr="00A91A7C">
        <w:rPr>
          <w:lang w:val="fr-FR"/>
        </w:rPr>
        <w:t xml:space="preserve">amendements adoptés par la Réunion commune, avec quelques modifications (voir annexe </w:t>
      </w:r>
      <w:r w:rsidR="00367D0C">
        <w:rPr>
          <w:lang w:val="fr-FR"/>
        </w:rPr>
        <w:t>I</w:t>
      </w:r>
      <w:r w:rsidR="00367D0C" w:rsidRPr="00A91A7C">
        <w:rPr>
          <w:lang w:val="fr-FR"/>
        </w:rPr>
        <w:t>).</w:t>
      </w:r>
      <w:r w:rsidR="00367D0C">
        <w:rPr>
          <w:lang w:val="fr-FR"/>
        </w:rPr>
        <w:t xml:space="preserve"> </w:t>
      </w:r>
      <w:r w:rsidR="00FC0445">
        <w:rPr>
          <w:lang w:val="fr-FR"/>
        </w:rPr>
        <w:t xml:space="preserve">Notamment, pour la mesure transitoire 1.6.4.55, le Groupe de travail a souhaité faire référence au 6.8.3.4.6 (b) au lieu du 6.8.3.4.6 dans son ensemble afin de clarifier que les conteneurs-citernes concernés sont ceux pour lesquels les contrôles intermédiaires ne sont pas obligatoires jusqu’au 31 décembre 2022. </w:t>
      </w:r>
    </w:p>
    <w:p w14:paraId="101E8E21" w14:textId="77777777" w:rsidR="00003856" w:rsidRPr="00003856" w:rsidRDefault="00003856" w:rsidP="00003856">
      <w:pPr>
        <w:keepNext/>
        <w:keepLines/>
        <w:tabs>
          <w:tab w:val="right" w:pos="851"/>
        </w:tabs>
        <w:spacing w:before="360" w:after="240" w:line="300" w:lineRule="exact"/>
        <w:ind w:left="1134" w:right="1134" w:hanging="1134"/>
        <w:rPr>
          <w:b/>
          <w:sz w:val="28"/>
          <w:lang w:val="fr-FR"/>
        </w:rPr>
      </w:pPr>
      <w:r w:rsidRPr="00003856">
        <w:rPr>
          <w:b/>
          <w:sz w:val="28"/>
          <w:lang w:val="fr-FR"/>
        </w:rPr>
        <w:tab/>
        <w:t>VI.</w:t>
      </w:r>
      <w:r w:rsidRPr="00003856">
        <w:rPr>
          <w:b/>
          <w:sz w:val="28"/>
          <w:lang w:val="fr-FR"/>
        </w:rPr>
        <w:tab/>
        <w:t xml:space="preserve">Propositions d’amendements aux annexes A et B de l’ADR (point 5 de l’ordre du jour) </w:t>
      </w:r>
    </w:p>
    <w:p w14:paraId="47D4A34C" w14:textId="77777777" w:rsidR="00695568" w:rsidRPr="00240C2B" w:rsidRDefault="00695568" w:rsidP="00695568">
      <w:pPr>
        <w:keepNext/>
        <w:keepLines/>
        <w:tabs>
          <w:tab w:val="right" w:pos="851"/>
        </w:tabs>
        <w:spacing w:before="360" w:after="240" w:line="270" w:lineRule="exact"/>
        <w:ind w:left="1134" w:right="1134" w:hanging="1134"/>
        <w:rPr>
          <w:b/>
          <w:sz w:val="24"/>
          <w:lang w:val="fr-FR"/>
        </w:rPr>
      </w:pPr>
      <w:r w:rsidRPr="00240C2B">
        <w:rPr>
          <w:b/>
          <w:sz w:val="24"/>
          <w:lang w:val="fr-FR"/>
        </w:rPr>
        <w:tab/>
        <w:t>A.</w:t>
      </w:r>
      <w:r w:rsidRPr="00240C2B">
        <w:rPr>
          <w:b/>
          <w:sz w:val="24"/>
          <w:lang w:val="fr-FR"/>
        </w:rPr>
        <w:tab/>
        <w:t>Construction et agrément des véhicules</w:t>
      </w:r>
    </w:p>
    <w:p w14:paraId="43898455" w14:textId="77777777" w:rsidR="00695568" w:rsidRPr="00240C2B" w:rsidRDefault="00695568" w:rsidP="00695568">
      <w:pPr>
        <w:keepNext/>
        <w:keepLines/>
        <w:tabs>
          <w:tab w:val="right" w:pos="851"/>
        </w:tabs>
        <w:spacing w:before="240" w:after="120" w:line="240" w:lineRule="exact"/>
        <w:ind w:left="1134" w:right="1134" w:hanging="1134"/>
        <w:rPr>
          <w:b/>
          <w:lang w:val="fr-FR"/>
        </w:rPr>
      </w:pPr>
      <w:r w:rsidRPr="00240C2B">
        <w:rPr>
          <w:b/>
          <w:lang w:val="fr-FR"/>
        </w:rPr>
        <w:tab/>
        <w:t>1.</w:t>
      </w:r>
      <w:r w:rsidRPr="00240C2B">
        <w:rPr>
          <w:b/>
          <w:lang w:val="fr-FR"/>
        </w:rPr>
        <w:tab/>
        <w:t>Protection arrière des véhicules</w:t>
      </w:r>
    </w:p>
    <w:p w14:paraId="0DA69609" w14:textId="77777777" w:rsidR="00695568" w:rsidRPr="00240C2B" w:rsidRDefault="00695568" w:rsidP="009073B5">
      <w:pPr>
        <w:keepNext/>
        <w:keepLines/>
        <w:tabs>
          <w:tab w:val="left" w:pos="3402"/>
        </w:tabs>
        <w:ind w:left="2268" w:right="1134" w:hanging="1134"/>
        <w:rPr>
          <w:lang w:val="fr-FR"/>
        </w:rPr>
      </w:pPr>
      <w:r w:rsidRPr="00240C2B">
        <w:rPr>
          <w:i/>
          <w:lang w:val="fr-FR"/>
        </w:rPr>
        <w:t>Document </w:t>
      </w:r>
      <w:r w:rsidRPr="00240C2B">
        <w:rPr>
          <w:lang w:val="fr-FR"/>
        </w:rPr>
        <w:t>:</w:t>
      </w:r>
      <w:r w:rsidRPr="00240C2B">
        <w:rPr>
          <w:lang w:val="fr-FR"/>
        </w:rPr>
        <w:tab/>
      </w:r>
      <w:r w:rsidRPr="00240C2B">
        <w:rPr>
          <w:lang w:val="fr-FR"/>
        </w:rPr>
        <w:tab/>
        <w:t>ECE/TRANS/WP.15/2020/5 (France)</w:t>
      </w:r>
    </w:p>
    <w:p w14:paraId="4AD692FD" w14:textId="77777777" w:rsidR="00695568" w:rsidRPr="00240C2B" w:rsidRDefault="00695568" w:rsidP="00695568">
      <w:pPr>
        <w:tabs>
          <w:tab w:val="left" w:pos="3000"/>
        </w:tabs>
        <w:spacing w:after="120"/>
        <w:ind w:left="2268" w:right="1134" w:hanging="1134"/>
        <w:rPr>
          <w:szCs w:val="24"/>
          <w:lang w:val="fr-FR"/>
        </w:rPr>
      </w:pPr>
      <w:r w:rsidRPr="00240C2B">
        <w:rPr>
          <w:i/>
          <w:lang w:val="fr-FR"/>
        </w:rPr>
        <w:t>Document informel </w:t>
      </w:r>
      <w:r w:rsidRPr="00240C2B">
        <w:rPr>
          <w:lang w:val="fr-FR"/>
        </w:rPr>
        <w:t>:</w:t>
      </w:r>
      <w:r w:rsidRPr="00240C2B">
        <w:rPr>
          <w:lang w:val="fr-FR"/>
        </w:rPr>
        <w:tab/>
      </w:r>
      <w:r w:rsidRPr="00240C2B">
        <w:rPr>
          <w:lang w:val="fr-FR"/>
        </w:rPr>
        <w:tab/>
        <w:t>INF.16 (Royaume-Uni)</w:t>
      </w:r>
    </w:p>
    <w:p w14:paraId="24D1C4D6" w14:textId="0856DB5C" w:rsidR="00695568" w:rsidRPr="00240C2B" w:rsidRDefault="008D5429" w:rsidP="00695568">
      <w:pPr>
        <w:spacing w:after="120"/>
        <w:ind w:left="1134" w:right="1134"/>
        <w:jc w:val="both"/>
        <w:rPr>
          <w:lang w:val="fr-FR"/>
        </w:rPr>
      </w:pPr>
      <w:r>
        <w:rPr>
          <w:lang w:val="fr-FR"/>
        </w:rPr>
        <w:t>23</w:t>
      </w:r>
      <w:r w:rsidR="00695568" w:rsidRPr="00240C2B">
        <w:rPr>
          <w:lang w:val="fr-FR"/>
        </w:rPr>
        <w:t>.</w:t>
      </w:r>
      <w:r w:rsidR="00695568" w:rsidRPr="00240C2B">
        <w:rPr>
          <w:lang w:val="fr-FR"/>
        </w:rPr>
        <w:tab/>
        <w:t>Les participants avaient des points de vue partagés sur la façon de mesurer la distance prescrite au 9.7.6. Le Groupe de travail est convenu que les discussions sur ce sujet devraient être poursuivies sur la base d’une proposition révisée.</w:t>
      </w:r>
    </w:p>
    <w:p w14:paraId="1E78FFD0" w14:textId="072A0682" w:rsidR="00695568" w:rsidRPr="00240C2B" w:rsidRDefault="00FB7861" w:rsidP="00695568">
      <w:pPr>
        <w:spacing w:after="120"/>
        <w:ind w:left="1134" w:right="1134"/>
        <w:jc w:val="both"/>
        <w:rPr>
          <w:lang w:val="fr-FR"/>
        </w:rPr>
      </w:pPr>
      <w:r>
        <w:rPr>
          <w:lang w:val="fr-FR"/>
        </w:rPr>
        <w:t>24</w:t>
      </w:r>
      <w:r w:rsidR="00695568" w:rsidRPr="00240C2B">
        <w:rPr>
          <w:lang w:val="fr-FR"/>
        </w:rPr>
        <w:t>.</w:t>
      </w:r>
      <w:r w:rsidR="00695568" w:rsidRPr="00240C2B">
        <w:rPr>
          <w:lang w:val="fr-FR"/>
        </w:rPr>
        <w:tab/>
        <w:t>La représentante de la France a demandé aux représentants des parties contractantes à l’ADR de lui transmettre des informations sur la manière dont la distance prescrite au 9.7.6 était interprétée dans leur pays.</w:t>
      </w:r>
    </w:p>
    <w:p w14:paraId="22FA9FA3" w14:textId="77777777" w:rsidR="00695568" w:rsidRPr="00240C2B" w:rsidRDefault="00695568" w:rsidP="00695568">
      <w:pPr>
        <w:keepNext/>
        <w:keepLines/>
        <w:tabs>
          <w:tab w:val="right" w:pos="851"/>
        </w:tabs>
        <w:spacing w:before="240" w:after="120" w:line="240" w:lineRule="exact"/>
        <w:ind w:left="1134" w:right="1134" w:hanging="1134"/>
        <w:rPr>
          <w:b/>
          <w:lang w:val="fr-FR"/>
        </w:rPr>
      </w:pPr>
      <w:r w:rsidRPr="00240C2B">
        <w:rPr>
          <w:b/>
          <w:lang w:val="fr-FR"/>
        </w:rPr>
        <w:tab/>
      </w:r>
      <w:r>
        <w:rPr>
          <w:b/>
          <w:lang w:val="fr-FR"/>
        </w:rPr>
        <w:t>2</w:t>
      </w:r>
      <w:r w:rsidRPr="00240C2B">
        <w:rPr>
          <w:b/>
          <w:lang w:val="fr-FR"/>
        </w:rPr>
        <w:t>.</w:t>
      </w:r>
      <w:r w:rsidRPr="00240C2B">
        <w:rPr>
          <w:b/>
          <w:lang w:val="fr-FR"/>
        </w:rPr>
        <w:tab/>
        <w:t>Groupe de travail sur l'utilisation des véhicules électriques à batterie et des véhicules à pile à hydrogène pour le transport de marchandises dangereuses</w:t>
      </w:r>
    </w:p>
    <w:p w14:paraId="03CAF83A" w14:textId="5B6CEA55" w:rsidR="00695568" w:rsidRPr="00240C2B" w:rsidRDefault="00A13A8D" w:rsidP="00695568">
      <w:pPr>
        <w:spacing w:after="120"/>
        <w:ind w:left="1134" w:right="1134"/>
        <w:jc w:val="both"/>
        <w:rPr>
          <w:lang w:val="fr-FR"/>
        </w:rPr>
      </w:pPr>
      <w:r>
        <w:rPr>
          <w:lang w:val="fr-FR"/>
        </w:rPr>
        <w:t>25</w:t>
      </w:r>
      <w:r w:rsidR="00695568" w:rsidRPr="00240C2B">
        <w:rPr>
          <w:lang w:val="fr-FR"/>
        </w:rPr>
        <w:t>.</w:t>
      </w:r>
      <w:r w:rsidR="00695568" w:rsidRPr="00240C2B">
        <w:rPr>
          <w:lang w:val="fr-FR"/>
        </w:rPr>
        <w:tab/>
        <w:t>Le représentant des Pays-Bas a informé le Groupe de travail sur les résultats des travaux du « groupe de travail sur l'utilisation des véhicules électriques à batterie et des véhicules à pile à hydrogène pour le transport de marchandises dangereuses » qui s’était réuni à l’initiative des Pays-Bas pour préparer une discussion formelle sur ce sujet à une prochaine réunion du Groupe de travail.</w:t>
      </w:r>
    </w:p>
    <w:p w14:paraId="1CA16B8A" w14:textId="06F7DCC7" w:rsidR="00695568" w:rsidRPr="00240C2B" w:rsidRDefault="00B51BF6" w:rsidP="00695568">
      <w:pPr>
        <w:spacing w:after="120"/>
        <w:ind w:left="1134" w:right="1134"/>
        <w:jc w:val="both"/>
        <w:rPr>
          <w:lang w:val="fr-FR"/>
        </w:rPr>
      </w:pPr>
      <w:r>
        <w:rPr>
          <w:lang w:val="fr-FR"/>
        </w:rPr>
        <w:lastRenderedPageBreak/>
        <w:t>26</w:t>
      </w:r>
      <w:r w:rsidR="00695568" w:rsidRPr="00240C2B">
        <w:rPr>
          <w:lang w:val="fr-FR"/>
        </w:rPr>
        <w:t>.</w:t>
      </w:r>
      <w:r w:rsidR="00695568" w:rsidRPr="00240C2B">
        <w:rPr>
          <w:lang w:val="fr-FR"/>
        </w:rPr>
        <w:tab/>
        <w:t>Une prochaine session du « groupe de travail sur l'utilisation des véhicules électriques à batterie et des véhicules à pile à hydrogène pour le transport de marchandises dangereuses » est prévue en janvier 2021 avec la participation du secrétariat du Groupe de travail de la sécurité passive (GRSP) et du Groupe de travail des dispositions générales de sécurité des groupes (GRSG) du Forum mondial de l’harmonisation des Règlements concernant les véhicules (WP.29). Le représentant du WP.29 apportera des informations sur le Règlement ONU No. 100 sur les véhicules électriques à batterie et sur le Règlement ONU No. 134 sur les véhicules fonctionnant à l’hydrogène.</w:t>
      </w:r>
    </w:p>
    <w:p w14:paraId="7F3F328B" w14:textId="3058D594" w:rsidR="00003856" w:rsidRPr="00003856" w:rsidRDefault="00003856" w:rsidP="00003856">
      <w:pPr>
        <w:keepNext/>
        <w:keepLines/>
        <w:tabs>
          <w:tab w:val="right" w:pos="851"/>
        </w:tabs>
        <w:spacing w:before="360" w:after="240" w:line="270" w:lineRule="exact"/>
        <w:ind w:left="1134" w:right="1134" w:hanging="1134"/>
        <w:rPr>
          <w:b/>
          <w:sz w:val="24"/>
        </w:rPr>
      </w:pPr>
      <w:r w:rsidRPr="00003856">
        <w:rPr>
          <w:b/>
          <w:sz w:val="24"/>
        </w:rPr>
        <w:tab/>
        <w:t>B.</w:t>
      </w:r>
      <w:r w:rsidRPr="00003856">
        <w:rPr>
          <w:b/>
          <w:sz w:val="24"/>
        </w:rPr>
        <w:tab/>
        <w:t>Propositions diverses</w:t>
      </w:r>
    </w:p>
    <w:p w14:paraId="3683054B" w14:textId="77777777" w:rsidR="00003856" w:rsidRPr="00003856" w:rsidRDefault="00003856" w:rsidP="00003856">
      <w:pPr>
        <w:keepNext/>
        <w:keepLines/>
        <w:tabs>
          <w:tab w:val="right" w:pos="851"/>
        </w:tabs>
        <w:spacing w:before="240" w:after="120" w:line="240" w:lineRule="exact"/>
        <w:ind w:left="1134" w:right="1134" w:hanging="1134"/>
        <w:rPr>
          <w:b/>
          <w:lang w:val="fr-FR"/>
        </w:rPr>
      </w:pPr>
      <w:r w:rsidRPr="00003856">
        <w:rPr>
          <w:b/>
          <w:lang w:val="fr-FR"/>
        </w:rPr>
        <w:tab/>
        <w:t>1.</w:t>
      </w:r>
      <w:r w:rsidRPr="00003856">
        <w:rPr>
          <w:b/>
          <w:lang w:val="fr-FR"/>
        </w:rPr>
        <w:tab/>
        <w:t>Transport sous régulation de température</w:t>
      </w:r>
    </w:p>
    <w:p w14:paraId="5B6EDF64" w14:textId="77777777" w:rsidR="00003856" w:rsidRPr="00003856" w:rsidRDefault="00003856" w:rsidP="009073B5">
      <w:pPr>
        <w:keepNext/>
        <w:keepLines/>
        <w:tabs>
          <w:tab w:val="left" w:pos="3402"/>
        </w:tabs>
        <w:ind w:left="2268" w:right="1134" w:hanging="1134"/>
        <w:rPr>
          <w:lang w:val="fr-FR"/>
        </w:rPr>
      </w:pPr>
      <w:r w:rsidRPr="00003856">
        <w:rPr>
          <w:i/>
          <w:lang w:val="fr-FR"/>
        </w:rPr>
        <w:t>Document </w:t>
      </w:r>
      <w:r w:rsidRPr="00003856">
        <w:rPr>
          <w:lang w:val="fr-FR"/>
        </w:rPr>
        <w:t>:</w:t>
      </w:r>
      <w:r w:rsidRPr="00003856">
        <w:rPr>
          <w:lang w:val="fr-FR"/>
        </w:rPr>
        <w:tab/>
      </w:r>
      <w:r w:rsidRPr="00003856">
        <w:rPr>
          <w:lang w:val="fr-FR"/>
        </w:rPr>
        <w:tab/>
        <w:t>ECE/TRANS/WP.15/2020/1 (Pays-Bas et CEFIC)</w:t>
      </w:r>
    </w:p>
    <w:p w14:paraId="477CF4AA" w14:textId="77777777" w:rsidR="00003856" w:rsidRPr="00003856" w:rsidRDefault="00003856" w:rsidP="00003856">
      <w:pPr>
        <w:tabs>
          <w:tab w:val="left" w:pos="3000"/>
        </w:tabs>
        <w:spacing w:after="120"/>
        <w:ind w:left="2268" w:right="1134" w:hanging="1134"/>
        <w:rPr>
          <w:szCs w:val="24"/>
          <w:lang w:val="fr-FR"/>
        </w:rPr>
      </w:pPr>
      <w:r w:rsidRPr="00003856">
        <w:rPr>
          <w:i/>
          <w:lang w:val="fr-FR"/>
        </w:rPr>
        <w:t>Document informel </w:t>
      </w:r>
      <w:r w:rsidRPr="00003856">
        <w:rPr>
          <w:lang w:val="fr-FR"/>
        </w:rPr>
        <w:t>:</w:t>
      </w:r>
      <w:r w:rsidRPr="00003856">
        <w:rPr>
          <w:lang w:val="fr-FR"/>
        </w:rPr>
        <w:tab/>
      </w:r>
      <w:r w:rsidRPr="00003856">
        <w:rPr>
          <w:lang w:val="fr-FR"/>
        </w:rPr>
        <w:tab/>
        <w:t>INF.11 (Royaume-Uni)</w:t>
      </w:r>
    </w:p>
    <w:p w14:paraId="1FC308D5" w14:textId="6DDD798F" w:rsidR="00003856" w:rsidRPr="00003856" w:rsidRDefault="00EB4274" w:rsidP="00003856">
      <w:pPr>
        <w:spacing w:after="120"/>
        <w:ind w:left="1134" w:right="1134"/>
        <w:jc w:val="both"/>
        <w:rPr>
          <w:lang w:val="fr-FR"/>
        </w:rPr>
      </w:pPr>
      <w:r>
        <w:t>27</w:t>
      </w:r>
      <w:r w:rsidR="00003856" w:rsidRPr="00003856">
        <w:t>.</w:t>
      </w:r>
      <w:r w:rsidR="00003856" w:rsidRPr="00003856">
        <w:tab/>
        <w:t xml:space="preserve">Après discussion, les Pays-Bas et CEFIC ont retiré la proposition 1 du document </w:t>
      </w:r>
      <w:r w:rsidR="00003856" w:rsidRPr="00003856">
        <w:rPr>
          <w:lang w:val="fr-FR"/>
        </w:rPr>
        <w:t xml:space="preserve">ECE/TRANS/WP.15/2020/1. Ils présenteront une proposition révisée à la prochaine session. </w:t>
      </w:r>
    </w:p>
    <w:p w14:paraId="18369C83" w14:textId="7BF4C30E" w:rsidR="00003856" w:rsidRPr="00003856" w:rsidRDefault="00EB4274" w:rsidP="003847B3">
      <w:pPr>
        <w:spacing w:after="120"/>
        <w:ind w:left="1134" w:right="1134"/>
        <w:jc w:val="both"/>
      </w:pPr>
      <w:r>
        <w:rPr>
          <w:lang w:val="fr-FR"/>
        </w:rPr>
        <w:t>28</w:t>
      </w:r>
      <w:r w:rsidR="00003856" w:rsidRPr="00003856">
        <w:rPr>
          <w:lang w:val="fr-FR"/>
        </w:rPr>
        <w:t>.</w:t>
      </w:r>
      <w:r w:rsidR="00003856" w:rsidRPr="00003856">
        <w:rPr>
          <w:lang w:val="fr-FR"/>
        </w:rPr>
        <w:tab/>
        <w:t>Le Groupe de travail a adopté la proposition 2 telle que modifiée dans le document informel INF.11 (voir annexe</w:t>
      </w:r>
      <w:r w:rsidR="00367D0C">
        <w:rPr>
          <w:lang w:val="fr-FR"/>
        </w:rPr>
        <w:t xml:space="preserve"> I</w:t>
      </w:r>
      <w:r w:rsidR="00367D0C" w:rsidRPr="00003856">
        <w:rPr>
          <w:lang w:val="fr-FR"/>
        </w:rPr>
        <w:t>).</w:t>
      </w:r>
      <w:r w:rsidR="00367D0C" w:rsidRPr="00003856">
        <w:t xml:space="preserve"> </w:t>
      </w:r>
    </w:p>
    <w:p w14:paraId="7C16A839" w14:textId="77777777" w:rsidR="00003856" w:rsidRPr="00003856" w:rsidRDefault="00003856" w:rsidP="00003856">
      <w:pPr>
        <w:keepNext/>
        <w:keepLines/>
        <w:tabs>
          <w:tab w:val="right" w:pos="851"/>
        </w:tabs>
        <w:spacing w:before="240" w:after="120" w:line="240" w:lineRule="exact"/>
        <w:ind w:left="1134" w:right="1134" w:hanging="1134"/>
        <w:rPr>
          <w:b/>
          <w:lang w:val="fr-FR"/>
        </w:rPr>
      </w:pPr>
      <w:r w:rsidRPr="00003856">
        <w:rPr>
          <w:b/>
          <w:lang w:val="fr-FR"/>
        </w:rPr>
        <w:tab/>
        <w:t>2.</w:t>
      </w:r>
      <w:r w:rsidRPr="00003856">
        <w:rPr>
          <w:b/>
          <w:lang w:val="fr-FR"/>
        </w:rPr>
        <w:tab/>
        <w:t xml:space="preserve">Information sur les restrictions en tunnels applicables aux numéros ONU 2919 et 3331 dans le document de transport </w:t>
      </w:r>
    </w:p>
    <w:p w14:paraId="0C40807C" w14:textId="77777777" w:rsidR="00003856" w:rsidRPr="00003856" w:rsidRDefault="00003856" w:rsidP="009073B5">
      <w:pPr>
        <w:keepNext/>
        <w:keepLines/>
        <w:tabs>
          <w:tab w:val="left" w:pos="3402"/>
        </w:tabs>
        <w:ind w:left="2268" w:right="1134" w:hanging="1134"/>
        <w:rPr>
          <w:lang w:val="fr-FR"/>
        </w:rPr>
      </w:pPr>
      <w:r w:rsidRPr="00003856">
        <w:rPr>
          <w:i/>
          <w:lang w:val="fr-FR"/>
        </w:rPr>
        <w:t>Document </w:t>
      </w:r>
      <w:r w:rsidRPr="00003856">
        <w:rPr>
          <w:lang w:val="fr-FR"/>
        </w:rPr>
        <w:t>:</w:t>
      </w:r>
      <w:r w:rsidRPr="00003856">
        <w:rPr>
          <w:lang w:val="fr-FR"/>
        </w:rPr>
        <w:tab/>
      </w:r>
      <w:r w:rsidRPr="00003856">
        <w:rPr>
          <w:lang w:val="fr-FR"/>
        </w:rPr>
        <w:tab/>
        <w:t>ECE/TRANS/WP.15/2020/3 (Allemagne)</w:t>
      </w:r>
    </w:p>
    <w:p w14:paraId="218DBD23" w14:textId="77777777" w:rsidR="00003856" w:rsidRPr="00003856" w:rsidRDefault="00003856" w:rsidP="00003856">
      <w:pPr>
        <w:tabs>
          <w:tab w:val="left" w:pos="3000"/>
        </w:tabs>
        <w:spacing w:after="120"/>
        <w:ind w:left="2268" w:right="1134" w:hanging="1134"/>
        <w:rPr>
          <w:szCs w:val="24"/>
          <w:lang w:val="fr-FR"/>
        </w:rPr>
      </w:pPr>
      <w:r w:rsidRPr="00003856">
        <w:rPr>
          <w:i/>
          <w:lang w:val="fr-FR"/>
        </w:rPr>
        <w:t>Document informel </w:t>
      </w:r>
      <w:r w:rsidRPr="00003856">
        <w:rPr>
          <w:lang w:val="fr-FR"/>
        </w:rPr>
        <w:t>:</w:t>
      </w:r>
      <w:r w:rsidRPr="00003856">
        <w:rPr>
          <w:lang w:val="fr-FR"/>
        </w:rPr>
        <w:tab/>
      </w:r>
      <w:r w:rsidRPr="00003856">
        <w:rPr>
          <w:lang w:val="fr-FR"/>
        </w:rPr>
        <w:tab/>
        <w:t>INF.23 (Suisse)</w:t>
      </w:r>
    </w:p>
    <w:p w14:paraId="559DA202" w14:textId="6DD39FCB" w:rsidR="00003856" w:rsidRPr="00003856" w:rsidRDefault="00630DDE" w:rsidP="00003856">
      <w:pPr>
        <w:spacing w:after="120"/>
        <w:ind w:left="1134" w:right="1134"/>
        <w:jc w:val="both"/>
        <w:rPr>
          <w:i/>
          <w:iCs/>
        </w:rPr>
      </w:pPr>
      <w:r>
        <w:t>29</w:t>
      </w:r>
      <w:r w:rsidR="00003856" w:rsidRPr="00003856">
        <w:t>.</w:t>
      </w:r>
      <w:r w:rsidR="00003856" w:rsidRPr="00003856">
        <w:tab/>
        <w:t>Le Groupe de travail a adopté la proposition alternative figurant dans le document INF.23 (voir annexe</w:t>
      </w:r>
      <w:r w:rsidR="00367D0C">
        <w:t xml:space="preserve"> I</w:t>
      </w:r>
      <w:r w:rsidR="00003856" w:rsidRPr="00003856">
        <w:t>).</w:t>
      </w:r>
    </w:p>
    <w:p w14:paraId="5BBD3765" w14:textId="33971A2D" w:rsidR="00003856" w:rsidRPr="00003856" w:rsidRDefault="00003856" w:rsidP="00003856">
      <w:pPr>
        <w:keepNext/>
        <w:keepLines/>
        <w:tabs>
          <w:tab w:val="right" w:pos="851"/>
        </w:tabs>
        <w:spacing w:before="240" w:after="120" w:line="240" w:lineRule="exact"/>
        <w:ind w:left="1134" w:right="1134" w:hanging="1134"/>
        <w:rPr>
          <w:b/>
          <w:lang w:val="fr-FR"/>
        </w:rPr>
      </w:pPr>
      <w:r w:rsidRPr="00003856">
        <w:rPr>
          <w:b/>
          <w:lang w:val="fr-FR"/>
        </w:rPr>
        <w:tab/>
        <w:t>3.</w:t>
      </w:r>
      <w:r w:rsidRPr="00003856">
        <w:rPr>
          <w:b/>
          <w:lang w:val="fr-FR"/>
        </w:rPr>
        <w:tab/>
        <w:t xml:space="preserve">Application du code de restriction en tunnels pour </w:t>
      </w:r>
      <w:r w:rsidR="002C53DA">
        <w:rPr>
          <w:b/>
          <w:lang w:val="fr-FR"/>
        </w:rPr>
        <w:t xml:space="preserve">les </w:t>
      </w:r>
      <w:r w:rsidRPr="00003856">
        <w:rPr>
          <w:b/>
          <w:lang w:val="fr-FR"/>
        </w:rPr>
        <w:t>emballages vides</w:t>
      </w:r>
    </w:p>
    <w:p w14:paraId="05030E03" w14:textId="77777777" w:rsidR="00003856" w:rsidRPr="00003856" w:rsidRDefault="00003856" w:rsidP="009073B5">
      <w:pPr>
        <w:keepNext/>
        <w:keepLines/>
        <w:tabs>
          <w:tab w:val="left" w:pos="3402"/>
        </w:tabs>
        <w:ind w:left="2268" w:right="1134" w:hanging="1134"/>
        <w:rPr>
          <w:lang w:val="fr-FR"/>
        </w:rPr>
      </w:pPr>
      <w:r w:rsidRPr="00003856">
        <w:rPr>
          <w:i/>
          <w:lang w:val="fr-FR"/>
        </w:rPr>
        <w:t>Document </w:t>
      </w:r>
      <w:r w:rsidRPr="00003856">
        <w:rPr>
          <w:lang w:val="fr-FR"/>
        </w:rPr>
        <w:t>:</w:t>
      </w:r>
      <w:r w:rsidRPr="00003856">
        <w:rPr>
          <w:lang w:val="fr-FR"/>
        </w:rPr>
        <w:tab/>
      </w:r>
      <w:r w:rsidRPr="00003856">
        <w:rPr>
          <w:lang w:val="fr-FR"/>
        </w:rPr>
        <w:tab/>
        <w:t>ECE/TRANS/WP.15/2020/12 (Allemagne)</w:t>
      </w:r>
    </w:p>
    <w:p w14:paraId="613D4747" w14:textId="77777777" w:rsidR="00003856" w:rsidRPr="00003856" w:rsidRDefault="00003856" w:rsidP="00003856">
      <w:pPr>
        <w:tabs>
          <w:tab w:val="left" w:pos="3000"/>
        </w:tabs>
        <w:spacing w:after="120"/>
        <w:ind w:left="2268" w:right="1134" w:hanging="1134"/>
        <w:rPr>
          <w:szCs w:val="24"/>
          <w:lang w:val="fr-FR"/>
        </w:rPr>
      </w:pPr>
      <w:r w:rsidRPr="00003856">
        <w:rPr>
          <w:i/>
          <w:lang w:val="fr-FR"/>
        </w:rPr>
        <w:t>Document informel </w:t>
      </w:r>
      <w:r w:rsidRPr="00003856">
        <w:rPr>
          <w:lang w:val="fr-FR"/>
        </w:rPr>
        <w:t>:</w:t>
      </w:r>
      <w:r w:rsidRPr="00003856">
        <w:rPr>
          <w:lang w:val="fr-FR"/>
        </w:rPr>
        <w:tab/>
      </w:r>
      <w:r w:rsidRPr="00003856">
        <w:rPr>
          <w:lang w:val="fr-FR"/>
        </w:rPr>
        <w:tab/>
        <w:t>INF.21 (Suède)</w:t>
      </w:r>
    </w:p>
    <w:p w14:paraId="06E465DC" w14:textId="5A913EEA" w:rsidR="00003856" w:rsidRPr="00003856" w:rsidRDefault="00FF3D50" w:rsidP="00003856">
      <w:pPr>
        <w:spacing w:after="120"/>
        <w:ind w:left="1134" w:right="1134"/>
        <w:jc w:val="both"/>
      </w:pPr>
      <w:r>
        <w:t>30</w:t>
      </w:r>
      <w:r w:rsidR="00003856" w:rsidRPr="00003856">
        <w:t>.</w:t>
      </w:r>
      <w:r w:rsidR="00003856" w:rsidRPr="00003856">
        <w:tab/>
        <w:t>Le Groupe de travail est convenu que cette question devrait être examinée plus avant. Notamment, le cas des emballages ayant contenu des marchandises dangereuses de la catégorie de transport 0 et le fait qu’un code tunnel ait été attribué aux emballages du No ONU 3509 devrait être pris en considération. La représentante de l’Allemagne a indiqué qu’elle pourrait présenter une proposition révisée à une prochaine session.</w:t>
      </w:r>
    </w:p>
    <w:p w14:paraId="03244E17" w14:textId="77777777" w:rsidR="00003856" w:rsidRPr="00003856" w:rsidRDefault="00003856" w:rsidP="00003856">
      <w:pPr>
        <w:keepNext/>
        <w:keepLines/>
        <w:tabs>
          <w:tab w:val="right" w:pos="851"/>
        </w:tabs>
        <w:spacing w:before="240" w:after="120" w:line="240" w:lineRule="exact"/>
        <w:ind w:left="1134" w:right="1134" w:hanging="1134"/>
        <w:rPr>
          <w:b/>
          <w:lang w:val="fr-FR"/>
        </w:rPr>
      </w:pPr>
      <w:r w:rsidRPr="00003856">
        <w:rPr>
          <w:b/>
          <w:lang w:val="fr-FR"/>
        </w:rPr>
        <w:tab/>
        <w:t>4.</w:t>
      </w:r>
      <w:r w:rsidRPr="00003856">
        <w:rPr>
          <w:b/>
          <w:lang w:val="fr-FR"/>
        </w:rPr>
        <w:tab/>
      </w:r>
      <w:r w:rsidRPr="00003856">
        <w:rPr>
          <w:b/>
        </w:rPr>
        <w:t>Suppression du code de restriction en tunnels pour les colis exceptés (Nos ONU 2908 à 2911)</w:t>
      </w:r>
    </w:p>
    <w:p w14:paraId="22D47F6E" w14:textId="77777777" w:rsidR="00003856" w:rsidRPr="00003856" w:rsidRDefault="00003856" w:rsidP="009073B5">
      <w:pPr>
        <w:keepNext/>
        <w:keepLines/>
        <w:tabs>
          <w:tab w:val="left" w:pos="3402"/>
        </w:tabs>
        <w:ind w:left="2268" w:right="1134" w:hanging="1134"/>
        <w:rPr>
          <w:lang w:val="fr-FR"/>
        </w:rPr>
      </w:pPr>
      <w:r w:rsidRPr="00003856">
        <w:rPr>
          <w:i/>
          <w:lang w:val="fr-FR"/>
        </w:rPr>
        <w:t>Document </w:t>
      </w:r>
      <w:r w:rsidRPr="00003856">
        <w:rPr>
          <w:lang w:val="fr-FR"/>
        </w:rPr>
        <w:t>:</w:t>
      </w:r>
      <w:r w:rsidRPr="00003856">
        <w:rPr>
          <w:lang w:val="fr-FR"/>
        </w:rPr>
        <w:tab/>
      </w:r>
      <w:r w:rsidRPr="00003856">
        <w:rPr>
          <w:lang w:val="fr-FR"/>
        </w:rPr>
        <w:tab/>
        <w:t>ECE/TRANS/WP.15/2020/4 (Allemagne)</w:t>
      </w:r>
    </w:p>
    <w:p w14:paraId="4D2965D8" w14:textId="77777777" w:rsidR="00003856" w:rsidRPr="00003856" w:rsidRDefault="00003856" w:rsidP="00003856">
      <w:pPr>
        <w:tabs>
          <w:tab w:val="left" w:pos="3000"/>
        </w:tabs>
        <w:spacing w:after="120"/>
        <w:ind w:left="2268" w:right="1134" w:hanging="1134"/>
        <w:rPr>
          <w:szCs w:val="24"/>
          <w:lang w:val="fr-FR"/>
        </w:rPr>
      </w:pPr>
      <w:r w:rsidRPr="00003856">
        <w:rPr>
          <w:i/>
          <w:lang w:val="fr-FR"/>
        </w:rPr>
        <w:t>Document informel </w:t>
      </w:r>
      <w:r w:rsidRPr="00003856">
        <w:rPr>
          <w:lang w:val="fr-FR"/>
        </w:rPr>
        <w:t>:</w:t>
      </w:r>
      <w:r w:rsidRPr="00003856">
        <w:rPr>
          <w:lang w:val="fr-FR"/>
        </w:rPr>
        <w:tab/>
      </w:r>
      <w:r w:rsidRPr="00003856">
        <w:rPr>
          <w:lang w:val="fr-FR"/>
        </w:rPr>
        <w:tab/>
        <w:t>INF.12 (Royaume-Uni)</w:t>
      </w:r>
    </w:p>
    <w:p w14:paraId="4834F9DE" w14:textId="112787A1" w:rsidR="00003856" w:rsidRPr="00003856" w:rsidRDefault="00D614BF" w:rsidP="00003856">
      <w:pPr>
        <w:spacing w:after="120"/>
        <w:ind w:left="1134" w:right="1134"/>
        <w:jc w:val="both"/>
      </w:pPr>
      <w:r>
        <w:t>31</w:t>
      </w:r>
      <w:r w:rsidR="00003856" w:rsidRPr="00003856">
        <w:t>.</w:t>
      </w:r>
      <w:r w:rsidR="00003856" w:rsidRPr="00003856">
        <w:tab/>
        <w:t>Le Groupe de travail a souhaité reporter la discussion sur ce point à une prochaine session. Afin de faciliter cette discussion, le Groupe de travail a demandé au secrétariat de rechercher des informations sur la méthodologie et la systématique retenue pour l’attribution des codes tunnels aux marchandises concernées.</w:t>
      </w:r>
    </w:p>
    <w:p w14:paraId="37215E31" w14:textId="77777777" w:rsidR="003847B3" w:rsidRPr="003847B3" w:rsidRDefault="003847B3" w:rsidP="003847B3">
      <w:pPr>
        <w:keepNext/>
        <w:keepLines/>
        <w:tabs>
          <w:tab w:val="right" w:pos="851"/>
        </w:tabs>
        <w:spacing w:before="240" w:after="120" w:line="240" w:lineRule="exact"/>
        <w:ind w:left="1134" w:right="1134" w:hanging="1134"/>
        <w:rPr>
          <w:b/>
          <w:lang w:val="fr-FR"/>
        </w:rPr>
      </w:pPr>
      <w:r w:rsidRPr="003847B3">
        <w:rPr>
          <w:b/>
          <w:lang w:val="fr-FR"/>
        </w:rPr>
        <w:tab/>
        <w:t>5.</w:t>
      </w:r>
      <w:r w:rsidRPr="003847B3">
        <w:rPr>
          <w:b/>
          <w:lang w:val="fr-FR"/>
        </w:rPr>
        <w:tab/>
        <w:t>Clarification des règles relatives au transport des véhicules électriques à batterie et des véhicules hybrides en tant que chargement, disposition spéciale 667</w:t>
      </w:r>
    </w:p>
    <w:p w14:paraId="16274835" w14:textId="77777777" w:rsidR="003847B3" w:rsidRPr="003847B3" w:rsidRDefault="003847B3" w:rsidP="009073B5">
      <w:pPr>
        <w:keepNext/>
        <w:keepLines/>
        <w:tabs>
          <w:tab w:val="left" w:pos="3402"/>
        </w:tabs>
        <w:ind w:left="2268" w:right="1134" w:hanging="1134"/>
        <w:rPr>
          <w:lang w:val="fr-FR"/>
        </w:rPr>
      </w:pPr>
      <w:r w:rsidRPr="003847B3">
        <w:rPr>
          <w:i/>
          <w:lang w:val="fr-FR"/>
        </w:rPr>
        <w:t>Document </w:t>
      </w:r>
      <w:r w:rsidRPr="003847B3">
        <w:rPr>
          <w:lang w:val="fr-FR"/>
        </w:rPr>
        <w:t>:</w:t>
      </w:r>
      <w:r w:rsidRPr="003847B3">
        <w:rPr>
          <w:lang w:val="fr-FR"/>
        </w:rPr>
        <w:tab/>
      </w:r>
      <w:r w:rsidRPr="003847B3">
        <w:rPr>
          <w:lang w:val="fr-FR"/>
        </w:rPr>
        <w:tab/>
        <w:t>ECE/TRANS/WP.15/2020/7 (Autriche)</w:t>
      </w:r>
    </w:p>
    <w:p w14:paraId="7C09DAE3" w14:textId="77777777" w:rsidR="003847B3" w:rsidRPr="003847B3" w:rsidRDefault="003847B3" w:rsidP="003847B3">
      <w:pPr>
        <w:tabs>
          <w:tab w:val="left" w:pos="3000"/>
        </w:tabs>
        <w:spacing w:after="120"/>
        <w:ind w:left="2268" w:right="1134" w:hanging="1134"/>
        <w:rPr>
          <w:szCs w:val="24"/>
          <w:lang w:val="fr-FR"/>
        </w:rPr>
      </w:pPr>
      <w:r w:rsidRPr="003847B3">
        <w:rPr>
          <w:i/>
          <w:lang w:val="fr-FR"/>
        </w:rPr>
        <w:t>Document informel </w:t>
      </w:r>
      <w:r w:rsidRPr="003847B3">
        <w:rPr>
          <w:lang w:val="fr-FR"/>
        </w:rPr>
        <w:t>:</w:t>
      </w:r>
      <w:r w:rsidRPr="003847B3">
        <w:rPr>
          <w:lang w:val="fr-FR"/>
        </w:rPr>
        <w:tab/>
      </w:r>
      <w:r w:rsidRPr="003847B3">
        <w:rPr>
          <w:lang w:val="fr-FR"/>
        </w:rPr>
        <w:tab/>
        <w:t>INF.17 (OICA)</w:t>
      </w:r>
    </w:p>
    <w:p w14:paraId="211F3B2A" w14:textId="348ADF31" w:rsidR="003847B3" w:rsidRPr="003847B3" w:rsidRDefault="004A6E92" w:rsidP="003847B3">
      <w:pPr>
        <w:spacing w:after="120"/>
        <w:ind w:left="1134" w:right="1134"/>
        <w:jc w:val="both"/>
      </w:pPr>
      <w:r>
        <w:t>32</w:t>
      </w:r>
      <w:r w:rsidR="003847B3" w:rsidRPr="003847B3">
        <w:t>.</w:t>
      </w:r>
      <w:r w:rsidR="003847B3" w:rsidRPr="003847B3">
        <w:tab/>
        <w:t xml:space="preserve">Plusieurs délégations considéraient que ce sujet devait être traité par la Réunion commune car le texte de la disposition spéciale 667 était commun au RID, à l’ADR et à l’ADN et les transports de véhicules endommagés couverts par cette disposition spéciale pouvaient être réalisés autrement que par route. Il a été noté, cependant, que les volumes </w:t>
      </w:r>
      <w:r w:rsidR="003847B3" w:rsidRPr="003847B3">
        <w:lastRenderedPageBreak/>
        <w:t>concernés pouvaient être différents suivant les modes de transport et justifier des dispositions spécifiques pour chaque mode.</w:t>
      </w:r>
    </w:p>
    <w:p w14:paraId="462D881C" w14:textId="4EA11B04" w:rsidR="003847B3" w:rsidRPr="003847B3" w:rsidRDefault="003815F4" w:rsidP="003847B3">
      <w:pPr>
        <w:spacing w:after="120"/>
        <w:ind w:left="1134" w:right="1134"/>
        <w:jc w:val="both"/>
      </w:pPr>
      <w:r>
        <w:t>33</w:t>
      </w:r>
      <w:r w:rsidR="003847B3" w:rsidRPr="003847B3">
        <w:t>.</w:t>
      </w:r>
      <w:r w:rsidR="003847B3" w:rsidRPr="003847B3">
        <w:tab/>
        <w:t>Le Groupe de travail a noté que des travaux étaient en cours au sein de l’Association des Constructeurs Européens d'Automobiles (ACEA), membre de l’OICA, sur les conditions et procédures à suivre pour gérer l’échange des batteries endommagées ou périmées des véhicules électriques. La représentante de l’OICA a indiqué qu’elle informerait le Groupe de travail et le représentant de l’Autriche sur l’avancée de ces travaux.</w:t>
      </w:r>
    </w:p>
    <w:p w14:paraId="5BCB6972" w14:textId="3E8E7F08" w:rsidR="003847B3" w:rsidRPr="003847B3" w:rsidRDefault="00F861F3" w:rsidP="003847B3">
      <w:pPr>
        <w:spacing w:after="120"/>
        <w:ind w:left="1134" w:right="1134"/>
        <w:jc w:val="both"/>
      </w:pPr>
      <w:r>
        <w:t>34</w:t>
      </w:r>
      <w:r w:rsidR="003847B3" w:rsidRPr="003847B3">
        <w:t>.</w:t>
      </w:r>
      <w:r w:rsidR="003847B3" w:rsidRPr="003847B3">
        <w:tab/>
        <w:t xml:space="preserve">Le représentant de l’Autriche a indiqué qu’il présenterait une proposition révisée à la </w:t>
      </w:r>
      <w:r w:rsidR="00372A21">
        <w:t>R</w:t>
      </w:r>
      <w:r w:rsidR="00372A21" w:rsidRPr="003847B3">
        <w:t xml:space="preserve">éunion </w:t>
      </w:r>
      <w:r w:rsidR="003847B3" w:rsidRPr="003847B3">
        <w:t>commune à la lumière des commentaires reçus.</w:t>
      </w:r>
    </w:p>
    <w:p w14:paraId="25991B00" w14:textId="77777777" w:rsidR="003847B3" w:rsidRPr="003847B3" w:rsidRDefault="003847B3" w:rsidP="003847B3">
      <w:pPr>
        <w:keepNext/>
        <w:keepLines/>
        <w:tabs>
          <w:tab w:val="right" w:pos="851"/>
        </w:tabs>
        <w:spacing w:before="240" w:after="120" w:line="240" w:lineRule="exact"/>
        <w:ind w:left="1134" w:right="1134" w:hanging="1134"/>
        <w:rPr>
          <w:b/>
          <w:lang w:val="fr-FR"/>
        </w:rPr>
      </w:pPr>
      <w:r w:rsidRPr="003847B3">
        <w:rPr>
          <w:b/>
          <w:lang w:val="fr-FR"/>
        </w:rPr>
        <w:tab/>
        <w:t>6.</w:t>
      </w:r>
      <w:r w:rsidRPr="003847B3">
        <w:rPr>
          <w:b/>
          <w:lang w:val="fr-FR"/>
        </w:rPr>
        <w:tab/>
        <w:t>Marchandises dangereuses exemptées des restrictions de circulation dans les tunnels</w:t>
      </w:r>
    </w:p>
    <w:p w14:paraId="0539AB13" w14:textId="6A23D41E" w:rsidR="003847B3" w:rsidRPr="003847B3" w:rsidRDefault="003847B3" w:rsidP="009073B5">
      <w:pPr>
        <w:tabs>
          <w:tab w:val="left" w:pos="3402"/>
        </w:tabs>
        <w:spacing w:after="120"/>
        <w:ind w:left="2268" w:right="1134" w:hanging="1134"/>
      </w:pPr>
      <w:r w:rsidRPr="003847B3">
        <w:rPr>
          <w:i/>
          <w:lang w:val="fr-FR"/>
        </w:rPr>
        <w:t>Document </w:t>
      </w:r>
      <w:r w:rsidRPr="003847B3">
        <w:rPr>
          <w:lang w:val="fr-FR"/>
        </w:rPr>
        <w:t>:</w:t>
      </w:r>
      <w:r w:rsidRPr="003847B3">
        <w:rPr>
          <w:lang w:val="fr-FR"/>
        </w:rPr>
        <w:tab/>
      </w:r>
      <w:r w:rsidRPr="003847B3">
        <w:rPr>
          <w:lang w:val="fr-FR"/>
        </w:rPr>
        <w:tab/>
        <w:t>ECE/TRANS/WP.15/2020/10 (Suisse)</w:t>
      </w:r>
    </w:p>
    <w:p w14:paraId="10649B32" w14:textId="7BAC3D74" w:rsidR="003847B3" w:rsidRPr="003847B3" w:rsidRDefault="00CF4A77" w:rsidP="003847B3">
      <w:pPr>
        <w:spacing w:after="120"/>
        <w:ind w:left="1134" w:right="1134"/>
        <w:jc w:val="both"/>
      </w:pPr>
      <w:r>
        <w:t>35</w:t>
      </w:r>
      <w:r w:rsidR="003847B3" w:rsidRPr="003847B3">
        <w:t>.</w:t>
      </w:r>
      <w:r w:rsidR="003847B3" w:rsidRPr="003847B3">
        <w:tab/>
        <w:t xml:space="preserve">Plusieurs délégations considéraient que la proposition de la Suisse aurait des conséquences sur des marchandises dangereuses, autres que celles des Nos ONU 3077 et 3082, auxquelles la mention « (-) » avait été attribuée en colonne (15) du tableau A. </w:t>
      </w:r>
    </w:p>
    <w:p w14:paraId="7EA295D7" w14:textId="19BE8C65" w:rsidR="003847B3" w:rsidRPr="003847B3" w:rsidRDefault="00CF4A77" w:rsidP="003847B3">
      <w:pPr>
        <w:spacing w:after="120"/>
        <w:ind w:left="1134" w:right="1134"/>
        <w:jc w:val="both"/>
      </w:pPr>
      <w:r>
        <w:t>36</w:t>
      </w:r>
      <w:r w:rsidR="003847B3" w:rsidRPr="003847B3">
        <w:t>.</w:t>
      </w:r>
      <w:r w:rsidR="003847B3" w:rsidRPr="003847B3">
        <w:tab/>
        <w:t>Le représentant de la Suisse a retiré sa proposition et indiqué qu’il présenterait une proposition révisée à une prochaine session.</w:t>
      </w:r>
    </w:p>
    <w:p w14:paraId="3E5B60A7" w14:textId="77777777" w:rsidR="003847B3" w:rsidRPr="003847B3" w:rsidRDefault="003847B3" w:rsidP="003847B3">
      <w:pPr>
        <w:keepNext/>
        <w:keepLines/>
        <w:tabs>
          <w:tab w:val="right" w:pos="851"/>
        </w:tabs>
        <w:spacing w:before="240" w:after="120" w:line="240" w:lineRule="exact"/>
        <w:ind w:left="1134" w:right="1134" w:hanging="1134"/>
        <w:rPr>
          <w:b/>
          <w:lang w:val="fr-FR"/>
        </w:rPr>
      </w:pPr>
      <w:r w:rsidRPr="003847B3">
        <w:rPr>
          <w:b/>
          <w:lang w:val="fr-FR"/>
        </w:rPr>
        <w:tab/>
        <w:t>7.</w:t>
      </w:r>
      <w:r w:rsidRPr="003847B3">
        <w:rPr>
          <w:b/>
          <w:lang w:val="fr-FR"/>
        </w:rPr>
        <w:tab/>
        <w:t>Texte du 9.1.3.4</w:t>
      </w:r>
    </w:p>
    <w:p w14:paraId="5297B0C5" w14:textId="03954AEE" w:rsidR="003847B3" w:rsidRPr="003847B3" w:rsidRDefault="003847B3" w:rsidP="009073B5">
      <w:pPr>
        <w:keepNext/>
        <w:keepLines/>
        <w:tabs>
          <w:tab w:val="left" w:pos="3402"/>
        </w:tabs>
        <w:spacing w:after="120"/>
        <w:ind w:left="2268" w:right="1134" w:hanging="1134"/>
        <w:rPr>
          <w:lang w:val="fr-FR"/>
        </w:rPr>
      </w:pPr>
      <w:r w:rsidRPr="003847B3">
        <w:rPr>
          <w:i/>
          <w:lang w:val="fr-FR"/>
        </w:rPr>
        <w:t>Document </w:t>
      </w:r>
      <w:r w:rsidRPr="003847B3">
        <w:rPr>
          <w:lang w:val="fr-FR"/>
        </w:rPr>
        <w:t>:</w:t>
      </w:r>
      <w:r w:rsidRPr="003847B3">
        <w:rPr>
          <w:lang w:val="fr-FR"/>
        </w:rPr>
        <w:tab/>
      </w:r>
      <w:r w:rsidR="009073B5">
        <w:rPr>
          <w:lang w:val="fr-FR"/>
        </w:rPr>
        <w:tab/>
      </w:r>
      <w:r w:rsidRPr="003847B3">
        <w:rPr>
          <w:lang w:val="fr-FR"/>
        </w:rPr>
        <w:tab/>
        <w:t>ECE/TRANS/WP.15/2020/11 (Secrétariat)</w:t>
      </w:r>
    </w:p>
    <w:p w14:paraId="2065680F" w14:textId="3E1CBEE8" w:rsidR="003847B3" w:rsidRPr="003847B3" w:rsidRDefault="00E06B5E" w:rsidP="003847B3">
      <w:pPr>
        <w:spacing w:after="120"/>
        <w:ind w:left="1134" w:right="1134"/>
        <w:jc w:val="both"/>
      </w:pPr>
      <w:r>
        <w:t>37</w:t>
      </w:r>
      <w:r w:rsidR="003847B3" w:rsidRPr="003847B3">
        <w:t>.</w:t>
      </w:r>
      <w:r w:rsidR="003847B3" w:rsidRPr="003847B3">
        <w:tab/>
        <w:t xml:space="preserve">Le Groupe de travail a noté que la </w:t>
      </w:r>
      <w:r w:rsidR="003847B3" w:rsidRPr="003847B3">
        <w:rPr>
          <w:lang w:val="fr-FR"/>
        </w:rPr>
        <w:t>proposition 1 avait déjà été prise en compte dans les amendements notifiés pour entrée en vigueur au 1</w:t>
      </w:r>
      <w:r w:rsidR="003847B3" w:rsidRPr="003847B3">
        <w:rPr>
          <w:vertAlign w:val="superscript"/>
          <w:lang w:val="fr-FR"/>
        </w:rPr>
        <w:t>er</w:t>
      </w:r>
      <w:r w:rsidR="003847B3" w:rsidRPr="003847B3">
        <w:rPr>
          <w:lang w:val="fr-FR"/>
        </w:rPr>
        <w:t xml:space="preserve"> janvier 2021 et dans la version publiée de l’ADR 2021. </w:t>
      </w:r>
      <w:r w:rsidR="003847B3" w:rsidRPr="003847B3">
        <w:t xml:space="preserve"> </w:t>
      </w:r>
    </w:p>
    <w:p w14:paraId="6D55CFE7" w14:textId="2B22F568" w:rsidR="003847B3" w:rsidRPr="003847B3" w:rsidRDefault="00E06B5E" w:rsidP="003847B3">
      <w:pPr>
        <w:spacing w:after="120"/>
        <w:ind w:left="1134" w:right="1134"/>
        <w:jc w:val="both"/>
      </w:pPr>
      <w:r>
        <w:t>38</w:t>
      </w:r>
      <w:r w:rsidR="003847B3" w:rsidRPr="003847B3">
        <w:t>.</w:t>
      </w:r>
      <w:r w:rsidR="003847B3" w:rsidRPr="003847B3">
        <w:tab/>
        <w:t xml:space="preserve">Le Groupe de travail a adopté la proposition 2 visant à clarifier le dernier paragraphe du 9.1.3.4 </w:t>
      </w:r>
      <w:r w:rsidR="003847B3" w:rsidRPr="003847B3">
        <w:rPr>
          <w:lang w:val="fr-FR"/>
        </w:rPr>
        <w:t>(voir annexe</w:t>
      </w:r>
      <w:r w:rsidR="00372A21">
        <w:rPr>
          <w:lang w:val="fr-FR"/>
        </w:rPr>
        <w:t xml:space="preserve"> I</w:t>
      </w:r>
      <w:r w:rsidR="00372A21" w:rsidRPr="003847B3">
        <w:rPr>
          <w:lang w:val="fr-FR"/>
        </w:rPr>
        <w:t>).</w:t>
      </w:r>
    </w:p>
    <w:p w14:paraId="2DFC1B7E" w14:textId="77777777" w:rsidR="003847B3" w:rsidRPr="003847B3" w:rsidRDefault="003847B3" w:rsidP="003847B3">
      <w:pPr>
        <w:keepNext/>
        <w:keepLines/>
        <w:tabs>
          <w:tab w:val="right" w:pos="851"/>
        </w:tabs>
        <w:spacing w:before="240" w:after="120" w:line="240" w:lineRule="exact"/>
        <w:ind w:left="1134" w:right="1134" w:hanging="1134"/>
        <w:rPr>
          <w:b/>
          <w:lang w:val="fr-FR"/>
        </w:rPr>
      </w:pPr>
      <w:r w:rsidRPr="003847B3">
        <w:rPr>
          <w:b/>
          <w:lang w:val="fr-FR"/>
        </w:rPr>
        <w:tab/>
        <w:t>8.</w:t>
      </w:r>
      <w:r w:rsidRPr="003847B3">
        <w:rPr>
          <w:b/>
          <w:lang w:val="fr-FR"/>
        </w:rPr>
        <w:tab/>
        <w:t>Disposition spéciale V6</w:t>
      </w:r>
    </w:p>
    <w:p w14:paraId="3BB782BF" w14:textId="77777777" w:rsidR="003847B3" w:rsidRPr="003847B3" w:rsidRDefault="003847B3" w:rsidP="009073B5">
      <w:pPr>
        <w:keepNext/>
        <w:keepLines/>
        <w:tabs>
          <w:tab w:val="left" w:pos="3402"/>
        </w:tabs>
        <w:spacing w:after="120"/>
        <w:ind w:left="2268" w:right="1134" w:hanging="1134"/>
        <w:rPr>
          <w:lang w:val="fr-FR"/>
        </w:rPr>
      </w:pPr>
      <w:r w:rsidRPr="003847B3">
        <w:rPr>
          <w:i/>
          <w:lang w:val="fr-FR"/>
        </w:rPr>
        <w:t>Document </w:t>
      </w:r>
      <w:r w:rsidRPr="003847B3">
        <w:rPr>
          <w:lang w:val="fr-FR"/>
        </w:rPr>
        <w:t>:</w:t>
      </w:r>
      <w:r w:rsidRPr="003847B3">
        <w:rPr>
          <w:lang w:val="fr-FR"/>
        </w:rPr>
        <w:tab/>
      </w:r>
      <w:r w:rsidRPr="003847B3">
        <w:rPr>
          <w:lang w:val="fr-FR"/>
        </w:rPr>
        <w:tab/>
        <w:t>ECE/TRANS/WP.15/2020/13 (Espagne)</w:t>
      </w:r>
    </w:p>
    <w:p w14:paraId="0A1FA84A" w14:textId="3A8CA421" w:rsidR="003847B3" w:rsidRPr="003847B3" w:rsidRDefault="00984E09" w:rsidP="003847B3">
      <w:pPr>
        <w:spacing w:after="120"/>
        <w:ind w:left="1134" w:right="1134"/>
        <w:jc w:val="both"/>
      </w:pPr>
      <w:r>
        <w:t>39</w:t>
      </w:r>
      <w:r w:rsidR="003847B3" w:rsidRPr="003847B3">
        <w:t>.</w:t>
      </w:r>
      <w:r w:rsidR="003847B3" w:rsidRPr="003847B3">
        <w:tab/>
        <w:t xml:space="preserve">La proposition de l’Espagne a été adoptée </w:t>
      </w:r>
      <w:r w:rsidR="003847B3" w:rsidRPr="003847B3">
        <w:rPr>
          <w:lang w:val="fr-FR"/>
        </w:rPr>
        <w:t>(voir annexe</w:t>
      </w:r>
      <w:r w:rsidR="00372A21">
        <w:rPr>
          <w:lang w:val="fr-FR"/>
        </w:rPr>
        <w:t xml:space="preserve"> I</w:t>
      </w:r>
      <w:r w:rsidR="00372A21" w:rsidRPr="003847B3">
        <w:rPr>
          <w:lang w:val="fr-FR"/>
        </w:rPr>
        <w:t>).</w:t>
      </w:r>
    </w:p>
    <w:p w14:paraId="136D281D" w14:textId="77777777" w:rsidR="00B70B24" w:rsidRDefault="00B70B24" w:rsidP="00B70B24">
      <w:pPr>
        <w:pStyle w:val="H23G"/>
        <w:rPr>
          <w:lang w:val="fr-FR"/>
        </w:rPr>
      </w:pPr>
      <w:r>
        <w:rPr>
          <w:lang w:val="fr-FR"/>
        </w:rPr>
        <w:tab/>
        <w:t>9.</w:t>
      </w:r>
      <w:r>
        <w:rPr>
          <w:lang w:val="fr-FR"/>
        </w:rPr>
        <w:tab/>
      </w:r>
      <w:r w:rsidRPr="00040D43">
        <w:rPr>
          <w:lang w:val="fr-FR"/>
        </w:rPr>
        <w:t>Marquage des unités de transport et des conteneurs chargés avec des quantités limitées</w:t>
      </w:r>
    </w:p>
    <w:p w14:paraId="5DA89223" w14:textId="77777777" w:rsidR="00B70B24" w:rsidRPr="00A91A7C" w:rsidRDefault="00B70B24" w:rsidP="009073B5">
      <w:pPr>
        <w:pStyle w:val="SingleTxtG"/>
        <w:keepNext/>
        <w:keepLines/>
        <w:tabs>
          <w:tab w:val="left" w:pos="3402"/>
        </w:tabs>
        <w:spacing w:after="0"/>
        <w:ind w:left="2268" w:hanging="1134"/>
        <w:jc w:val="left"/>
        <w:rPr>
          <w:lang w:val="fr-FR"/>
        </w:rPr>
      </w:pPr>
      <w:r w:rsidRPr="00A91A7C">
        <w:rPr>
          <w:i/>
          <w:lang w:val="fr-FR"/>
        </w:rPr>
        <w:t>Document </w:t>
      </w:r>
      <w:r w:rsidRPr="00A91A7C">
        <w:rPr>
          <w:lang w:val="fr-FR"/>
        </w:rPr>
        <w:t>:</w:t>
      </w:r>
      <w:r w:rsidRPr="00A91A7C">
        <w:rPr>
          <w:lang w:val="fr-FR"/>
        </w:rPr>
        <w:tab/>
      </w:r>
      <w:r w:rsidRPr="00A91A7C">
        <w:rPr>
          <w:lang w:val="fr-FR"/>
        </w:rPr>
        <w:tab/>
      </w:r>
      <w:r w:rsidRPr="00973A15">
        <w:rPr>
          <w:lang w:val="fr-FR"/>
        </w:rPr>
        <w:t>ECE/TRANS/WP.15/2020/</w:t>
      </w:r>
      <w:r>
        <w:rPr>
          <w:lang w:val="fr-FR"/>
        </w:rPr>
        <w:t>8</w:t>
      </w:r>
      <w:r w:rsidRPr="00973A15">
        <w:rPr>
          <w:lang w:val="fr-FR"/>
        </w:rPr>
        <w:t xml:space="preserve"> (</w:t>
      </w:r>
      <w:r>
        <w:rPr>
          <w:lang w:val="fr-FR"/>
        </w:rPr>
        <w:t>Suisse</w:t>
      </w:r>
      <w:r w:rsidRPr="00973A15">
        <w:rPr>
          <w:lang w:val="fr-FR"/>
        </w:rPr>
        <w:t>)</w:t>
      </w:r>
    </w:p>
    <w:p w14:paraId="26FB2BFF" w14:textId="77777777" w:rsidR="00B70B24" w:rsidRPr="00A91A7C" w:rsidRDefault="00B70B24" w:rsidP="00B70B24">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lang w:val="fr-FR"/>
        </w:rPr>
        <w:tab/>
        <w:t>INF.</w:t>
      </w:r>
      <w:r>
        <w:rPr>
          <w:lang w:val="fr-FR"/>
        </w:rPr>
        <w:t>24</w:t>
      </w:r>
      <w:r w:rsidRPr="00A91A7C">
        <w:rPr>
          <w:lang w:val="fr-FR"/>
        </w:rPr>
        <w:t xml:space="preserve"> (</w:t>
      </w:r>
      <w:r>
        <w:rPr>
          <w:lang w:val="fr-FR"/>
        </w:rPr>
        <w:t>Secrétariat</w:t>
      </w:r>
      <w:r w:rsidRPr="00A91A7C">
        <w:rPr>
          <w:lang w:val="fr-FR"/>
        </w:rPr>
        <w:t>)</w:t>
      </w:r>
    </w:p>
    <w:p w14:paraId="0CD3A2F7" w14:textId="77777777" w:rsidR="00B70B24" w:rsidRDefault="00B70B24" w:rsidP="00B70B24">
      <w:pPr>
        <w:pStyle w:val="SingleTxtG"/>
        <w:rPr>
          <w:lang w:val="fr-FR"/>
        </w:rPr>
      </w:pPr>
      <w:bookmarkStart w:id="3" w:name="_Hlk56077468"/>
      <w:r>
        <w:t>40.</w:t>
      </w:r>
      <w:r>
        <w:tab/>
        <w:t xml:space="preserve">La proposition de la Suisse visait à résoudre les problèmes de mise en œuvre des </w:t>
      </w:r>
      <w:r w:rsidRPr="00A91A7C">
        <w:rPr>
          <w:lang w:val="fr-FR"/>
        </w:rPr>
        <w:t>restrictions de circulation dans les tunnels</w:t>
      </w:r>
      <w:r>
        <w:rPr>
          <w:lang w:val="fr-FR"/>
        </w:rPr>
        <w:t xml:space="preserve"> pour les </w:t>
      </w:r>
      <w:r w:rsidRPr="00A91A7C">
        <w:rPr>
          <w:lang w:val="fr-FR"/>
        </w:rPr>
        <w:t>conteneurs chargés de marchandises dangereuses en quantités limitées</w:t>
      </w:r>
      <w:r>
        <w:rPr>
          <w:lang w:val="fr-FR"/>
        </w:rPr>
        <w:t xml:space="preserve">. </w:t>
      </w:r>
    </w:p>
    <w:p w14:paraId="2E1FA297" w14:textId="77777777" w:rsidR="00B70B24" w:rsidRDefault="00B70B24" w:rsidP="00B70B24">
      <w:pPr>
        <w:pStyle w:val="SingleTxtG"/>
        <w:rPr>
          <w:lang w:val="fr-FR"/>
        </w:rPr>
      </w:pPr>
      <w:r>
        <w:rPr>
          <w:lang w:val="fr-FR"/>
        </w:rPr>
        <w:t>41.</w:t>
      </w:r>
      <w:r>
        <w:rPr>
          <w:lang w:val="fr-FR"/>
        </w:rPr>
        <w:tab/>
        <w:t xml:space="preserve">Plusieurs délégations pensaient que la solution proposée par la Suisse ne résolvait pas le problème. Après discussion, une solution alternative a été proposée dans le document informel INF.24. </w:t>
      </w:r>
    </w:p>
    <w:p w14:paraId="0EAD51ED" w14:textId="77777777" w:rsidR="00B70B24" w:rsidRDefault="00B70B24" w:rsidP="00B70B24">
      <w:pPr>
        <w:pStyle w:val="SingleTxtG"/>
        <w:rPr>
          <w:lang w:val="fr-FR"/>
        </w:rPr>
      </w:pPr>
      <w:r>
        <w:rPr>
          <w:lang w:val="fr-FR"/>
        </w:rPr>
        <w:t>42.</w:t>
      </w:r>
      <w:r>
        <w:rPr>
          <w:lang w:val="fr-FR"/>
        </w:rPr>
        <w:tab/>
        <w:t xml:space="preserve">En l’absence de </w:t>
      </w:r>
      <w:r w:rsidRPr="00A91A7C">
        <w:rPr>
          <w:lang w:val="fr-FR"/>
        </w:rPr>
        <w:t xml:space="preserve">consensus sur les différentes </w:t>
      </w:r>
      <w:r>
        <w:rPr>
          <w:lang w:val="fr-FR"/>
        </w:rPr>
        <w:t xml:space="preserve">propositions, le Groupe de travail a invité le représentant de la Suisse à préparer </w:t>
      </w:r>
      <w:r w:rsidRPr="00A91A7C">
        <w:rPr>
          <w:lang w:val="fr-FR"/>
        </w:rPr>
        <w:t>une proposition révisée pour la prochaine session.</w:t>
      </w:r>
      <w:r>
        <w:rPr>
          <w:lang w:val="fr-FR"/>
        </w:rPr>
        <w:t xml:space="preserve"> Notant que ce sujet était déjà discuté depuis plusieurs sessions, le Groupe de travail a invité les délégations qui se sont prononcées à transmettre leurs commentaires au représentant de la Suisse et à réfléchir aux différentes options qui permettraient de clarifier ce point afin d’aboutir à une conclusion à la prochaine session.</w:t>
      </w:r>
      <w:bookmarkEnd w:id="3"/>
    </w:p>
    <w:p w14:paraId="2A2CA71F" w14:textId="77777777" w:rsidR="00B70B24" w:rsidRDefault="00B70B24" w:rsidP="00B70B24">
      <w:pPr>
        <w:pStyle w:val="H23G"/>
        <w:rPr>
          <w:lang w:val="fr-FR"/>
        </w:rPr>
      </w:pPr>
      <w:r>
        <w:rPr>
          <w:lang w:val="fr-FR"/>
        </w:rPr>
        <w:lastRenderedPageBreak/>
        <w:tab/>
        <w:t>10.</w:t>
      </w:r>
      <w:r>
        <w:rPr>
          <w:lang w:val="fr-FR"/>
        </w:rPr>
        <w:tab/>
        <w:t>Changement du titre de l’ADR</w:t>
      </w:r>
    </w:p>
    <w:p w14:paraId="0E1428AE" w14:textId="77777777" w:rsidR="00B70B24" w:rsidRDefault="00B70B24" w:rsidP="00B70B24">
      <w:pPr>
        <w:pStyle w:val="SingleTxtG"/>
        <w:keepNext/>
        <w:keepLines/>
        <w:tabs>
          <w:tab w:val="left" w:pos="3000"/>
        </w:tabs>
        <w:ind w:left="2268" w:hanging="1134"/>
        <w:jc w:val="left"/>
        <w:rPr>
          <w:lang w:val="fr-FR"/>
        </w:rPr>
      </w:pPr>
      <w:r w:rsidRPr="00A91A7C">
        <w:rPr>
          <w:i/>
          <w:lang w:val="fr-FR"/>
        </w:rPr>
        <w:t>Document informel </w:t>
      </w:r>
      <w:r w:rsidRPr="00A91A7C">
        <w:rPr>
          <w:lang w:val="fr-FR"/>
        </w:rPr>
        <w:t>:</w:t>
      </w:r>
      <w:r w:rsidRPr="00A91A7C">
        <w:rPr>
          <w:lang w:val="fr-FR"/>
        </w:rPr>
        <w:tab/>
      </w:r>
      <w:r w:rsidRPr="00A91A7C">
        <w:rPr>
          <w:lang w:val="fr-FR"/>
        </w:rPr>
        <w:tab/>
        <w:t>INF.</w:t>
      </w:r>
      <w:r>
        <w:rPr>
          <w:lang w:val="fr-FR"/>
        </w:rPr>
        <w:t>3</w:t>
      </w:r>
      <w:r w:rsidRPr="00A91A7C">
        <w:rPr>
          <w:lang w:val="fr-FR"/>
        </w:rPr>
        <w:t xml:space="preserve"> (</w:t>
      </w:r>
      <w:r>
        <w:rPr>
          <w:lang w:val="fr-FR"/>
        </w:rPr>
        <w:t>Secrétariat</w:t>
      </w:r>
      <w:r w:rsidRPr="00A91A7C">
        <w:rPr>
          <w:lang w:val="fr-FR"/>
        </w:rPr>
        <w:t>)</w:t>
      </w:r>
    </w:p>
    <w:p w14:paraId="36695B93" w14:textId="77777777" w:rsidR="00B70B24" w:rsidRPr="00714AA8" w:rsidRDefault="00B70B24" w:rsidP="00B70B24">
      <w:pPr>
        <w:pStyle w:val="SingleTxtG"/>
        <w:keepNext/>
        <w:keepLines/>
        <w:rPr>
          <w:lang w:val="fr-FR"/>
        </w:rPr>
      </w:pPr>
      <w:r w:rsidRPr="00714AA8">
        <w:rPr>
          <w:lang w:val="fr-FR"/>
        </w:rPr>
        <w:t>4</w:t>
      </w:r>
      <w:r>
        <w:rPr>
          <w:lang w:val="fr-FR"/>
        </w:rPr>
        <w:t>3</w:t>
      </w:r>
      <w:r w:rsidRPr="00714AA8">
        <w:rPr>
          <w:lang w:val="fr-FR"/>
        </w:rPr>
        <w:t>.</w:t>
      </w:r>
      <w:r>
        <w:rPr>
          <w:lang w:val="fr-FR"/>
        </w:rPr>
        <w:tab/>
        <w:t>Le Groupe de travail a noté que le document informel INF.3 avait été retiré car les amendements de conséquence proposés avaient déjà été pris en compte dans les amendements entrant en vigueur au 1</w:t>
      </w:r>
      <w:r w:rsidRPr="00714AA8">
        <w:rPr>
          <w:vertAlign w:val="superscript"/>
          <w:lang w:val="fr-FR"/>
        </w:rPr>
        <w:t>er</w:t>
      </w:r>
      <w:r>
        <w:rPr>
          <w:lang w:val="fr-FR"/>
        </w:rPr>
        <w:t xml:space="preserve"> janvier 2021.</w:t>
      </w:r>
    </w:p>
    <w:p w14:paraId="4AD5C5B3" w14:textId="77777777" w:rsidR="0048007F" w:rsidRPr="00240C2B" w:rsidRDefault="0048007F" w:rsidP="0048007F">
      <w:pPr>
        <w:keepNext/>
        <w:keepLines/>
        <w:tabs>
          <w:tab w:val="right" w:pos="851"/>
        </w:tabs>
        <w:spacing w:before="360" w:after="240" w:line="300" w:lineRule="exact"/>
        <w:ind w:left="1134" w:right="1134" w:hanging="1134"/>
        <w:rPr>
          <w:b/>
          <w:sz w:val="28"/>
          <w:lang w:val="fr-FR"/>
        </w:rPr>
      </w:pPr>
      <w:r w:rsidRPr="00240C2B">
        <w:rPr>
          <w:b/>
          <w:sz w:val="28"/>
          <w:lang w:val="fr-FR"/>
        </w:rPr>
        <w:tab/>
        <w:t>VII.</w:t>
      </w:r>
      <w:r w:rsidRPr="00240C2B">
        <w:rPr>
          <w:b/>
          <w:sz w:val="28"/>
          <w:lang w:val="fr-FR"/>
        </w:rPr>
        <w:tab/>
        <w:t xml:space="preserve">Interprétation de l’ADR (point 6 de l’ordre du jour) </w:t>
      </w:r>
    </w:p>
    <w:p w14:paraId="060E4583" w14:textId="77777777" w:rsidR="0048007F" w:rsidRPr="00240C2B" w:rsidRDefault="0048007F" w:rsidP="0048007F">
      <w:pPr>
        <w:keepNext/>
        <w:keepLines/>
        <w:tabs>
          <w:tab w:val="right" w:pos="851"/>
        </w:tabs>
        <w:spacing w:before="240" w:after="120" w:line="240" w:lineRule="exact"/>
        <w:ind w:left="1134" w:right="1134" w:hanging="1134"/>
        <w:rPr>
          <w:b/>
          <w:lang w:val="fr-FR"/>
        </w:rPr>
      </w:pPr>
      <w:r w:rsidRPr="00240C2B">
        <w:rPr>
          <w:b/>
          <w:lang w:val="fr-FR"/>
        </w:rPr>
        <w:tab/>
        <w:t>1.</w:t>
      </w:r>
      <w:r w:rsidRPr="00240C2B">
        <w:rPr>
          <w:b/>
          <w:lang w:val="fr-FR"/>
        </w:rPr>
        <w:tab/>
        <w:t>Prescriptions relatives à la construction ou aux épreuves auxquelles est soumis le compartiment de protection ou le système de contenant conformément à la note a du tableau du paragraphe 7.5.2.2</w:t>
      </w:r>
    </w:p>
    <w:p w14:paraId="6C8D7220" w14:textId="77777777" w:rsidR="0048007F" w:rsidRPr="00240C2B" w:rsidRDefault="0048007F" w:rsidP="009073B5">
      <w:pPr>
        <w:tabs>
          <w:tab w:val="left" w:pos="3402"/>
        </w:tabs>
        <w:spacing w:after="120"/>
        <w:ind w:left="2268" w:right="1134" w:hanging="1134"/>
        <w:rPr>
          <w:lang w:val="fr-FR"/>
        </w:rPr>
      </w:pPr>
      <w:r w:rsidRPr="00240C2B">
        <w:rPr>
          <w:i/>
          <w:lang w:val="fr-FR"/>
        </w:rPr>
        <w:t>Document </w:t>
      </w:r>
      <w:r w:rsidRPr="00240C2B">
        <w:rPr>
          <w:lang w:val="fr-FR"/>
        </w:rPr>
        <w:t>:</w:t>
      </w:r>
      <w:r w:rsidRPr="00240C2B">
        <w:rPr>
          <w:lang w:val="fr-FR"/>
        </w:rPr>
        <w:tab/>
      </w:r>
      <w:r w:rsidRPr="00240C2B">
        <w:rPr>
          <w:lang w:val="fr-FR"/>
        </w:rPr>
        <w:tab/>
        <w:t>ECE/TRANS/WP.15/2020/2 (Turquie)</w:t>
      </w:r>
    </w:p>
    <w:p w14:paraId="09603708" w14:textId="0C3F58BA" w:rsidR="0048007F" w:rsidRPr="00240C2B" w:rsidRDefault="0048007F" w:rsidP="0048007F">
      <w:pPr>
        <w:spacing w:after="120"/>
        <w:ind w:left="1134" w:right="1134"/>
        <w:jc w:val="both"/>
        <w:rPr>
          <w:lang w:val="fr-FR"/>
        </w:rPr>
      </w:pPr>
      <w:r>
        <w:rPr>
          <w:lang w:val="fr-FR"/>
        </w:rPr>
        <w:t>44</w:t>
      </w:r>
      <w:r w:rsidRPr="00240C2B">
        <w:rPr>
          <w:lang w:val="fr-FR"/>
        </w:rPr>
        <w:t>.</w:t>
      </w:r>
      <w:r w:rsidRPr="00240C2B">
        <w:rPr>
          <w:lang w:val="fr-FR"/>
        </w:rPr>
        <w:tab/>
        <w:t xml:space="preserve">Plusieurs délégations étaient favorables au lancement de travaux afin d’introduire dans l’ADR des prescriptions pour la construction des compartiments de séparation prévus selon la note a du tableau du </w:t>
      </w:r>
      <w:r w:rsidR="00C82BE4">
        <w:rPr>
          <w:lang w:val="fr-FR"/>
        </w:rPr>
        <w:t>7.5.2.2</w:t>
      </w:r>
      <w:r w:rsidRPr="00240C2B">
        <w:rPr>
          <w:lang w:val="fr-FR"/>
        </w:rPr>
        <w:t xml:space="preserve"> et les épreuves auxquelles ils sont soumis.</w:t>
      </w:r>
    </w:p>
    <w:p w14:paraId="4B2BD5B1" w14:textId="77777777" w:rsidR="0048007F" w:rsidRPr="00240C2B" w:rsidRDefault="0048007F" w:rsidP="0048007F">
      <w:pPr>
        <w:spacing w:after="120"/>
        <w:ind w:left="1134" w:right="1134"/>
        <w:jc w:val="both"/>
        <w:rPr>
          <w:lang w:val="fr-FR"/>
        </w:rPr>
      </w:pPr>
      <w:r w:rsidRPr="00240C2B">
        <w:rPr>
          <w:lang w:val="fr-FR"/>
        </w:rPr>
        <w:t>4</w:t>
      </w:r>
      <w:r>
        <w:rPr>
          <w:lang w:val="fr-FR"/>
        </w:rPr>
        <w:t>5</w:t>
      </w:r>
      <w:r w:rsidRPr="00240C2B">
        <w:rPr>
          <w:lang w:val="fr-FR"/>
        </w:rPr>
        <w:t>.</w:t>
      </w:r>
      <w:r w:rsidRPr="00240C2B">
        <w:rPr>
          <w:lang w:val="fr-FR"/>
        </w:rPr>
        <w:tab/>
        <w:t>D’autres délégations pensaient qu’il serait difficile de définir des prescriptions harmonisées au vu des différentes configurations et utilisations possibles. Il était préférable de continuer des études et épreuves au cas-par-cas pour l’approbation de ces compartiments.</w:t>
      </w:r>
    </w:p>
    <w:p w14:paraId="6BB1D272" w14:textId="77777777" w:rsidR="0048007F" w:rsidRPr="00240C2B" w:rsidRDefault="0048007F" w:rsidP="0048007F">
      <w:pPr>
        <w:spacing w:after="120"/>
        <w:ind w:left="1134" w:right="1134"/>
        <w:jc w:val="both"/>
        <w:rPr>
          <w:lang w:val="fr-FR"/>
        </w:rPr>
      </w:pPr>
      <w:r w:rsidRPr="00240C2B">
        <w:rPr>
          <w:lang w:val="fr-FR"/>
        </w:rPr>
        <w:t>4</w:t>
      </w:r>
      <w:r>
        <w:rPr>
          <w:lang w:val="fr-FR"/>
        </w:rPr>
        <w:t>6</w:t>
      </w:r>
      <w:r w:rsidRPr="00240C2B">
        <w:rPr>
          <w:lang w:val="fr-FR"/>
        </w:rPr>
        <w:t>.</w:t>
      </w:r>
      <w:r w:rsidRPr="00240C2B">
        <w:rPr>
          <w:lang w:val="fr-FR"/>
        </w:rPr>
        <w:tab/>
        <w:t>La représentante de la Turquie a remercié les délégations qui avait présenté les prescriptions relatives à la construction et aux épreuves en vigueur dans leur pays et les a invité</w:t>
      </w:r>
      <w:r>
        <w:rPr>
          <w:lang w:val="fr-FR"/>
        </w:rPr>
        <w:t>s</w:t>
      </w:r>
      <w:r w:rsidRPr="00240C2B">
        <w:rPr>
          <w:lang w:val="fr-FR"/>
        </w:rPr>
        <w:t xml:space="preserve"> à lui transmettre ces information</w:t>
      </w:r>
      <w:r>
        <w:rPr>
          <w:lang w:val="fr-FR"/>
        </w:rPr>
        <w:t>s</w:t>
      </w:r>
      <w:r w:rsidRPr="00240C2B">
        <w:rPr>
          <w:lang w:val="fr-FR"/>
        </w:rPr>
        <w:t xml:space="preserve"> par écrit.</w:t>
      </w:r>
    </w:p>
    <w:p w14:paraId="1FE355E1" w14:textId="77777777" w:rsidR="0048007F" w:rsidRPr="00240C2B" w:rsidRDefault="0048007F" w:rsidP="0048007F">
      <w:pPr>
        <w:spacing w:after="120"/>
        <w:ind w:left="1134" w:right="1134"/>
        <w:jc w:val="both"/>
        <w:rPr>
          <w:lang w:val="fr-FR"/>
        </w:rPr>
      </w:pPr>
      <w:r w:rsidRPr="00240C2B">
        <w:rPr>
          <w:lang w:val="fr-FR"/>
        </w:rPr>
        <w:t>4</w:t>
      </w:r>
      <w:r>
        <w:rPr>
          <w:lang w:val="fr-FR"/>
        </w:rPr>
        <w:t>7</w:t>
      </w:r>
      <w:r w:rsidRPr="00240C2B">
        <w:rPr>
          <w:lang w:val="fr-FR"/>
        </w:rPr>
        <w:t>.</w:t>
      </w:r>
      <w:r w:rsidRPr="00240C2B">
        <w:rPr>
          <w:lang w:val="fr-FR"/>
        </w:rPr>
        <w:tab/>
        <w:t>Il a été rappelé que le groupe de travail informel pour la clarification du 9.3.4.2 (construction des caisses des véhicules EX/III) ne poursuivait pas ses travaux et donc qu’il ne pourrait pas accueillir une discussion sur ce sujet.</w:t>
      </w:r>
    </w:p>
    <w:p w14:paraId="6F6252F4" w14:textId="1DBAB400" w:rsidR="0048007F" w:rsidRPr="00240C2B" w:rsidRDefault="0048007F" w:rsidP="0048007F">
      <w:pPr>
        <w:spacing w:after="120"/>
        <w:ind w:left="1134" w:right="1134"/>
        <w:jc w:val="both"/>
        <w:rPr>
          <w:lang w:val="fr-FR"/>
        </w:rPr>
      </w:pPr>
      <w:r w:rsidRPr="00240C2B">
        <w:rPr>
          <w:lang w:val="fr-FR"/>
        </w:rPr>
        <w:t>4</w:t>
      </w:r>
      <w:r>
        <w:rPr>
          <w:lang w:val="fr-FR"/>
        </w:rPr>
        <w:t>8</w:t>
      </w:r>
      <w:r w:rsidRPr="00240C2B">
        <w:rPr>
          <w:lang w:val="fr-FR"/>
        </w:rPr>
        <w:t>.</w:t>
      </w:r>
      <w:r w:rsidRPr="00240C2B">
        <w:rPr>
          <w:lang w:val="fr-FR"/>
        </w:rPr>
        <w:tab/>
        <w:t>Le Groupe de travail a noté que l’Irlande se basait sur les spécifications contenues dans la publication de Institute of Makers of Explosives (IME), « </w:t>
      </w:r>
      <w:r w:rsidR="00E74840" w:rsidRPr="00E74840">
        <w:rPr>
          <w:lang w:val="fr-FR"/>
        </w:rPr>
        <w:t>Safety Library Publication</w:t>
      </w:r>
      <w:r w:rsidR="00B24891">
        <w:rPr>
          <w:lang w:val="fr-FR"/>
        </w:rPr>
        <w:t xml:space="preserve"> 22 –</w:t>
      </w:r>
      <w:r w:rsidR="00E74840" w:rsidRPr="00E74840">
        <w:rPr>
          <w:lang w:val="fr-FR"/>
        </w:rPr>
        <w:t xml:space="preserve"> </w:t>
      </w:r>
      <w:r w:rsidRPr="00240C2B">
        <w:rPr>
          <w:lang w:val="fr-FR"/>
        </w:rPr>
        <w:t>Recommendations for the Safe Transportation of Detonators in a Vehicle with Certain Other Explosive Materials » et que cette publication pourrait servir de base à des travaux futurs.</w:t>
      </w:r>
    </w:p>
    <w:p w14:paraId="2A156004" w14:textId="77777777" w:rsidR="0048007F" w:rsidRPr="00240C2B" w:rsidRDefault="0048007F" w:rsidP="0048007F">
      <w:pPr>
        <w:keepNext/>
        <w:keepLines/>
        <w:tabs>
          <w:tab w:val="right" w:pos="851"/>
        </w:tabs>
        <w:spacing w:before="240" w:after="120" w:line="240" w:lineRule="exact"/>
        <w:ind w:left="1134" w:right="1134" w:hanging="1134"/>
        <w:rPr>
          <w:b/>
          <w:lang w:val="fr-FR"/>
        </w:rPr>
      </w:pPr>
      <w:r w:rsidRPr="00240C2B">
        <w:rPr>
          <w:b/>
          <w:lang w:val="fr-FR"/>
        </w:rPr>
        <w:tab/>
        <w:t>2.</w:t>
      </w:r>
      <w:r w:rsidRPr="00240C2B">
        <w:rPr>
          <w:b/>
          <w:lang w:val="fr-FR"/>
        </w:rPr>
        <w:tab/>
        <w:t>Problème d’interprétation du paragraphe 7.5.2.3</w:t>
      </w:r>
    </w:p>
    <w:p w14:paraId="11113938" w14:textId="77777777" w:rsidR="0048007F" w:rsidRPr="00240C2B" w:rsidRDefault="0048007F" w:rsidP="009073B5">
      <w:pPr>
        <w:tabs>
          <w:tab w:val="left" w:pos="3402"/>
        </w:tabs>
        <w:spacing w:after="120"/>
        <w:ind w:left="2268" w:right="1134" w:hanging="1134"/>
        <w:rPr>
          <w:lang w:val="fr-FR"/>
        </w:rPr>
      </w:pPr>
      <w:r w:rsidRPr="00240C2B">
        <w:rPr>
          <w:i/>
          <w:lang w:val="fr-FR"/>
        </w:rPr>
        <w:t>Document </w:t>
      </w:r>
      <w:r w:rsidRPr="00240C2B">
        <w:rPr>
          <w:lang w:val="fr-FR"/>
        </w:rPr>
        <w:t>:</w:t>
      </w:r>
      <w:r w:rsidRPr="00240C2B">
        <w:rPr>
          <w:lang w:val="fr-FR"/>
        </w:rPr>
        <w:tab/>
      </w:r>
      <w:r w:rsidRPr="00240C2B">
        <w:rPr>
          <w:lang w:val="fr-FR"/>
        </w:rPr>
        <w:tab/>
        <w:t>ECE/TRANS/WP.15/2020/6 (COSTHA)</w:t>
      </w:r>
    </w:p>
    <w:p w14:paraId="5CCCE2EC" w14:textId="77777777" w:rsidR="0048007F" w:rsidRPr="00240C2B" w:rsidRDefault="0048007F" w:rsidP="0048007F">
      <w:pPr>
        <w:spacing w:after="120"/>
        <w:ind w:left="1134" w:right="1134"/>
        <w:jc w:val="both"/>
        <w:rPr>
          <w:lang w:val="fr-FR"/>
        </w:rPr>
      </w:pPr>
      <w:r w:rsidRPr="00240C2B">
        <w:rPr>
          <w:lang w:val="fr-FR"/>
        </w:rPr>
        <w:t>4</w:t>
      </w:r>
      <w:r>
        <w:rPr>
          <w:lang w:val="fr-FR"/>
        </w:rPr>
        <w:t>9</w:t>
      </w:r>
      <w:r w:rsidRPr="00240C2B">
        <w:rPr>
          <w:lang w:val="fr-FR"/>
        </w:rPr>
        <w:t>.</w:t>
      </w:r>
      <w:r w:rsidRPr="00240C2B">
        <w:rPr>
          <w:lang w:val="fr-FR"/>
        </w:rPr>
        <w:tab/>
        <w:t>Les délégations qui se sont prononcées pensaient que le 7.5.2.3, tel que rédigé actuellement, ne présentait pas de problème connu de mise en œuvre.</w:t>
      </w:r>
    </w:p>
    <w:p w14:paraId="3B2A5FCF" w14:textId="753B84F9" w:rsidR="0048007F" w:rsidRDefault="0048007F" w:rsidP="0048007F">
      <w:pPr>
        <w:spacing w:after="120"/>
        <w:ind w:left="1134" w:right="1134"/>
        <w:jc w:val="both"/>
        <w:rPr>
          <w:lang w:val="fr-FR"/>
        </w:rPr>
      </w:pPr>
      <w:r>
        <w:rPr>
          <w:lang w:val="fr-FR"/>
        </w:rPr>
        <w:t>50.</w:t>
      </w:r>
      <w:r w:rsidRPr="00240C2B">
        <w:rPr>
          <w:lang w:val="fr-FR"/>
        </w:rPr>
        <w:tab/>
        <w:t>Le Groupe de travail a invité le représentant de COSTHA a poursuivre ses discussions avec les participants au Groupe des travail des explosifs du Sous-Comité d’experts du transport des marchandises dangereuses. Il conviendra notamment de clarifier dans quelle mesure les interdictions de chargement en commun applicables entre les matières autoréactives ou les peroxydes organiques du type B et les autres marchandises dangereuses restent applicables lorsque ces matières sont renfermées dans des conteneurs séparés.</w:t>
      </w:r>
    </w:p>
    <w:p w14:paraId="63AA6D80" w14:textId="77777777" w:rsidR="0048007F" w:rsidRPr="00240C2B" w:rsidRDefault="0048007F" w:rsidP="0048007F">
      <w:pPr>
        <w:keepNext/>
        <w:keepLines/>
        <w:tabs>
          <w:tab w:val="right" w:pos="851"/>
        </w:tabs>
        <w:spacing w:before="240" w:after="120" w:line="240" w:lineRule="exact"/>
        <w:ind w:left="1134" w:right="1134" w:hanging="1134"/>
        <w:rPr>
          <w:b/>
          <w:lang w:val="fr-FR"/>
        </w:rPr>
      </w:pPr>
      <w:r w:rsidRPr="00240C2B">
        <w:rPr>
          <w:b/>
          <w:lang w:val="fr-FR"/>
        </w:rPr>
        <w:tab/>
      </w:r>
      <w:r>
        <w:rPr>
          <w:b/>
          <w:lang w:val="fr-FR"/>
        </w:rPr>
        <w:t>3</w:t>
      </w:r>
      <w:r w:rsidRPr="00240C2B">
        <w:rPr>
          <w:b/>
          <w:lang w:val="fr-FR"/>
        </w:rPr>
        <w:t>.</w:t>
      </w:r>
      <w:r w:rsidRPr="00240C2B">
        <w:rPr>
          <w:b/>
          <w:lang w:val="fr-FR"/>
        </w:rPr>
        <w:tab/>
      </w:r>
      <w:r w:rsidRPr="00714AA8">
        <w:rPr>
          <w:b/>
          <w:lang w:val="fr-FR"/>
        </w:rPr>
        <w:t>Interprétation du 5.4.1.1.1 f)</w:t>
      </w:r>
    </w:p>
    <w:p w14:paraId="1C37B785" w14:textId="77777777" w:rsidR="0048007F" w:rsidRPr="00240C2B" w:rsidRDefault="0048007F" w:rsidP="009073B5">
      <w:pPr>
        <w:tabs>
          <w:tab w:val="left" w:pos="3402"/>
        </w:tabs>
        <w:spacing w:after="120"/>
        <w:ind w:left="2268" w:right="1134" w:hanging="1134"/>
        <w:rPr>
          <w:lang w:val="fr-FR"/>
        </w:rPr>
      </w:pPr>
      <w:r w:rsidRPr="00240C2B">
        <w:rPr>
          <w:i/>
          <w:lang w:val="fr-FR"/>
        </w:rPr>
        <w:t>Document </w:t>
      </w:r>
      <w:r w:rsidRPr="00240C2B">
        <w:rPr>
          <w:lang w:val="fr-FR"/>
        </w:rPr>
        <w:t>:</w:t>
      </w:r>
      <w:r w:rsidRPr="00240C2B">
        <w:rPr>
          <w:lang w:val="fr-FR"/>
        </w:rPr>
        <w:tab/>
      </w:r>
      <w:r w:rsidRPr="00240C2B">
        <w:rPr>
          <w:lang w:val="fr-FR"/>
        </w:rPr>
        <w:tab/>
        <w:t>ECE/TRANS/WP.15/2020/</w:t>
      </w:r>
      <w:r>
        <w:rPr>
          <w:lang w:val="fr-FR"/>
        </w:rPr>
        <w:t xml:space="preserve">9 </w:t>
      </w:r>
      <w:r w:rsidRPr="00240C2B">
        <w:rPr>
          <w:lang w:val="fr-FR"/>
        </w:rPr>
        <w:t>(</w:t>
      </w:r>
      <w:r>
        <w:rPr>
          <w:lang w:val="fr-FR"/>
        </w:rPr>
        <w:t>Suisse</w:t>
      </w:r>
      <w:r w:rsidRPr="00240C2B">
        <w:rPr>
          <w:lang w:val="fr-FR"/>
        </w:rPr>
        <w:t>)</w:t>
      </w:r>
    </w:p>
    <w:p w14:paraId="20883200" w14:textId="77777777" w:rsidR="0048007F" w:rsidRDefault="0048007F" w:rsidP="0048007F">
      <w:pPr>
        <w:spacing w:after="120"/>
        <w:ind w:left="1134" w:right="1134"/>
        <w:jc w:val="both"/>
        <w:rPr>
          <w:lang w:val="fr-FR"/>
        </w:rPr>
      </w:pPr>
      <w:bookmarkStart w:id="4" w:name="_Hlk56078641"/>
      <w:r>
        <w:rPr>
          <w:lang w:val="fr-FR"/>
        </w:rPr>
        <w:t>51.</w:t>
      </w:r>
      <w:r w:rsidRPr="00240C2B">
        <w:rPr>
          <w:lang w:val="fr-FR"/>
        </w:rPr>
        <w:tab/>
      </w:r>
      <w:r>
        <w:rPr>
          <w:lang w:val="fr-FR"/>
        </w:rPr>
        <w:t xml:space="preserve">Le Groupe de travail a confirmé que les informations sur la </w:t>
      </w:r>
      <w:r w:rsidRPr="0021626A">
        <w:rPr>
          <w:lang w:val="fr-FR"/>
        </w:rPr>
        <w:t xml:space="preserve">quantité totale de chaque marchandise dangereuse </w:t>
      </w:r>
      <w:r>
        <w:rPr>
          <w:lang w:val="fr-FR"/>
        </w:rPr>
        <w:t xml:space="preserve">reprises, conformément au 5.4.1.1.1 f), dans le ou les documents de transport présents à bord doit permettre d’évaluer la quantité présente dans le véhicule à un moment donné, par exemple lors d’un contrôle. </w:t>
      </w:r>
    </w:p>
    <w:p w14:paraId="23F2E4D2" w14:textId="77777777" w:rsidR="0048007F" w:rsidRDefault="0048007F" w:rsidP="0048007F">
      <w:pPr>
        <w:spacing w:after="120"/>
        <w:ind w:left="1134" w:right="1134"/>
        <w:jc w:val="both"/>
        <w:rPr>
          <w:lang w:val="fr-FR"/>
        </w:rPr>
      </w:pPr>
      <w:r>
        <w:rPr>
          <w:lang w:val="fr-FR"/>
        </w:rPr>
        <w:t>52.</w:t>
      </w:r>
      <w:r>
        <w:rPr>
          <w:lang w:val="fr-FR"/>
        </w:rPr>
        <w:tab/>
        <w:t xml:space="preserve">Le Groupe de travail a demandé au secrétariat de faire figurer cette interprétation sur son site internet. </w:t>
      </w:r>
      <w:bookmarkEnd w:id="4"/>
    </w:p>
    <w:p w14:paraId="38411652" w14:textId="07694783" w:rsidR="0048007F" w:rsidRPr="00240C2B" w:rsidRDefault="0048007F" w:rsidP="0048007F">
      <w:pPr>
        <w:keepNext/>
        <w:keepLines/>
        <w:tabs>
          <w:tab w:val="right" w:pos="851"/>
        </w:tabs>
        <w:spacing w:before="240" w:after="120" w:line="240" w:lineRule="exact"/>
        <w:ind w:left="1134" w:right="1134" w:hanging="1134"/>
        <w:rPr>
          <w:b/>
          <w:lang w:val="fr-FR"/>
        </w:rPr>
      </w:pPr>
      <w:r w:rsidRPr="00240C2B">
        <w:rPr>
          <w:b/>
          <w:lang w:val="fr-FR"/>
        </w:rPr>
        <w:lastRenderedPageBreak/>
        <w:tab/>
      </w:r>
      <w:r>
        <w:rPr>
          <w:b/>
          <w:lang w:val="fr-FR"/>
        </w:rPr>
        <w:t>4</w:t>
      </w:r>
      <w:r w:rsidRPr="00240C2B">
        <w:rPr>
          <w:b/>
          <w:lang w:val="fr-FR"/>
        </w:rPr>
        <w:t>.</w:t>
      </w:r>
      <w:r w:rsidRPr="00240C2B">
        <w:rPr>
          <w:b/>
          <w:lang w:val="fr-FR"/>
        </w:rPr>
        <w:tab/>
      </w:r>
      <w:r w:rsidRPr="00156A98">
        <w:rPr>
          <w:b/>
          <w:lang w:val="fr-FR"/>
        </w:rPr>
        <w:t xml:space="preserve">Interprétation des </w:t>
      </w:r>
      <w:r>
        <w:rPr>
          <w:b/>
          <w:lang w:val="fr-FR"/>
        </w:rPr>
        <w:t>prescriptions</w:t>
      </w:r>
      <w:r w:rsidRPr="00156A98">
        <w:rPr>
          <w:b/>
          <w:lang w:val="fr-FR"/>
        </w:rPr>
        <w:t xml:space="preserve"> relatives aux citernes à déchets </w:t>
      </w:r>
      <w:r w:rsidR="004C4CD9">
        <w:rPr>
          <w:b/>
          <w:lang w:val="fr-FR"/>
        </w:rPr>
        <w:t>opérant</w:t>
      </w:r>
      <w:r w:rsidR="004C4CD9" w:rsidRPr="00156A98">
        <w:rPr>
          <w:b/>
          <w:lang w:val="fr-FR"/>
        </w:rPr>
        <w:t xml:space="preserve"> </w:t>
      </w:r>
      <w:r w:rsidRPr="00156A98">
        <w:rPr>
          <w:b/>
          <w:lang w:val="fr-FR"/>
        </w:rPr>
        <w:t>sous vide</w:t>
      </w:r>
    </w:p>
    <w:p w14:paraId="34020CF3" w14:textId="77777777" w:rsidR="0048007F" w:rsidRPr="00240C2B" w:rsidRDefault="0048007F" w:rsidP="0048007F">
      <w:pPr>
        <w:tabs>
          <w:tab w:val="left" w:pos="3000"/>
        </w:tabs>
        <w:spacing w:after="120"/>
        <w:ind w:left="2268" w:right="1134" w:hanging="1134"/>
        <w:rPr>
          <w:lang w:val="fr-FR"/>
        </w:rPr>
      </w:pPr>
      <w:r w:rsidRPr="00240C2B">
        <w:rPr>
          <w:i/>
          <w:lang w:val="fr-FR"/>
        </w:rPr>
        <w:t>Document</w:t>
      </w:r>
      <w:r>
        <w:rPr>
          <w:i/>
          <w:lang w:val="fr-FR"/>
        </w:rPr>
        <w:t xml:space="preserve"> informel</w:t>
      </w:r>
      <w:r w:rsidRPr="00240C2B">
        <w:rPr>
          <w:i/>
          <w:lang w:val="fr-FR"/>
        </w:rPr>
        <w:t> </w:t>
      </w:r>
      <w:r w:rsidRPr="00240C2B">
        <w:rPr>
          <w:lang w:val="fr-FR"/>
        </w:rPr>
        <w:t>:</w:t>
      </w:r>
      <w:r w:rsidRPr="00240C2B">
        <w:rPr>
          <w:lang w:val="fr-FR"/>
        </w:rPr>
        <w:tab/>
      </w:r>
      <w:r w:rsidRPr="00240C2B">
        <w:rPr>
          <w:lang w:val="fr-FR"/>
        </w:rPr>
        <w:tab/>
      </w:r>
      <w:r>
        <w:rPr>
          <w:lang w:val="fr-FR"/>
        </w:rPr>
        <w:t xml:space="preserve">INF.6 </w:t>
      </w:r>
      <w:r w:rsidRPr="00240C2B">
        <w:rPr>
          <w:lang w:val="fr-FR"/>
        </w:rPr>
        <w:t>(</w:t>
      </w:r>
      <w:r>
        <w:rPr>
          <w:lang w:val="fr-FR"/>
        </w:rPr>
        <w:t>Allemagne</w:t>
      </w:r>
      <w:r w:rsidRPr="00240C2B">
        <w:rPr>
          <w:lang w:val="fr-FR"/>
        </w:rPr>
        <w:t>)</w:t>
      </w:r>
    </w:p>
    <w:p w14:paraId="4DB792DB" w14:textId="77777777" w:rsidR="0048007F" w:rsidRDefault="0048007F" w:rsidP="0048007F">
      <w:pPr>
        <w:spacing w:after="120"/>
        <w:ind w:left="1134" w:right="1134"/>
        <w:jc w:val="both"/>
        <w:rPr>
          <w:lang w:val="fr-FR"/>
        </w:rPr>
      </w:pPr>
      <w:r>
        <w:rPr>
          <w:lang w:val="fr-FR"/>
        </w:rPr>
        <w:t>53</w:t>
      </w:r>
      <w:r w:rsidRPr="00240C2B">
        <w:rPr>
          <w:lang w:val="fr-FR"/>
        </w:rPr>
        <w:t xml:space="preserve">. </w:t>
      </w:r>
      <w:r w:rsidRPr="00240C2B">
        <w:rPr>
          <w:lang w:val="fr-FR"/>
        </w:rPr>
        <w:tab/>
      </w:r>
      <w:r>
        <w:rPr>
          <w:lang w:val="fr-FR"/>
        </w:rPr>
        <w:t>Le représentant de l’Allemagne a noté les commentaires reçus en session et a indiqué qu’il présenterait un document officiel à la Réunion commune pour étude par le Groupe de travail sur les citernes.</w:t>
      </w:r>
    </w:p>
    <w:p w14:paraId="3799DA7B" w14:textId="77777777" w:rsidR="006054F2" w:rsidRPr="00240C2B" w:rsidRDefault="006054F2" w:rsidP="006054F2">
      <w:pPr>
        <w:keepNext/>
        <w:keepLines/>
        <w:tabs>
          <w:tab w:val="right" w:pos="851"/>
        </w:tabs>
        <w:spacing w:before="240" w:after="120" w:line="240" w:lineRule="exact"/>
        <w:ind w:left="1134" w:right="1134" w:hanging="1134"/>
        <w:rPr>
          <w:b/>
          <w:lang w:val="fr-FR"/>
        </w:rPr>
      </w:pPr>
      <w:r w:rsidRPr="00240C2B">
        <w:rPr>
          <w:b/>
          <w:lang w:val="fr-FR"/>
        </w:rPr>
        <w:tab/>
      </w:r>
      <w:r>
        <w:rPr>
          <w:b/>
          <w:lang w:val="fr-FR"/>
        </w:rPr>
        <w:t>5</w:t>
      </w:r>
      <w:r w:rsidRPr="00240C2B">
        <w:rPr>
          <w:b/>
          <w:lang w:val="fr-FR"/>
        </w:rPr>
        <w:t>.</w:t>
      </w:r>
      <w:r w:rsidRPr="00240C2B">
        <w:rPr>
          <w:b/>
          <w:lang w:val="fr-FR"/>
        </w:rPr>
        <w:tab/>
      </w:r>
      <w:r>
        <w:rPr>
          <w:b/>
          <w:lang w:val="fr-FR"/>
        </w:rPr>
        <w:t>Catégorie de transport du No ONU 3291</w:t>
      </w:r>
    </w:p>
    <w:p w14:paraId="245F6F83" w14:textId="77777777" w:rsidR="006054F2" w:rsidRPr="00240C2B" w:rsidRDefault="006054F2" w:rsidP="006054F2">
      <w:pPr>
        <w:tabs>
          <w:tab w:val="left" w:pos="3000"/>
        </w:tabs>
        <w:spacing w:after="120"/>
        <w:ind w:left="2268" w:right="1134" w:hanging="1134"/>
        <w:rPr>
          <w:lang w:val="fr-FR"/>
        </w:rPr>
      </w:pPr>
      <w:r w:rsidRPr="00240C2B">
        <w:rPr>
          <w:i/>
          <w:lang w:val="fr-FR"/>
        </w:rPr>
        <w:t>Document</w:t>
      </w:r>
      <w:r>
        <w:rPr>
          <w:i/>
          <w:lang w:val="fr-FR"/>
        </w:rPr>
        <w:t xml:space="preserve"> informel</w:t>
      </w:r>
      <w:r w:rsidRPr="00240C2B">
        <w:rPr>
          <w:i/>
          <w:lang w:val="fr-FR"/>
        </w:rPr>
        <w:t> </w:t>
      </w:r>
      <w:r w:rsidRPr="00240C2B">
        <w:rPr>
          <w:lang w:val="fr-FR"/>
        </w:rPr>
        <w:t>:</w:t>
      </w:r>
      <w:r w:rsidRPr="00240C2B">
        <w:rPr>
          <w:lang w:val="fr-FR"/>
        </w:rPr>
        <w:tab/>
      </w:r>
      <w:r w:rsidRPr="00240C2B">
        <w:rPr>
          <w:lang w:val="fr-FR"/>
        </w:rPr>
        <w:tab/>
      </w:r>
      <w:r>
        <w:rPr>
          <w:lang w:val="fr-FR"/>
        </w:rPr>
        <w:t>INF.10 (Suède)</w:t>
      </w:r>
    </w:p>
    <w:p w14:paraId="7C45AB5C" w14:textId="6CE91439" w:rsidR="006054F2" w:rsidRDefault="006054F2" w:rsidP="006054F2">
      <w:pPr>
        <w:spacing w:after="120"/>
        <w:ind w:left="1134" w:right="1134"/>
        <w:jc w:val="both"/>
        <w:rPr>
          <w:lang w:val="fr-FR"/>
        </w:rPr>
      </w:pPr>
      <w:r>
        <w:rPr>
          <w:lang w:val="fr-FR"/>
        </w:rPr>
        <w:t>54</w:t>
      </w:r>
      <w:r w:rsidRPr="00240C2B">
        <w:rPr>
          <w:lang w:val="fr-FR"/>
        </w:rPr>
        <w:t xml:space="preserve">. </w:t>
      </w:r>
      <w:r w:rsidRPr="00240C2B">
        <w:rPr>
          <w:lang w:val="fr-FR"/>
        </w:rPr>
        <w:tab/>
      </w:r>
      <w:r>
        <w:rPr>
          <w:lang w:val="fr-FR"/>
        </w:rPr>
        <w:t xml:space="preserve">Le Groupe de travail a confirmé que, </w:t>
      </w:r>
      <w:r w:rsidRPr="00E575FD">
        <w:rPr>
          <w:lang w:val="fr-FR"/>
        </w:rPr>
        <w:t xml:space="preserve">étant donné que </w:t>
      </w:r>
      <w:r>
        <w:rPr>
          <w:lang w:val="fr-FR"/>
        </w:rPr>
        <w:t xml:space="preserve">la catégorie </w:t>
      </w:r>
      <w:r w:rsidRPr="00E575FD">
        <w:rPr>
          <w:lang w:val="fr-FR"/>
        </w:rPr>
        <w:t>2 est attribué</w:t>
      </w:r>
      <w:r>
        <w:rPr>
          <w:lang w:val="fr-FR"/>
        </w:rPr>
        <w:t xml:space="preserve">e au No ONU 3291 dans la </w:t>
      </w:r>
      <w:r w:rsidRPr="00E575FD">
        <w:rPr>
          <w:lang w:val="fr-FR"/>
        </w:rPr>
        <w:t xml:space="preserve">colonne (15) </w:t>
      </w:r>
      <w:r>
        <w:rPr>
          <w:lang w:val="fr-FR"/>
        </w:rPr>
        <w:t>du</w:t>
      </w:r>
      <w:r w:rsidRPr="00E575FD">
        <w:rPr>
          <w:lang w:val="fr-FR"/>
        </w:rPr>
        <w:t xml:space="preserve"> tableau A</w:t>
      </w:r>
      <w:r>
        <w:rPr>
          <w:lang w:val="fr-FR"/>
        </w:rPr>
        <w:t xml:space="preserve">, </w:t>
      </w:r>
      <w:r w:rsidRPr="00E575FD">
        <w:rPr>
          <w:lang w:val="fr-FR"/>
        </w:rPr>
        <w:t xml:space="preserve">les déchets </w:t>
      </w:r>
      <w:r>
        <w:rPr>
          <w:lang w:val="fr-FR"/>
        </w:rPr>
        <w:t xml:space="preserve">de ce numéro ONU </w:t>
      </w:r>
      <w:r w:rsidRPr="00E575FD">
        <w:rPr>
          <w:lang w:val="fr-FR"/>
        </w:rPr>
        <w:t xml:space="preserve">appartiennent à la catégorie de transport 2 </w:t>
      </w:r>
      <w:r>
        <w:rPr>
          <w:lang w:val="fr-FR"/>
        </w:rPr>
        <w:t xml:space="preserve">même si </w:t>
      </w:r>
      <w:r w:rsidRPr="00E575FD">
        <w:rPr>
          <w:lang w:val="fr-FR"/>
        </w:rPr>
        <w:t xml:space="preserve">cela </w:t>
      </w:r>
      <w:r>
        <w:rPr>
          <w:lang w:val="fr-FR"/>
        </w:rPr>
        <w:t>n’est</w:t>
      </w:r>
      <w:r w:rsidRPr="00E575FD">
        <w:rPr>
          <w:lang w:val="fr-FR"/>
        </w:rPr>
        <w:t xml:space="preserve"> pas reflété dans le tableau du 1.1.3.6.3</w:t>
      </w:r>
      <w:r>
        <w:rPr>
          <w:lang w:val="fr-FR"/>
        </w:rPr>
        <w:t xml:space="preserve">. Le Groupe de travail a adopté un amendement au 1.1.3.6.3 afin de rectifier cette incohérence (voir annexe </w:t>
      </w:r>
      <w:r w:rsidR="00AD1CA6">
        <w:rPr>
          <w:lang w:val="fr-FR"/>
        </w:rPr>
        <w:t>I).</w:t>
      </w:r>
    </w:p>
    <w:p w14:paraId="73B70B7B" w14:textId="77777777" w:rsidR="00AD1CA6" w:rsidRPr="001B655E" w:rsidRDefault="00AD1CA6" w:rsidP="00AD1CA6">
      <w:pPr>
        <w:keepNext/>
        <w:keepLines/>
        <w:tabs>
          <w:tab w:val="right" w:pos="851"/>
        </w:tabs>
        <w:spacing w:before="240" w:after="120" w:line="240" w:lineRule="exact"/>
        <w:ind w:left="1134" w:right="1134" w:hanging="1134"/>
        <w:rPr>
          <w:b/>
          <w:lang w:val="fr-FR"/>
        </w:rPr>
      </w:pPr>
      <w:r w:rsidRPr="001B655E">
        <w:rPr>
          <w:b/>
          <w:lang w:val="fr-FR"/>
        </w:rPr>
        <w:tab/>
      </w:r>
      <w:r>
        <w:rPr>
          <w:b/>
          <w:lang w:val="fr-FR"/>
        </w:rPr>
        <w:t>6</w:t>
      </w:r>
      <w:r w:rsidRPr="001B655E">
        <w:rPr>
          <w:b/>
          <w:lang w:val="fr-FR"/>
        </w:rPr>
        <w:t>.</w:t>
      </w:r>
      <w:r w:rsidRPr="001B655E">
        <w:rPr>
          <w:b/>
          <w:lang w:val="fr-FR"/>
        </w:rPr>
        <w:tab/>
        <w:t>Interprétation du 8.5 S1 (6) tel que modifié pour entrée en vigueur au 1</w:t>
      </w:r>
      <w:r w:rsidRPr="001B655E">
        <w:rPr>
          <w:b/>
          <w:vertAlign w:val="superscript"/>
          <w:lang w:val="fr-FR"/>
        </w:rPr>
        <w:t>er</w:t>
      </w:r>
      <w:r w:rsidRPr="001B655E">
        <w:rPr>
          <w:b/>
          <w:lang w:val="fr-FR"/>
        </w:rPr>
        <w:t xml:space="preserve"> janvier 2021</w:t>
      </w:r>
    </w:p>
    <w:p w14:paraId="50406D36" w14:textId="77777777" w:rsidR="00AD1CA6" w:rsidRPr="001B655E" w:rsidRDefault="00AD1CA6" w:rsidP="00AD1CA6">
      <w:pPr>
        <w:tabs>
          <w:tab w:val="left" w:pos="3000"/>
        </w:tabs>
        <w:spacing w:after="120"/>
        <w:ind w:left="2268" w:right="1134" w:hanging="1134"/>
        <w:rPr>
          <w:lang w:val="fr-FR"/>
        </w:rPr>
      </w:pPr>
      <w:r w:rsidRPr="001B655E">
        <w:rPr>
          <w:i/>
          <w:lang w:val="fr-FR"/>
        </w:rPr>
        <w:t>Documents informels </w:t>
      </w:r>
      <w:r w:rsidRPr="001B655E">
        <w:rPr>
          <w:lang w:val="fr-FR"/>
        </w:rPr>
        <w:t>:</w:t>
      </w:r>
      <w:r w:rsidRPr="001B655E">
        <w:rPr>
          <w:lang w:val="fr-FR"/>
        </w:rPr>
        <w:tab/>
      </w:r>
      <w:r w:rsidRPr="001B655E">
        <w:rPr>
          <w:lang w:val="fr-FR"/>
        </w:rPr>
        <w:tab/>
        <w:t>INF.9 (Norvège), INF.14 (Suède), INF.</w:t>
      </w:r>
      <w:r>
        <w:rPr>
          <w:lang w:val="fr-FR"/>
        </w:rPr>
        <w:t>27</w:t>
      </w:r>
      <w:r w:rsidRPr="001B655E">
        <w:rPr>
          <w:lang w:val="fr-FR"/>
        </w:rPr>
        <w:t xml:space="preserve"> (Secrétariat)</w:t>
      </w:r>
    </w:p>
    <w:p w14:paraId="52AA9073" w14:textId="5BD5A19A" w:rsidR="00AD1CA6" w:rsidRPr="001B655E" w:rsidRDefault="0004761F" w:rsidP="00AD1CA6">
      <w:pPr>
        <w:spacing w:after="120"/>
        <w:ind w:left="1134" w:right="1134"/>
        <w:jc w:val="both"/>
        <w:rPr>
          <w:lang w:val="fr-FR"/>
        </w:rPr>
      </w:pPr>
      <w:r>
        <w:rPr>
          <w:lang w:val="fr-FR"/>
        </w:rPr>
        <w:t>55</w:t>
      </w:r>
      <w:r w:rsidR="00AD1CA6" w:rsidRPr="001B655E">
        <w:rPr>
          <w:lang w:val="fr-FR"/>
        </w:rPr>
        <w:t xml:space="preserve">. </w:t>
      </w:r>
      <w:r w:rsidR="00AD1CA6" w:rsidRPr="001B655E">
        <w:rPr>
          <w:lang w:val="fr-FR"/>
        </w:rPr>
        <w:tab/>
        <w:t>La représentante de la Suède a confirmé l’interprétation selon laquelle pour les marchandises transportées selon le 1.1.3.6, la surveillance doit être effectuée conformément au chapitre 8.4 mais n'a pas besoin d'être supervisée conformément à la disposition S1 (6) du chapitre 8.5 puisque les dispositions du 1.10.3 ne s’appliquent pas.</w:t>
      </w:r>
    </w:p>
    <w:p w14:paraId="747471D4" w14:textId="2F7DE384" w:rsidR="00AD1CA6" w:rsidRPr="001B655E" w:rsidRDefault="0004761F" w:rsidP="00AD1CA6">
      <w:pPr>
        <w:spacing w:after="120"/>
        <w:ind w:left="1134" w:right="1134"/>
        <w:jc w:val="both"/>
        <w:rPr>
          <w:lang w:val="fr-FR"/>
        </w:rPr>
      </w:pPr>
      <w:r>
        <w:rPr>
          <w:lang w:val="fr-FR"/>
        </w:rPr>
        <w:t>56</w:t>
      </w:r>
      <w:r w:rsidR="00AD1CA6" w:rsidRPr="001B655E">
        <w:rPr>
          <w:lang w:val="fr-FR"/>
        </w:rPr>
        <w:t xml:space="preserve">. </w:t>
      </w:r>
      <w:r w:rsidR="00AD1CA6" w:rsidRPr="001B655E">
        <w:rPr>
          <w:lang w:val="fr-FR"/>
        </w:rPr>
        <w:tab/>
        <w:t xml:space="preserve">Le Groupe de travail a noté qu’il pourrait être nécessaire de revoir la liste des marchandises </w:t>
      </w:r>
      <w:r w:rsidR="00B777B7">
        <w:rPr>
          <w:lang w:val="fr-FR"/>
        </w:rPr>
        <w:t xml:space="preserve">dangereuses </w:t>
      </w:r>
      <w:r w:rsidR="00AD1CA6" w:rsidRPr="001B655E">
        <w:rPr>
          <w:lang w:val="fr-FR"/>
        </w:rPr>
        <w:t>de la classe 1 pour lesquelles les prescriptions des 1.10.1, 1.10.2 et 1.10.3 devraient rester applicables quelles que soient les quantités transportées</w:t>
      </w:r>
      <w:r w:rsidR="00AD1CA6">
        <w:rPr>
          <w:lang w:val="fr-FR"/>
        </w:rPr>
        <w:t xml:space="preserve"> et de s’assurer de la cohérence entre les dispositions du 1.1.3.6, du chapitre 1.10 et des chapitre 8.4 et 8.5.</w:t>
      </w:r>
    </w:p>
    <w:p w14:paraId="323FBAFE" w14:textId="2FF8B00B" w:rsidR="00AD1CA6" w:rsidRPr="001B655E" w:rsidRDefault="0004761F" w:rsidP="00AD1CA6">
      <w:pPr>
        <w:spacing w:after="120"/>
        <w:ind w:left="1134" w:right="1134"/>
        <w:jc w:val="both"/>
        <w:rPr>
          <w:lang w:val="fr-FR"/>
        </w:rPr>
      </w:pPr>
      <w:r>
        <w:rPr>
          <w:lang w:val="fr-FR"/>
        </w:rPr>
        <w:t>57</w:t>
      </w:r>
      <w:r w:rsidR="00AD1CA6" w:rsidRPr="001B655E">
        <w:rPr>
          <w:lang w:val="fr-FR"/>
        </w:rPr>
        <w:t>.</w:t>
      </w:r>
      <w:r w:rsidR="00AD1CA6" w:rsidRPr="001B655E">
        <w:rPr>
          <w:lang w:val="fr-FR"/>
        </w:rPr>
        <w:tab/>
        <w:t xml:space="preserve">Un membre du secrétariat a indiqué que les numéros ONU 0512 et 0513 auraient peut-être dû être inclus au S1 (6) comme c'est déjà le cas pour les autres détonateurs de classification 1.4B et 1.4S. D’autre part, le No ONU 0511 devrait probablement être ajouté à la liste du 1.10.4 afin que les dispositions de sureté s'appliquent indépendamment des quantités transportées comme c’est le cas pour </w:t>
      </w:r>
      <w:r w:rsidR="00AD1CA6">
        <w:rPr>
          <w:lang w:val="fr-FR"/>
        </w:rPr>
        <w:t xml:space="preserve">les </w:t>
      </w:r>
      <w:r w:rsidR="005D210D">
        <w:rPr>
          <w:lang w:val="fr-FR"/>
        </w:rPr>
        <w:t xml:space="preserve">Nos. </w:t>
      </w:r>
      <w:r w:rsidR="00AD1CA6">
        <w:rPr>
          <w:lang w:val="fr-FR"/>
        </w:rPr>
        <w:t xml:space="preserve">ONU </w:t>
      </w:r>
      <w:r w:rsidR="00AD1CA6" w:rsidRPr="001B655E">
        <w:rPr>
          <w:lang w:val="fr-FR"/>
        </w:rPr>
        <w:t>0512 et 0513. Le secrétariat transmettra ces points particuliers à la Réunion commune.</w:t>
      </w:r>
    </w:p>
    <w:p w14:paraId="51F5682E" w14:textId="285DEEDC" w:rsidR="00AD1CA6" w:rsidRPr="001B655E" w:rsidRDefault="00AD1CA6" w:rsidP="00AD1CA6">
      <w:pPr>
        <w:keepNext/>
        <w:keepLines/>
        <w:tabs>
          <w:tab w:val="right" w:pos="851"/>
        </w:tabs>
        <w:spacing w:before="240" w:after="120" w:line="240" w:lineRule="exact"/>
        <w:ind w:left="1134" w:right="1134" w:hanging="1134"/>
        <w:rPr>
          <w:b/>
          <w:lang w:val="fr-FR"/>
        </w:rPr>
      </w:pPr>
      <w:r w:rsidRPr="001B655E">
        <w:rPr>
          <w:b/>
          <w:lang w:val="fr-FR"/>
        </w:rPr>
        <w:tab/>
      </w:r>
      <w:r>
        <w:rPr>
          <w:b/>
          <w:lang w:val="fr-FR"/>
        </w:rPr>
        <w:t>7</w:t>
      </w:r>
      <w:r w:rsidRPr="001B655E">
        <w:rPr>
          <w:b/>
          <w:lang w:val="fr-FR"/>
        </w:rPr>
        <w:t>.</w:t>
      </w:r>
      <w:r w:rsidRPr="001B655E">
        <w:rPr>
          <w:b/>
          <w:lang w:val="fr-FR"/>
        </w:rPr>
        <w:tab/>
        <w:t xml:space="preserve">Application des </w:t>
      </w:r>
      <w:r>
        <w:rPr>
          <w:b/>
          <w:lang w:val="fr-FR"/>
        </w:rPr>
        <w:t>prescriptions</w:t>
      </w:r>
      <w:r w:rsidRPr="001B655E">
        <w:rPr>
          <w:b/>
          <w:lang w:val="fr-FR"/>
        </w:rPr>
        <w:t xml:space="preserve"> relatives à l'équipement électrique des véhicules conformément au 9.2.1.1</w:t>
      </w:r>
    </w:p>
    <w:p w14:paraId="4EAA989B" w14:textId="77777777" w:rsidR="00AD1CA6" w:rsidRDefault="00AD1CA6" w:rsidP="009073B5">
      <w:pPr>
        <w:tabs>
          <w:tab w:val="left" w:pos="3402"/>
        </w:tabs>
        <w:spacing w:after="120"/>
        <w:ind w:left="2268" w:right="1134" w:hanging="1134"/>
        <w:rPr>
          <w:lang w:val="fr-FR"/>
        </w:rPr>
      </w:pPr>
      <w:r w:rsidRPr="001B655E">
        <w:rPr>
          <w:i/>
          <w:lang w:val="fr-FR"/>
        </w:rPr>
        <w:t>Documents informels </w:t>
      </w:r>
      <w:r w:rsidRPr="001B655E">
        <w:rPr>
          <w:lang w:val="fr-FR"/>
        </w:rPr>
        <w:t>:</w:t>
      </w:r>
      <w:r w:rsidRPr="001B655E">
        <w:rPr>
          <w:lang w:val="fr-FR"/>
        </w:rPr>
        <w:tab/>
      </w:r>
      <w:r w:rsidRPr="001B655E">
        <w:rPr>
          <w:lang w:val="fr-FR"/>
        </w:rPr>
        <w:tab/>
        <w:t>INF.</w:t>
      </w:r>
      <w:r>
        <w:rPr>
          <w:lang w:val="fr-FR"/>
        </w:rPr>
        <w:t>13</w:t>
      </w:r>
      <w:r w:rsidRPr="001B655E">
        <w:rPr>
          <w:lang w:val="fr-FR"/>
        </w:rPr>
        <w:t xml:space="preserve"> (</w:t>
      </w:r>
      <w:r>
        <w:rPr>
          <w:lang w:val="fr-FR"/>
        </w:rPr>
        <w:t>Allemagne</w:t>
      </w:r>
      <w:r w:rsidRPr="001B655E">
        <w:rPr>
          <w:lang w:val="fr-FR"/>
        </w:rPr>
        <w:t>), INF.</w:t>
      </w:r>
      <w:r>
        <w:rPr>
          <w:lang w:val="fr-FR"/>
        </w:rPr>
        <w:t>26</w:t>
      </w:r>
      <w:r w:rsidRPr="001B655E">
        <w:rPr>
          <w:lang w:val="fr-FR"/>
        </w:rPr>
        <w:t xml:space="preserve"> (</w:t>
      </w:r>
      <w:r>
        <w:rPr>
          <w:lang w:val="fr-FR"/>
        </w:rPr>
        <w:t>Pays-Bas</w:t>
      </w:r>
      <w:r w:rsidRPr="001B655E">
        <w:rPr>
          <w:lang w:val="fr-FR"/>
        </w:rPr>
        <w:t>)</w:t>
      </w:r>
    </w:p>
    <w:p w14:paraId="0A3A6A42" w14:textId="36A12CA3" w:rsidR="00B70B24" w:rsidRDefault="00215A16" w:rsidP="00AD1CA6">
      <w:pPr>
        <w:pStyle w:val="SingleTxtG"/>
        <w:rPr>
          <w:lang w:val="fr-FR"/>
        </w:rPr>
      </w:pPr>
      <w:r>
        <w:rPr>
          <w:lang w:val="fr-FR"/>
        </w:rPr>
        <w:t>58</w:t>
      </w:r>
      <w:r w:rsidR="00AD1CA6">
        <w:rPr>
          <w:lang w:val="fr-FR"/>
        </w:rPr>
        <w:t>.</w:t>
      </w:r>
      <w:r w:rsidR="00AD1CA6">
        <w:rPr>
          <w:lang w:val="fr-FR"/>
        </w:rPr>
        <w:tab/>
        <w:t>Le Groupe de travail a noté les réponses des Pays-Bas aux questions de l’Allemagne. Ces deux pays prépareront conjointement un document officiel de synthèse sur ce point à la prochaine session.</w:t>
      </w:r>
    </w:p>
    <w:p w14:paraId="706CBB59" w14:textId="77777777" w:rsidR="009917F5" w:rsidRPr="009917F5" w:rsidRDefault="009917F5" w:rsidP="009917F5">
      <w:pPr>
        <w:keepNext/>
        <w:keepLines/>
        <w:tabs>
          <w:tab w:val="right" w:pos="851"/>
        </w:tabs>
        <w:spacing w:before="360" w:after="240" w:line="300" w:lineRule="exact"/>
        <w:ind w:left="1134" w:right="1134" w:hanging="1134"/>
        <w:rPr>
          <w:b/>
          <w:sz w:val="28"/>
          <w:lang w:val="fr-FR"/>
        </w:rPr>
      </w:pPr>
      <w:r w:rsidRPr="009917F5">
        <w:rPr>
          <w:b/>
          <w:sz w:val="28"/>
          <w:lang w:val="fr-FR"/>
        </w:rPr>
        <w:tab/>
        <w:t>VIII.</w:t>
      </w:r>
      <w:r w:rsidRPr="009917F5">
        <w:rPr>
          <w:b/>
          <w:sz w:val="28"/>
          <w:lang w:val="fr-FR"/>
        </w:rPr>
        <w:tab/>
        <w:t xml:space="preserve">Programme de travail (point 7 de l’ordre du jour) </w:t>
      </w:r>
    </w:p>
    <w:p w14:paraId="165C2E16" w14:textId="603A4453" w:rsidR="009917F5" w:rsidRPr="009917F5" w:rsidRDefault="00835130" w:rsidP="009917F5">
      <w:pPr>
        <w:spacing w:after="120"/>
        <w:ind w:left="1134" w:right="1134"/>
        <w:jc w:val="both"/>
        <w:rPr>
          <w:lang w:val="fr-FR"/>
        </w:rPr>
      </w:pPr>
      <w:r>
        <w:rPr>
          <w:lang w:val="fr-FR"/>
        </w:rPr>
        <w:t>59</w:t>
      </w:r>
      <w:r w:rsidR="009917F5" w:rsidRPr="009917F5">
        <w:rPr>
          <w:lang w:val="fr-FR"/>
        </w:rPr>
        <w:t>.</w:t>
      </w:r>
      <w:r w:rsidR="009917F5" w:rsidRPr="009917F5">
        <w:rPr>
          <w:lang w:val="fr-FR"/>
        </w:rPr>
        <w:tab/>
        <w:t xml:space="preserve">Les points à l'ordre du jour de la prochaine session (provisoirement prévue du 3 au 7 mai 2021) seront : </w:t>
      </w:r>
    </w:p>
    <w:p w14:paraId="6960B311" w14:textId="04F9E956" w:rsidR="009917F5" w:rsidRPr="009917F5" w:rsidRDefault="009917F5" w:rsidP="000805DA">
      <w:pPr>
        <w:pStyle w:val="Bullet1G"/>
        <w:rPr>
          <w:lang w:val="fr-FR"/>
        </w:rPr>
      </w:pPr>
      <w:r w:rsidRPr="009917F5">
        <w:rPr>
          <w:lang w:val="fr-FR"/>
        </w:rPr>
        <w:tab/>
        <w:t>Adoption de l’ordre du jour ;</w:t>
      </w:r>
    </w:p>
    <w:p w14:paraId="3DC29268" w14:textId="027933DB" w:rsidR="009917F5" w:rsidRPr="009917F5" w:rsidRDefault="009917F5" w:rsidP="000805DA">
      <w:pPr>
        <w:pStyle w:val="Bullet1G"/>
        <w:rPr>
          <w:lang w:val="fr-FR"/>
        </w:rPr>
      </w:pPr>
      <w:r w:rsidRPr="009917F5">
        <w:rPr>
          <w:lang w:val="fr-FR"/>
        </w:rPr>
        <w:tab/>
        <w:t>Quatre-vingtième-troisième session du Comité des transports intérieurs ;</w:t>
      </w:r>
    </w:p>
    <w:p w14:paraId="6C776397" w14:textId="7EC70117" w:rsidR="009917F5" w:rsidRPr="009917F5" w:rsidRDefault="009917F5" w:rsidP="000805DA">
      <w:pPr>
        <w:pStyle w:val="Bullet1G"/>
        <w:rPr>
          <w:lang w:val="fr-FR"/>
        </w:rPr>
      </w:pPr>
      <w:r w:rsidRPr="009917F5">
        <w:rPr>
          <w:lang w:val="fr-FR"/>
        </w:rPr>
        <w:tab/>
        <w:t>État de l’Accord relatif au transport international des marchandises dangereuses par route (ADR) et questions connexes ;</w:t>
      </w:r>
    </w:p>
    <w:p w14:paraId="3B348075" w14:textId="3381D9D4" w:rsidR="009917F5" w:rsidRPr="009917F5" w:rsidRDefault="009917F5" w:rsidP="000805DA">
      <w:pPr>
        <w:pStyle w:val="Bullet1G"/>
        <w:rPr>
          <w:lang w:val="fr-FR"/>
        </w:rPr>
      </w:pPr>
      <w:r w:rsidRPr="009917F5">
        <w:rPr>
          <w:lang w:val="fr-FR"/>
        </w:rPr>
        <w:tab/>
        <w:t>Travaux de la Réunion commune RID/ADR/ADN ;</w:t>
      </w:r>
    </w:p>
    <w:p w14:paraId="6830D1DB" w14:textId="178E57FC" w:rsidR="009917F5" w:rsidRPr="009917F5" w:rsidRDefault="009917F5" w:rsidP="000805DA">
      <w:pPr>
        <w:pStyle w:val="Bullet1G"/>
        <w:rPr>
          <w:lang w:val="fr-FR"/>
        </w:rPr>
      </w:pPr>
      <w:r w:rsidRPr="009917F5">
        <w:rPr>
          <w:lang w:val="fr-FR"/>
        </w:rPr>
        <w:tab/>
        <w:t>Propositions d'amendement aux annexes A et B de l'ADR ;</w:t>
      </w:r>
    </w:p>
    <w:p w14:paraId="33EFB818" w14:textId="4AD21A57" w:rsidR="009917F5" w:rsidRPr="009917F5" w:rsidRDefault="009917F5" w:rsidP="000805DA">
      <w:pPr>
        <w:pStyle w:val="Bullet1G"/>
        <w:rPr>
          <w:lang w:val="fr-FR"/>
        </w:rPr>
      </w:pPr>
      <w:r w:rsidRPr="009917F5">
        <w:rPr>
          <w:lang w:val="fr-FR"/>
        </w:rPr>
        <w:tab/>
        <w:t>Interprétation de l’ADR ;</w:t>
      </w:r>
    </w:p>
    <w:p w14:paraId="0E763C06" w14:textId="7949537E" w:rsidR="009917F5" w:rsidRPr="009917F5" w:rsidRDefault="009917F5" w:rsidP="000805DA">
      <w:pPr>
        <w:pStyle w:val="Bullet1G"/>
        <w:rPr>
          <w:lang w:val="fr-FR"/>
        </w:rPr>
      </w:pPr>
      <w:r w:rsidRPr="009917F5">
        <w:rPr>
          <w:lang w:val="fr-FR"/>
        </w:rPr>
        <w:lastRenderedPageBreak/>
        <w:tab/>
        <w:t>Programme de travail ;</w:t>
      </w:r>
    </w:p>
    <w:p w14:paraId="68E97AB5" w14:textId="0D150B74" w:rsidR="009917F5" w:rsidRPr="009917F5" w:rsidRDefault="009917F5" w:rsidP="000805DA">
      <w:pPr>
        <w:pStyle w:val="Bullet1G"/>
        <w:rPr>
          <w:lang w:val="fr-FR"/>
        </w:rPr>
      </w:pPr>
      <w:r w:rsidRPr="009917F5">
        <w:rPr>
          <w:lang w:val="fr-FR"/>
        </w:rPr>
        <w:tab/>
        <w:t>Questions diverses ;</w:t>
      </w:r>
    </w:p>
    <w:p w14:paraId="60156B5C" w14:textId="7B650C39" w:rsidR="009917F5" w:rsidRPr="009917F5" w:rsidRDefault="009917F5" w:rsidP="000805DA">
      <w:pPr>
        <w:pStyle w:val="Bullet1G"/>
        <w:rPr>
          <w:lang w:val="fr-FR"/>
        </w:rPr>
      </w:pPr>
      <w:r w:rsidRPr="009917F5">
        <w:rPr>
          <w:lang w:val="fr-FR"/>
        </w:rPr>
        <w:tab/>
        <w:t>Adoption du rapport.</w:t>
      </w:r>
    </w:p>
    <w:p w14:paraId="30C4A10F" w14:textId="40541487" w:rsidR="009917F5" w:rsidRPr="009917F5" w:rsidRDefault="000805DA" w:rsidP="009917F5">
      <w:pPr>
        <w:spacing w:after="120"/>
        <w:ind w:left="1134" w:right="1134"/>
        <w:jc w:val="both"/>
        <w:rPr>
          <w:lang w:val="fr-FR"/>
        </w:rPr>
      </w:pPr>
      <w:r>
        <w:rPr>
          <w:rFonts w:eastAsiaTheme="minorHAnsi"/>
          <w:lang w:eastAsia="en-US"/>
        </w:rPr>
        <w:t>60</w:t>
      </w:r>
      <w:r w:rsidR="009917F5" w:rsidRPr="009917F5">
        <w:rPr>
          <w:rFonts w:eastAsiaTheme="minorHAnsi"/>
          <w:lang w:eastAsia="en-US"/>
        </w:rPr>
        <w:t>.</w:t>
      </w:r>
      <w:r w:rsidR="009917F5" w:rsidRPr="009917F5">
        <w:rPr>
          <w:rFonts w:eastAsiaTheme="minorHAnsi"/>
          <w:lang w:eastAsia="en-US"/>
        </w:rPr>
        <w:tab/>
        <w:t>Le Groupe de travail a confirmé qu’il convenait de prévoir 10 séances (5 jours) pour la 110</w:t>
      </w:r>
      <w:r w:rsidR="009917F5" w:rsidRPr="009917F5">
        <w:rPr>
          <w:rFonts w:eastAsiaTheme="minorHAnsi"/>
          <w:vertAlign w:val="superscript"/>
          <w:lang w:eastAsia="en-US"/>
        </w:rPr>
        <w:t>e</w:t>
      </w:r>
      <w:r w:rsidR="009917F5" w:rsidRPr="009917F5">
        <w:rPr>
          <w:rFonts w:eastAsiaTheme="minorHAnsi"/>
          <w:lang w:eastAsia="en-US"/>
        </w:rPr>
        <w:t xml:space="preserve"> session provisoirement prévue du 8 au 12 novembre 2021.</w:t>
      </w:r>
    </w:p>
    <w:p w14:paraId="026380DD" w14:textId="77777777" w:rsidR="009917F5" w:rsidRPr="009917F5" w:rsidRDefault="009917F5" w:rsidP="009917F5">
      <w:pPr>
        <w:keepNext/>
        <w:keepLines/>
        <w:tabs>
          <w:tab w:val="right" w:pos="851"/>
        </w:tabs>
        <w:spacing w:before="360" w:after="240" w:line="300" w:lineRule="exact"/>
        <w:ind w:left="1134" w:right="1134" w:hanging="1134"/>
        <w:rPr>
          <w:b/>
          <w:sz w:val="28"/>
          <w:lang w:val="fr-FR"/>
        </w:rPr>
      </w:pPr>
      <w:r w:rsidRPr="009917F5">
        <w:rPr>
          <w:b/>
          <w:sz w:val="28"/>
          <w:lang w:val="fr-FR"/>
        </w:rPr>
        <w:tab/>
        <w:t>IX.</w:t>
      </w:r>
      <w:r w:rsidRPr="009917F5">
        <w:rPr>
          <w:b/>
          <w:sz w:val="28"/>
          <w:lang w:val="fr-FR"/>
        </w:rPr>
        <w:tab/>
        <w:t xml:space="preserve">Questions diverses (point 8 de l’ordre du jour) </w:t>
      </w:r>
    </w:p>
    <w:p w14:paraId="3E534B8B" w14:textId="3FFB87A9" w:rsidR="009917F5" w:rsidRPr="009917F5" w:rsidRDefault="009917F5" w:rsidP="009917F5">
      <w:pPr>
        <w:keepNext/>
        <w:keepLines/>
        <w:tabs>
          <w:tab w:val="right" w:pos="851"/>
        </w:tabs>
        <w:spacing w:before="360" w:after="240" w:line="270" w:lineRule="exact"/>
        <w:ind w:left="1134" w:right="1134" w:hanging="1134"/>
        <w:rPr>
          <w:b/>
          <w:sz w:val="24"/>
          <w:lang w:val="fr-FR"/>
        </w:rPr>
      </w:pPr>
      <w:r w:rsidRPr="009917F5">
        <w:rPr>
          <w:b/>
          <w:sz w:val="24"/>
          <w:lang w:val="fr-FR"/>
        </w:rPr>
        <w:tab/>
        <w:t>A.</w:t>
      </w:r>
      <w:r w:rsidRPr="009917F5">
        <w:rPr>
          <w:b/>
          <w:sz w:val="24"/>
          <w:lang w:val="fr-FR"/>
        </w:rPr>
        <w:tab/>
        <w:t xml:space="preserve">Stabilité des </w:t>
      </w:r>
      <w:r w:rsidR="00F60C76" w:rsidRPr="009917F5">
        <w:rPr>
          <w:b/>
          <w:sz w:val="24"/>
          <w:lang w:val="fr-FR"/>
        </w:rPr>
        <w:t>véhicules</w:t>
      </w:r>
      <w:r w:rsidR="00F60C76">
        <w:rPr>
          <w:b/>
          <w:sz w:val="24"/>
          <w:lang w:val="fr-FR"/>
        </w:rPr>
        <w:t>-</w:t>
      </w:r>
      <w:r w:rsidRPr="009917F5">
        <w:rPr>
          <w:b/>
          <w:sz w:val="24"/>
          <w:lang w:val="fr-FR"/>
        </w:rPr>
        <w:t>citernes</w:t>
      </w:r>
    </w:p>
    <w:p w14:paraId="1C85E240" w14:textId="77777777" w:rsidR="009917F5" w:rsidRPr="009917F5" w:rsidRDefault="009917F5" w:rsidP="009073B5">
      <w:pPr>
        <w:tabs>
          <w:tab w:val="left" w:pos="3402"/>
        </w:tabs>
        <w:spacing w:after="120"/>
        <w:ind w:left="2268" w:right="1134" w:hanging="1134"/>
        <w:rPr>
          <w:szCs w:val="24"/>
          <w:lang w:val="fr-FR"/>
        </w:rPr>
      </w:pPr>
      <w:r w:rsidRPr="009917F5">
        <w:rPr>
          <w:i/>
          <w:lang w:val="fr-FR"/>
        </w:rPr>
        <w:t>Documents informels </w:t>
      </w:r>
      <w:r w:rsidRPr="009917F5">
        <w:rPr>
          <w:lang w:val="fr-FR"/>
        </w:rPr>
        <w:t>:</w:t>
      </w:r>
      <w:r w:rsidRPr="009917F5">
        <w:rPr>
          <w:lang w:val="fr-FR"/>
        </w:rPr>
        <w:tab/>
      </w:r>
      <w:r w:rsidRPr="009917F5">
        <w:rPr>
          <w:lang w:val="fr-FR"/>
        </w:rPr>
        <w:tab/>
        <w:t>INF.5 (CEFIC), INF.25 (CEFIC)</w:t>
      </w:r>
    </w:p>
    <w:p w14:paraId="5745780E" w14:textId="4B7F3F52" w:rsidR="009917F5" w:rsidRPr="009917F5" w:rsidRDefault="00641A37" w:rsidP="009917F5">
      <w:pPr>
        <w:spacing w:after="120"/>
        <w:ind w:left="1134" w:right="1134"/>
        <w:jc w:val="both"/>
        <w:rPr>
          <w:lang w:val="fr-FR"/>
        </w:rPr>
      </w:pPr>
      <w:r>
        <w:rPr>
          <w:lang w:val="fr-FR"/>
        </w:rPr>
        <w:t>61</w:t>
      </w:r>
      <w:r w:rsidR="009917F5" w:rsidRPr="009917F5">
        <w:rPr>
          <w:lang w:val="fr-FR"/>
        </w:rPr>
        <w:t>.</w:t>
      </w:r>
      <w:r w:rsidR="009917F5" w:rsidRPr="009917F5">
        <w:rPr>
          <w:lang w:val="fr-FR"/>
        </w:rPr>
        <w:tab/>
        <w:t xml:space="preserve">Plusieurs délégations étaient d’accord sur la nécessité de revoir les dispositions sur la stabilité de l’ADR notamment en comparaison avec les dispositions du Règlement ONU No 111. Le Groupe de travail a décidé de former un groupe de travail informel qui sera </w:t>
      </w:r>
      <w:r w:rsidR="00A16D2D">
        <w:rPr>
          <w:lang w:val="fr-FR"/>
        </w:rPr>
        <w:t>an</w:t>
      </w:r>
      <w:r w:rsidR="00961DDB">
        <w:rPr>
          <w:lang w:val="fr-FR"/>
        </w:rPr>
        <w:t>imé</w:t>
      </w:r>
      <w:r w:rsidR="00A16D2D" w:rsidRPr="009917F5">
        <w:rPr>
          <w:lang w:val="fr-FR"/>
        </w:rPr>
        <w:t xml:space="preserve"> </w:t>
      </w:r>
      <w:r w:rsidR="009917F5" w:rsidRPr="009917F5">
        <w:rPr>
          <w:lang w:val="fr-FR"/>
        </w:rPr>
        <w:t xml:space="preserve">par le CEFIC et dont le mandat sera de : </w:t>
      </w:r>
    </w:p>
    <w:p w14:paraId="1F1BA3E1" w14:textId="77777777" w:rsidR="009917F5" w:rsidRPr="009917F5" w:rsidRDefault="009917F5" w:rsidP="000805DA">
      <w:pPr>
        <w:pStyle w:val="Bullet1G"/>
        <w:rPr>
          <w:lang w:val="fr-FR"/>
        </w:rPr>
      </w:pPr>
      <w:r w:rsidRPr="009917F5">
        <w:rPr>
          <w:lang w:val="fr-FR"/>
        </w:rPr>
        <w:t>Analyser l'exactitude du calcul de la hauteur maximale du centre de gravité des citernes, comme indiqué en 9.7.5.1 ;</w:t>
      </w:r>
    </w:p>
    <w:p w14:paraId="026AACB5" w14:textId="77777777" w:rsidR="009917F5" w:rsidRPr="009917F5" w:rsidRDefault="009917F5" w:rsidP="000805DA">
      <w:pPr>
        <w:pStyle w:val="Bullet1G"/>
        <w:rPr>
          <w:lang w:val="fr-FR"/>
        </w:rPr>
      </w:pPr>
      <w:r w:rsidRPr="009917F5">
        <w:rPr>
          <w:lang w:val="fr-FR"/>
        </w:rPr>
        <w:t>Vérifier si la référence au Règlement ONU No 111 contenue au 9.7.5.2 est suffisante pour fixer les exigences minimales de stabilité des citernes routières ;</w:t>
      </w:r>
    </w:p>
    <w:p w14:paraId="5170578C" w14:textId="77777777" w:rsidR="009917F5" w:rsidRPr="009917F5" w:rsidRDefault="009917F5" w:rsidP="000805DA">
      <w:pPr>
        <w:pStyle w:val="Bullet1G"/>
        <w:rPr>
          <w:lang w:val="fr-FR"/>
        </w:rPr>
      </w:pPr>
      <w:r w:rsidRPr="009917F5">
        <w:rPr>
          <w:lang w:val="fr-FR"/>
        </w:rPr>
        <w:t>Analyser si l'application du Règlement ONU No 111 uniquement aux véhicules-citernes à citernes fixes d'une capacité de plus de 3 m³ destinés au transport de marchandises dangereuses à l'état liquide ou fondu soumis à une pression inférieure à 4 bar, est approprié.</w:t>
      </w:r>
    </w:p>
    <w:p w14:paraId="5DDB6DC0" w14:textId="77777777" w:rsidR="009917F5" w:rsidRPr="009917F5" w:rsidRDefault="009917F5" w:rsidP="009917F5">
      <w:pPr>
        <w:keepNext/>
        <w:keepLines/>
        <w:tabs>
          <w:tab w:val="right" w:pos="851"/>
        </w:tabs>
        <w:spacing w:before="360" w:after="240" w:line="270" w:lineRule="exact"/>
        <w:ind w:left="1134" w:right="1134" w:hanging="1134"/>
        <w:rPr>
          <w:b/>
          <w:sz w:val="24"/>
          <w:lang w:val="fr-FR"/>
        </w:rPr>
      </w:pPr>
      <w:r w:rsidRPr="009917F5">
        <w:rPr>
          <w:b/>
          <w:sz w:val="24"/>
          <w:lang w:val="fr-FR"/>
        </w:rPr>
        <w:tab/>
        <w:t>B.</w:t>
      </w:r>
      <w:r w:rsidRPr="009917F5">
        <w:rPr>
          <w:b/>
          <w:sz w:val="24"/>
          <w:lang w:val="fr-FR"/>
        </w:rPr>
        <w:tab/>
        <w:t>Amendements au tableau B de l’ADR</w:t>
      </w:r>
    </w:p>
    <w:p w14:paraId="460E5211" w14:textId="6BAD0F18" w:rsidR="009917F5" w:rsidRPr="009917F5" w:rsidRDefault="009917F5" w:rsidP="009073B5">
      <w:pPr>
        <w:tabs>
          <w:tab w:val="left" w:pos="3402"/>
        </w:tabs>
        <w:spacing w:after="120"/>
        <w:ind w:left="2268" w:right="1134" w:hanging="1134"/>
        <w:rPr>
          <w:i/>
          <w:lang w:val="fr-FR"/>
        </w:rPr>
      </w:pPr>
      <w:r w:rsidRPr="009917F5">
        <w:rPr>
          <w:i/>
          <w:lang w:val="fr-FR"/>
        </w:rPr>
        <w:t>Document informel </w:t>
      </w:r>
      <w:r w:rsidRPr="009917F5">
        <w:rPr>
          <w:lang w:val="fr-FR"/>
        </w:rPr>
        <w:t>:</w:t>
      </w:r>
      <w:r w:rsidRPr="009917F5">
        <w:rPr>
          <w:lang w:val="fr-FR"/>
        </w:rPr>
        <w:tab/>
      </w:r>
      <w:r w:rsidRPr="009917F5">
        <w:rPr>
          <w:lang w:val="fr-FR"/>
        </w:rPr>
        <w:tab/>
        <w:t>INF.</w:t>
      </w:r>
      <w:r w:rsidR="00961DDB">
        <w:rPr>
          <w:lang w:val="fr-FR"/>
        </w:rPr>
        <w:t>4</w:t>
      </w:r>
      <w:r w:rsidR="00961DDB" w:rsidRPr="009917F5">
        <w:rPr>
          <w:lang w:val="fr-FR"/>
        </w:rPr>
        <w:t xml:space="preserve"> </w:t>
      </w:r>
      <w:r w:rsidRPr="009917F5">
        <w:rPr>
          <w:lang w:val="fr-FR"/>
        </w:rPr>
        <w:t>(Secrétariat)</w:t>
      </w:r>
    </w:p>
    <w:p w14:paraId="2E6F1E8F" w14:textId="6928F18B" w:rsidR="009917F5" w:rsidRPr="009917F5" w:rsidRDefault="008A3480" w:rsidP="009917F5">
      <w:pPr>
        <w:spacing w:after="120"/>
        <w:ind w:left="1134" w:right="1134"/>
        <w:jc w:val="both"/>
        <w:rPr>
          <w:lang w:val="fr-FR"/>
        </w:rPr>
      </w:pPr>
      <w:r>
        <w:rPr>
          <w:lang w:val="fr-FR"/>
        </w:rPr>
        <w:t>62</w:t>
      </w:r>
      <w:r w:rsidR="009917F5" w:rsidRPr="009917F5">
        <w:rPr>
          <w:lang w:val="fr-FR"/>
        </w:rPr>
        <w:t>.</w:t>
      </w:r>
      <w:r w:rsidR="009917F5" w:rsidRPr="009917F5">
        <w:rPr>
          <w:lang w:val="fr-FR"/>
        </w:rPr>
        <w:tab/>
        <w:t>Le Groupe de travail a noté que le document informel INF.4 avait été retiré car les modifications proposées avaient déjà été prises en compte l’édition 2021 de l’ADR.</w:t>
      </w:r>
    </w:p>
    <w:p w14:paraId="77F41941" w14:textId="77777777" w:rsidR="009917F5" w:rsidRPr="009917F5" w:rsidRDefault="009917F5" w:rsidP="009917F5">
      <w:pPr>
        <w:keepNext/>
        <w:keepLines/>
        <w:tabs>
          <w:tab w:val="right" w:pos="851"/>
        </w:tabs>
        <w:spacing w:before="360" w:after="240" w:line="270" w:lineRule="exact"/>
        <w:ind w:left="1134" w:right="1134" w:hanging="1134"/>
        <w:rPr>
          <w:b/>
          <w:sz w:val="24"/>
          <w:lang w:val="fr-FR"/>
        </w:rPr>
      </w:pPr>
      <w:r w:rsidRPr="009917F5">
        <w:rPr>
          <w:b/>
          <w:sz w:val="24"/>
          <w:lang w:val="fr-FR"/>
        </w:rPr>
        <w:tab/>
        <w:t>C.</w:t>
      </w:r>
      <w:r w:rsidRPr="009917F5">
        <w:rPr>
          <w:b/>
          <w:sz w:val="24"/>
          <w:lang w:val="fr-FR"/>
        </w:rPr>
        <w:tab/>
        <w:t>Différences entre l'ADR 2021 et le Règlement de l'AIEA</w:t>
      </w:r>
    </w:p>
    <w:p w14:paraId="6A79D37D" w14:textId="77777777" w:rsidR="009917F5" w:rsidRPr="009917F5" w:rsidRDefault="009917F5" w:rsidP="009917F5">
      <w:pPr>
        <w:tabs>
          <w:tab w:val="left" w:pos="3000"/>
        </w:tabs>
        <w:spacing w:after="120"/>
        <w:ind w:left="2268" w:right="1134" w:hanging="1134"/>
        <w:rPr>
          <w:i/>
          <w:lang w:val="fr-FR"/>
        </w:rPr>
      </w:pPr>
      <w:r w:rsidRPr="009917F5">
        <w:rPr>
          <w:i/>
          <w:lang w:val="fr-FR"/>
        </w:rPr>
        <w:t>Document informel </w:t>
      </w:r>
      <w:r w:rsidRPr="009917F5">
        <w:rPr>
          <w:lang w:val="fr-FR"/>
        </w:rPr>
        <w:t>:</w:t>
      </w:r>
      <w:r w:rsidRPr="009917F5">
        <w:rPr>
          <w:lang w:val="fr-FR"/>
        </w:rPr>
        <w:tab/>
      </w:r>
      <w:r w:rsidRPr="009917F5">
        <w:rPr>
          <w:lang w:val="fr-FR"/>
        </w:rPr>
        <w:tab/>
        <w:t>INF.18 (Espagne)</w:t>
      </w:r>
    </w:p>
    <w:p w14:paraId="5EB34C6F" w14:textId="62C75C01" w:rsidR="009917F5" w:rsidRPr="009917F5" w:rsidRDefault="008A3480" w:rsidP="009917F5">
      <w:pPr>
        <w:spacing w:after="120"/>
        <w:ind w:left="1134" w:right="1134"/>
        <w:jc w:val="both"/>
        <w:rPr>
          <w:lang w:val="fr-FR"/>
        </w:rPr>
      </w:pPr>
      <w:r>
        <w:rPr>
          <w:lang w:val="fr-FR"/>
        </w:rPr>
        <w:t>63</w:t>
      </w:r>
      <w:r w:rsidR="009917F5" w:rsidRPr="009917F5">
        <w:rPr>
          <w:lang w:val="fr-FR"/>
        </w:rPr>
        <w:t>.</w:t>
      </w:r>
      <w:r w:rsidR="009917F5" w:rsidRPr="009917F5">
        <w:rPr>
          <w:lang w:val="fr-FR"/>
        </w:rPr>
        <w:tab/>
        <w:t xml:space="preserve">Le Groupe de travail a noté que, par suite de la suppression de l'essai d'étanchéité pour les matières radioactives de faible activité spécifique LSA-III, des amendements de conséquence avaient été oubliés dans les propositions d’harmonisation entre le Règlement Type et le Règlement de l’AIEA. </w:t>
      </w:r>
    </w:p>
    <w:p w14:paraId="1F8818FD" w14:textId="15216B88" w:rsidR="009917F5" w:rsidRPr="009917F5" w:rsidRDefault="00EC0A02" w:rsidP="009917F5">
      <w:pPr>
        <w:spacing w:after="120"/>
        <w:ind w:left="1134" w:right="1134"/>
        <w:jc w:val="both"/>
        <w:rPr>
          <w:lang w:val="fr-FR"/>
        </w:rPr>
      </w:pPr>
      <w:r>
        <w:rPr>
          <w:lang w:val="fr-FR"/>
        </w:rPr>
        <w:t>64</w:t>
      </w:r>
      <w:r w:rsidR="009917F5" w:rsidRPr="009917F5">
        <w:rPr>
          <w:lang w:val="fr-FR"/>
        </w:rPr>
        <w:t>.</w:t>
      </w:r>
      <w:r w:rsidR="009917F5" w:rsidRPr="009917F5">
        <w:rPr>
          <w:lang w:val="fr-FR"/>
        </w:rPr>
        <w:tab/>
        <w:t>Afin de corriger ces points, l’AIEA a soumis une proposition qui sera étudiée à la cinquante-septième session du Sous-Comité d’experts du transport des marchandises dangereuses</w:t>
      </w:r>
      <w:r w:rsidR="009917F5" w:rsidRPr="009917F5">
        <w:rPr>
          <w:sz w:val="18"/>
          <w:vertAlign w:val="superscript"/>
        </w:rPr>
        <w:footnoteReference w:id="2"/>
      </w:r>
      <w:r w:rsidR="009917F5" w:rsidRPr="009917F5">
        <w:rPr>
          <w:lang w:val="fr-FR"/>
        </w:rPr>
        <w:t>.</w:t>
      </w:r>
    </w:p>
    <w:p w14:paraId="43337382" w14:textId="3E26F9BA" w:rsidR="009917F5" w:rsidRPr="009917F5" w:rsidRDefault="00EC0A02" w:rsidP="009917F5">
      <w:pPr>
        <w:spacing w:after="120"/>
        <w:ind w:left="1134" w:right="1134"/>
        <w:jc w:val="both"/>
        <w:rPr>
          <w:lang w:val="fr-FR"/>
        </w:rPr>
      </w:pPr>
      <w:r>
        <w:rPr>
          <w:lang w:val="fr-FR"/>
        </w:rPr>
        <w:t>65</w:t>
      </w:r>
      <w:r w:rsidR="009917F5" w:rsidRPr="009917F5">
        <w:rPr>
          <w:lang w:val="fr-FR"/>
        </w:rPr>
        <w:t>.</w:t>
      </w:r>
      <w:r w:rsidR="009917F5" w:rsidRPr="009917F5">
        <w:rPr>
          <w:lang w:val="fr-FR"/>
        </w:rPr>
        <w:tab/>
        <w:t>Le Groupe de travail a noté que ces différences entre le Règlement Type et le Règlement de l’AIEA peuvent affecter les activités de transport terrestre et que la représentante de l’Espagne pourrait initier des accords multilatéraux pour permettre l’application des amendements correspondants le plus tôt possible après leur adoption par le Sous-Comité.</w:t>
      </w:r>
    </w:p>
    <w:p w14:paraId="27E314A6" w14:textId="77777777" w:rsidR="009917F5" w:rsidRPr="009917F5" w:rsidRDefault="009917F5" w:rsidP="009073B5">
      <w:pPr>
        <w:pStyle w:val="H1G"/>
        <w:rPr>
          <w:lang w:val="fr-FR"/>
        </w:rPr>
      </w:pPr>
      <w:r w:rsidRPr="009917F5">
        <w:rPr>
          <w:lang w:val="fr-FR"/>
        </w:rPr>
        <w:lastRenderedPageBreak/>
        <w:tab/>
        <w:t>D.</w:t>
      </w:r>
      <w:r w:rsidRPr="009917F5">
        <w:rPr>
          <w:lang w:val="fr-FR"/>
        </w:rPr>
        <w:tab/>
        <w:t>Langues utilisées pour la documentation</w:t>
      </w:r>
    </w:p>
    <w:p w14:paraId="4D9BF6A6" w14:textId="77777777" w:rsidR="009917F5" w:rsidRPr="009917F5" w:rsidRDefault="009917F5" w:rsidP="009073B5">
      <w:pPr>
        <w:keepNext/>
        <w:keepLines/>
        <w:tabs>
          <w:tab w:val="left" w:pos="3000"/>
        </w:tabs>
        <w:spacing w:after="120"/>
        <w:ind w:left="2268" w:right="1134" w:hanging="1134"/>
        <w:rPr>
          <w:lang w:val="fr-FR"/>
        </w:rPr>
      </w:pPr>
      <w:r w:rsidRPr="009917F5">
        <w:rPr>
          <w:i/>
          <w:lang w:val="fr-FR"/>
        </w:rPr>
        <w:t>Document informel </w:t>
      </w:r>
      <w:r w:rsidRPr="009917F5">
        <w:rPr>
          <w:lang w:val="fr-FR"/>
        </w:rPr>
        <w:t>:</w:t>
      </w:r>
      <w:r w:rsidRPr="009917F5">
        <w:rPr>
          <w:lang w:val="fr-FR"/>
        </w:rPr>
        <w:tab/>
      </w:r>
      <w:r w:rsidRPr="009917F5">
        <w:rPr>
          <w:lang w:val="fr-FR"/>
        </w:rPr>
        <w:tab/>
        <w:t>INF.20 (Royaume-Uni)</w:t>
      </w:r>
    </w:p>
    <w:p w14:paraId="7352300B" w14:textId="5D8A26CA" w:rsidR="009917F5" w:rsidRPr="009917F5" w:rsidRDefault="009D0AC5" w:rsidP="009073B5">
      <w:pPr>
        <w:keepNext/>
        <w:keepLines/>
        <w:spacing w:after="120"/>
        <w:ind w:left="1134" w:right="1134"/>
        <w:jc w:val="both"/>
      </w:pPr>
      <w:r>
        <w:rPr>
          <w:lang w:val="fr-FR"/>
        </w:rPr>
        <w:t>66</w:t>
      </w:r>
      <w:r w:rsidR="009917F5" w:rsidRPr="009917F5">
        <w:rPr>
          <w:lang w:val="fr-FR"/>
        </w:rPr>
        <w:t>.</w:t>
      </w:r>
      <w:r w:rsidR="009917F5" w:rsidRPr="009917F5">
        <w:rPr>
          <w:lang w:val="fr-FR"/>
        </w:rPr>
        <w:tab/>
        <w:t xml:space="preserve">Les délégations qui se sont prononcées ont indiqué que les langues utilisées dans les documents de transport conformément à l’ADR ne semblaient pas poser de problèmes pour les contrôles dans leur pays. Il a été rappelé que la documentation ADR comporte beaucoup d’informations sous formes de codes facilement identifiables et que l’utilisation des formats standards prévus dans l’ADR pour les certificats permet de repérer rapidement les informations. Outre les outils de traduction accessibles au grand public, les contrôleurs ont à leur disposition le guide multilingue publié par </w:t>
      </w:r>
      <w:r w:rsidR="001239B5" w:rsidRPr="009917F5">
        <w:rPr>
          <w:lang w:val="fr-FR"/>
        </w:rPr>
        <w:t xml:space="preserve">Euro </w:t>
      </w:r>
      <w:r w:rsidR="00C47814">
        <w:rPr>
          <w:lang w:val="fr-FR"/>
        </w:rPr>
        <w:t>Contrôle</w:t>
      </w:r>
      <w:r w:rsidR="00C47814" w:rsidRPr="009917F5">
        <w:rPr>
          <w:lang w:val="fr-FR"/>
        </w:rPr>
        <w:t xml:space="preserve"> </w:t>
      </w:r>
      <w:r w:rsidR="001239B5" w:rsidRPr="009917F5">
        <w:rPr>
          <w:lang w:val="fr-FR"/>
        </w:rPr>
        <w:t>Route</w:t>
      </w:r>
      <w:r w:rsidR="009917F5" w:rsidRPr="009917F5">
        <w:rPr>
          <w:lang w:val="fr-FR"/>
        </w:rPr>
        <w:t xml:space="preserve"> (ECR) afin de faciliter les contrôles</w:t>
      </w:r>
      <w:r w:rsidR="009917F5" w:rsidRPr="009917F5">
        <w:rPr>
          <w:sz w:val="18"/>
          <w:vertAlign w:val="superscript"/>
        </w:rPr>
        <w:footnoteReference w:id="3"/>
      </w:r>
      <w:r w:rsidR="009917F5" w:rsidRPr="009917F5">
        <w:rPr>
          <w:sz w:val="18"/>
          <w:vertAlign w:val="superscript"/>
        </w:rPr>
        <w:t>.</w:t>
      </w:r>
    </w:p>
    <w:p w14:paraId="6EDFC5E1" w14:textId="17FEFEE8" w:rsidR="00470BF4" w:rsidRPr="001B655E" w:rsidRDefault="00470BF4" w:rsidP="00470BF4">
      <w:pPr>
        <w:pStyle w:val="H1G"/>
        <w:rPr>
          <w:lang w:val="fr-FR"/>
        </w:rPr>
      </w:pPr>
      <w:r w:rsidRPr="001B655E">
        <w:rPr>
          <w:lang w:val="fr-FR"/>
        </w:rPr>
        <w:tab/>
      </w:r>
      <w:r>
        <w:rPr>
          <w:lang w:val="fr-FR"/>
        </w:rPr>
        <w:t>E</w:t>
      </w:r>
      <w:r w:rsidRPr="001B655E">
        <w:rPr>
          <w:lang w:val="fr-FR"/>
        </w:rPr>
        <w:t>.</w:t>
      </w:r>
      <w:r w:rsidRPr="001B655E">
        <w:rPr>
          <w:lang w:val="fr-FR"/>
        </w:rPr>
        <w:tab/>
      </w:r>
      <w:r>
        <w:rPr>
          <w:lang w:val="fr-FR"/>
        </w:rPr>
        <w:t>Transport de machines contenant de l’hydrogène</w:t>
      </w:r>
    </w:p>
    <w:p w14:paraId="19B73B02" w14:textId="77777777" w:rsidR="00470BF4" w:rsidRPr="001B655E" w:rsidRDefault="00470BF4" w:rsidP="00470BF4">
      <w:pPr>
        <w:tabs>
          <w:tab w:val="left" w:pos="3000"/>
        </w:tabs>
        <w:spacing w:after="120"/>
        <w:ind w:left="2268" w:right="1134" w:hanging="1134"/>
        <w:rPr>
          <w:lang w:val="fr-FR"/>
        </w:rPr>
      </w:pPr>
      <w:r w:rsidRPr="001B655E">
        <w:rPr>
          <w:i/>
          <w:lang w:val="fr-FR"/>
        </w:rPr>
        <w:t>Document informel </w:t>
      </w:r>
      <w:r w:rsidRPr="001B655E">
        <w:rPr>
          <w:lang w:val="fr-FR"/>
        </w:rPr>
        <w:t>:</w:t>
      </w:r>
      <w:r w:rsidRPr="001B655E">
        <w:rPr>
          <w:lang w:val="fr-FR"/>
        </w:rPr>
        <w:tab/>
      </w:r>
      <w:r w:rsidRPr="001B655E">
        <w:rPr>
          <w:lang w:val="fr-FR"/>
        </w:rPr>
        <w:tab/>
        <w:t>INF.</w:t>
      </w:r>
      <w:r>
        <w:rPr>
          <w:lang w:val="fr-FR"/>
        </w:rPr>
        <w:t>22</w:t>
      </w:r>
      <w:r w:rsidRPr="001B655E">
        <w:rPr>
          <w:lang w:val="fr-FR"/>
        </w:rPr>
        <w:t xml:space="preserve"> (</w:t>
      </w:r>
      <w:r>
        <w:rPr>
          <w:lang w:val="fr-FR"/>
        </w:rPr>
        <w:t>Pays-Bas</w:t>
      </w:r>
      <w:r w:rsidRPr="001B655E">
        <w:rPr>
          <w:lang w:val="fr-FR"/>
        </w:rPr>
        <w:t>)</w:t>
      </w:r>
    </w:p>
    <w:p w14:paraId="255F6F5B" w14:textId="5E912563" w:rsidR="00470BF4" w:rsidRPr="001B655E" w:rsidRDefault="00B575AB" w:rsidP="00470BF4">
      <w:pPr>
        <w:spacing w:after="120"/>
        <w:ind w:left="1134" w:right="1134"/>
        <w:jc w:val="both"/>
        <w:rPr>
          <w:lang w:val="fr-FR"/>
        </w:rPr>
      </w:pPr>
      <w:r>
        <w:rPr>
          <w:lang w:val="fr-FR"/>
        </w:rPr>
        <w:t>67</w:t>
      </w:r>
      <w:r w:rsidR="00470BF4" w:rsidRPr="001B655E">
        <w:rPr>
          <w:lang w:val="fr-FR"/>
        </w:rPr>
        <w:t>.</w:t>
      </w:r>
      <w:r w:rsidR="00470BF4" w:rsidRPr="001B655E">
        <w:rPr>
          <w:lang w:val="fr-FR"/>
        </w:rPr>
        <w:tab/>
      </w:r>
      <w:r w:rsidR="00470BF4">
        <w:rPr>
          <w:lang w:val="fr-FR"/>
        </w:rPr>
        <w:t>Le Groupe de travail a pris note du retour d’expérience des Pays-Bas sur l’agrément de remorques équipées de machines contenant de l’hydrogène et sur leur interprétation des dispositions de l’ADR applicables</w:t>
      </w:r>
      <w:r w:rsidR="00470BF4" w:rsidRPr="001B655E">
        <w:rPr>
          <w:lang w:val="fr-FR"/>
        </w:rPr>
        <w:t>.</w:t>
      </w:r>
      <w:r w:rsidR="00470BF4">
        <w:rPr>
          <w:lang w:val="fr-FR"/>
        </w:rPr>
        <w:t xml:space="preserve"> </w:t>
      </w:r>
    </w:p>
    <w:p w14:paraId="330A0BDC" w14:textId="259081D4" w:rsidR="009917F5" w:rsidRPr="009917F5" w:rsidRDefault="009917F5" w:rsidP="009917F5">
      <w:pPr>
        <w:keepNext/>
        <w:keepLines/>
        <w:tabs>
          <w:tab w:val="right" w:pos="851"/>
        </w:tabs>
        <w:spacing w:before="360" w:after="240" w:line="270" w:lineRule="exact"/>
        <w:ind w:left="1134" w:right="1134" w:hanging="1134"/>
        <w:rPr>
          <w:b/>
          <w:sz w:val="24"/>
          <w:lang w:val="fr-FR"/>
        </w:rPr>
      </w:pPr>
      <w:r w:rsidRPr="009917F5">
        <w:rPr>
          <w:b/>
          <w:sz w:val="24"/>
          <w:lang w:val="fr-FR"/>
        </w:rPr>
        <w:tab/>
      </w:r>
      <w:r w:rsidR="00470BF4">
        <w:rPr>
          <w:b/>
          <w:sz w:val="24"/>
          <w:lang w:val="fr-FR"/>
        </w:rPr>
        <w:t>F</w:t>
      </w:r>
      <w:r w:rsidRPr="009917F5">
        <w:rPr>
          <w:b/>
          <w:sz w:val="24"/>
          <w:lang w:val="fr-FR"/>
        </w:rPr>
        <w:t>.</w:t>
      </w:r>
      <w:r w:rsidRPr="009917F5">
        <w:rPr>
          <w:b/>
          <w:sz w:val="24"/>
          <w:lang w:val="fr-FR"/>
        </w:rPr>
        <w:tab/>
        <w:t>Hommages</w:t>
      </w:r>
    </w:p>
    <w:p w14:paraId="2375C620" w14:textId="00CC7452" w:rsidR="009917F5" w:rsidRPr="009917F5" w:rsidRDefault="00366692" w:rsidP="009917F5">
      <w:pPr>
        <w:spacing w:after="120"/>
        <w:ind w:left="1134" w:right="1134"/>
        <w:jc w:val="both"/>
        <w:rPr>
          <w:lang w:val="fr-FR"/>
        </w:rPr>
      </w:pPr>
      <w:r>
        <w:rPr>
          <w:lang w:val="fr-FR"/>
        </w:rPr>
        <w:t>68</w:t>
      </w:r>
      <w:r w:rsidR="009917F5" w:rsidRPr="009917F5">
        <w:rPr>
          <w:lang w:val="fr-FR"/>
        </w:rPr>
        <w:t>.</w:t>
      </w:r>
      <w:r w:rsidR="009917F5" w:rsidRPr="009917F5">
        <w:rPr>
          <w:lang w:val="fr-FR"/>
        </w:rPr>
        <w:tab/>
        <w:t>Le Groupe de travail a été informé que M. José Eduardo G</w:t>
      </w:r>
      <w:r w:rsidR="009917F5" w:rsidRPr="009917F5">
        <w:t>ó</w:t>
      </w:r>
      <w:r w:rsidR="009917F5" w:rsidRPr="009917F5">
        <w:rPr>
          <w:lang w:val="fr-FR"/>
        </w:rPr>
        <w:t>mez G</w:t>
      </w:r>
      <w:r w:rsidR="009917F5" w:rsidRPr="009917F5">
        <w:t>ó</w:t>
      </w:r>
      <w:r w:rsidR="009917F5" w:rsidRPr="009917F5">
        <w:rPr>
          <w:lang w:val="fr-FR"/>
        </w:rPr>
        <w:t xml:space="preserve">mez de l’Espagne, assistait à sa dernière session puisqu’il allait bientôt prendre sa retraite. </w:t>
      </w:r>
    </w:p>
    <w:p w14:paraId="783E6CDF" w14:textId="01543C28" w:rsidR="009917F5" w:rsidRPr="009917F5" w:rsidRDefault="00366692" w:rsidP="009917F5">
      <w:pPr>
        <w:spacing w:after="120"/>
        <w:ind w:left="1134" w:right="1134"/>
        <w:jc w:val="both"/>
        <w:rPr>
          <w:lang w:val="fr-FR"/>
        </w:rPr>
      </w:pPr>
      <w:r>
        <w:rPr>
          <w:lang w:val="fr-FR"/>
        </w:rPr>
        <w:t>69</w:t>
      </w:r>
      <w:r w:rsidR="009917F5" w:rsidRPr="009917F5">
        <w:rPr>
          <w:lang w:val="fr-FR"/>
        </w:rPr>
        <w:t>.</w:t>
      </w:r>
      <w:bookmarkStart w:id="5" w:name="_GoBack"/>
      <w:bookmarkEnd w:id="5"/>
      <w:r w:rsidR="009917F5" w:rsidRPr="009917F5">
        <w:rPr>
          <w:lang w:val="fr-FR"/>
        </w:rPr>
        <w:tab/>
        <w:t xml:space="preserve">Le Groupe de travail l'a chaleureusement remercié pour le travail accompli pendant ses vingt-cinq années en tant que responsable de l’ADR au Ministère des Transports espagnol. Le Groupe de travail a particulièrement salué son expertise et son engagement en faveur de la sécurité des véhicules et sa coopération amicale avec les délégués et avec le secrétariat. Le Groupe de travail lui a exprimé ses meilleurs vœux pour une longue et heureuse retraite. </w:t>
      </w:r>
    </w:p>
    <w:p w14:paraId="0DE3B082" w14:textId="4634A744" w:rsidR="009917F5" w:rsidRPr="009917F5" w:rsidRDefault="00366692" w:rsidP="00470BF4">
      <w:pPr>
        <w:spacing w:after="120"/>
        <w:ind w:left="1134" w:right="1134"/>
        <w:jc w:val="both"/>
        <w:rPr>
          <w:lang w:val="fr-FR"/>
        </w:rPr>
      </w:pPr>
      <w:r>
        <w:rPr>
          <w:lang w:val="fr-FR"/>
        </w:rPr>
        <w:t>70</w:t>
      </w:r>
      <w:r w:rsidR="009917F5" w:rsidRPr="009917F5">
        <w:rPr>
          <w:lang w:val="fr-FR"/>
        </w:rPr>
        <w:t>.</w:t>
      </w:r>
      <w:r w:rsidR="009917F5" w:rsidRPr="009917F5">
        <w:rPr>
          <w:lang w:val="fr-FR"/>
        </w:rPr>
        <w:tab/>
        <w:t>Le Groupe de travail a également été informé que la représentante du Royaume-Uni, Sophie Willis, participait à sa dernière session du Groupe de travail. Il lui a souhaité une bonne continuation dans ses nouvelles fonctions.</w:t>
      </w:r>
      <w:r w:rsidR="00470BF4" w:rsidRPr="009917F5">
        <w:rPr>
          <w:lang w:val="fr-FR"/>
        </w:rPr>
        <w:t xml:space="preserve"> </w:t>
      </w:r>
    </w:p>
    <w:p w14:paraId="15390C6D" w14:textId="77777777" w:rsidR="0038245A" w:rsidRPr="00A91A7C" w:rsidRDefault="0038245A" w:rsidP="0038245A">
      <w:pPr>
        <w:pStyle w:val="HChG"/>
        <w:rPr>
          <w:i/>
          <w:lang w:val="fr-FR"/>
        </w:rPr>
      </w:pPr>
      <w:r w:rsidRPr="00A91A7C">
        <w:rPr>
          <w:lang w:val="fr-FR"/>
        </w:rPr>
        <w:tab/>
        <w:t>X.</w:t>
      </w:r>
      <w:r w:rsidRPr="00A91A7C">
        <w:rPr>
          <w:lang w:val="fr-FR"/>
        </w:rPr>
        <w:tab/>
        <w:t>Élection du Bureau pour 202</w:t>
      </w:r>
      <w:r>
        <w:rPr>
          <w:lang w:val="fr-FR"/>
        </w:rPr>
        <w:t>1</w:t>
      </w:r>
      <w:r w:rsidRPr="00A91A7C">
        <w:rPr>
          <w:lang w:val="fr-FR"/>
        </w:rPr>
        <w:t xml:space="preserve"> (point 9 de l’ordre du jour)</w:t>
      </w:r>
    </w:p>
    <w:p w14:paraId="489E5DBB" w14:textId="77777777" w:rsidR="0038245A" w:rsidRDefault="0038245A" w:rsidP="0038245A">
      <w:pPr>
        <w:pStyle w:val="SingleTxtG"/>
        <w:rPr>
          <w:lang w:val="fr-FR"/>
        </w:rPr>
      </w:pPr>
      <w:r>
        <w:rPr>
          <w:lang w:val="fr-FR"/>
        </w:rPr>
        <w:t>71</w:t>
      </w:r>
      <w:r w:rsidRPr="00A91A7C">
        <w:rPr>
          <w:lang w:val="fr-FR"/>
        </w:rPr>
        <w:t>.</w:t>
      </w:r>
      <w:r w:rsidRPr="00A91A7C">
        <w:rPr>
          <w:lang w:val="fr-FR"/>
        </w:rPr>
        <w:tab/>
        <w:t xml:space="preserve">Sur proposition du </w:t>
      </w:r>
      <w:r w:rsidRPr="006D4AF3">
        <w:rPr>
          <w:lang w:val="fr-FR"/>
        </w:rPr>
        <w:t xml:space="preserve">représentant </w:t>
      </w:r>
      <w:r>
        <w:rPr>
          <w:lang w:val="fr-FR"/>
        </w:rPr>
        <w:t>de la Belgique</w:t>
      </w:r>
      <w:r w:rsidRPr="00A91A7C">
        <w:rPr>
          <w:lang w:val="fr-FR"/>
        </w:rPr>
        <w:t>, le Groupe de travail a élu M</w:t>
      </w:r>
      <w:r w:rsidRPr="00A91A7C">
        <w:rPr>
          <w:vertAlign w:val="superscript"/>
          <w:lang w:val="fr-FR"/>
        </w:rPr>
        <w:t>me</w:t>
      </w:r>
      <w:r w:rsidRPr="00A91A7C">
        <w:rPr>
          <w:lang w:val="fr-FR"/>
        </w:rPr>
        <w:t> Ariane Roumier (France) Présidente et M. Alfonso Simoni (Italie) Vice-Président pour l’année 202</w:t>
      </w:r>
      <w:r>
        <w:rPr>
          <w:lang w:val="fr-FR"/>
        </w:rPr>
        <w:t>1</w:t>
      </w:r>
      <w:r w:rsidRPr="00A91A7C">
        <w:rPr>
          <w:lang w:val="fr-FR"/>
        </w:rPr>
        <w:t>.</w:t>
      </w:r>
    </w:p>
    <w:p w14:paraId="5C096681" w14:textId="77777777" w:rsidR="0038245A" w:rsidRPr="00A91A7C" w:rsidRDefault="0038245A" w:rsidP="0038245A">
      <w:pPr>
        <w:pStyle w:val="HChG"/>
        <w:rPr>
          <w:i/>
          <w:lang w:val="fr-FR"/>
        </w:rPr>
      </w:pPr>
      <w:r w:rsidRPr="00A91A7C">
        <w:rPr>
          <w:lang w:val="fr-FR"/>
        </w:rPr>
        <w:tab/>
        <w:t>XI.</w:t>
      </w:r>
      <w:r w:rsidRPr="00A91A7C">
        <w:rPr>
          <w:lang w:val="fr-FR"/>
        </w:rPr>
        <w:tab/>
        <w:t>Adoption du rapport (point 10 de l’ordre du jour)</w:t>
      </w:r>
    </w:p>
    <w:p w14:paraId="6FAE592C" w14:textId="77777777" w:rsidR="0038245A" w:rsidRPr="00A91A7C" w:rsidRDefault="0038245A" w:rsidP="0038245A">
      <w:pPr>
        <w:pStyle w:val="SingleTxtG"/>
        <w:rPr>
          <w:lang w:val="fr-FR"/>
        </w:rPr>
      </w:pPr>
      <w:r>
        <w:rPr>
          <w:lang w:val="fr-FR"/>
        </w:rPr>
        <w:t>72</w:t>
      </w:r>
      <w:r w:rsidRPr="00A91A7C">
        <w:rPr>
          <w:lang w:val="fr-FR"/>
        </w:rPr>
        <w:t>.</w:t>
      </w:r>
      <w:r w:rsidRPr="00A91A7C">
        <w:rPr>
          <w:lang w:val="fr-FR"/>
        </w:rPr>
        <w:tab/>
        <w:t>Le Groupe de travail a adopté le rapport de sa 10</w:t>
      </w:r>
      <w:r>
        <w:rPr>
          <w:lang w:val="fr-FR"/>
        </w:rPr>
        <w:t>8</w:t>
      </w:r>
      <w:r w:rsidRPr="00A91A7C">
        <w:rPr>
          <w:vertAlign w:val="superscript"/>
          <w:lang w:val="fr-FR"/>
        </w:rPr>
        <w:t>e</w:t>
      </w:r>
      <w:r w:rsidRPr="00A91A7C">
        <w:rPr>
          <w:lang w:val="fr-FR"/>
        </w:rPr>
        <w:t xml:space="preserve"> session et ses annexes sur la base d’un projet établi par le secrétariat.</w:t>
      </w:r>
    </w:p>
    <w:p w14:paraId="0E9FE5EC" w14:textId="56B6B7EA" w:rsidR="0038245A" w:rsidRDefault="0038245A" w:rsidP="0038245A">
      <w:pPr>
        <w:pStyle w:val="SingleTxtG"/>
        <w:rPr>
          <w:lang w:val="fr-FR"/>
        </w:rPr>
      </w:pPr>
      <w:r>
        <w:rPr>
          <w:lang w:val="fr-FR"/>
        </w:rPr>
        <w:t>73.</w:t>
      </w:r>
      <w:r>
        <w:rPr>
          <w:lang w:val="fr-FR"/>
        </w:rPr>
        <w:tab/>
      </w:r>
      <w:r w:rsidRPr="00D3408E">
        <w:rPr>
          <w:lang w:val="fr-FR"/>
        </w:rPr>
        <w:t>Conformément aux procédures spéciales sur la prise de décision pour les réunions formelles avec participation à distance adoptées par le Comité exécutif</w:t>
      </w:r>
      <w:r w:rsidR="00F51ECD">
        <w:rPr>
          <w:lang w:val="fr-FR"/>
        </w:rPr>
        <w:t xml:space="preserve"> </w:t>
      </w:r>
      <w:r w:rsidR="00F51ECD">
        <w:t>(ECE/EX/2020/L.12)</w:t>
      </w:r>
      <w:r w:rsidRPr="00D3408E">
        <w:rPr>
          <w:lang w:val="fr-FR"/>
        </w:rPr>
        <w:t xml:space="preserve">, les décisions </w:t>
      </w:r>
      <w:r>
        <w:rPr>
          <w:lang w:val="fr-FR"/>
        </w:rPr>
        <w:t xml:space="preserve">reprises en annexe </w:t>
      </w:r>
      <w:r w:rsidR="00A8725F">
        <w:rPr>
          <w:lang w:val="fr-FR"/>
        </w:rPr>
        <w:t xml:space="preserve">II </w:t>
      </w:r>
      <w:r>
        <w:rPr>
          <w:lang w:val="fr-FR"/>
        </w:rPr>
        <w:t xml:space="preserve">ont été </w:t>
      </w:r>
      <w:r w:rsidRPr="00D3408E">
        <w:rPr>
          <w:lang w:val="fr-FR"/>
        </w:rPr>
        <w:t xml:space="preserve">publiées et notifiées à toutes les missions permanentes à Genève. </w:t>
      </w:r>
      <w:r w:rsidR="00F51ECD">
        <w:rPr>
          <w:lang w:val="fr-FR"/>
        </w:rPr>
        <w:t>A</w:t>
      </w:r>
      <w:r>
        <w:rPr>
          <w:lang w:val="fr-FR"/>
        </w:rPr>
        <w:t xml:space="preserve">ucune </w:t>
      </w:r>
      <w:r w:rsidRPr="00D3408E">
        <w:rPr>
          <w:lang w:val="fr-FR"/>
        </w:rPr>
        <w:t>objection</w:t>
      </w:r>
      <w:r>
        <w:rPr>
          <w:lang w:val="fr-FR"/>
        </w:rPr>
        <w:t xml:space="preserve"> n’a été reçue. Les </w:t>
      </w:r>
      <w:r w:rsidRPr="00D3408E">
        <w:rPr>
          <w:lang w:val="fr-FR"/>
        </w:rPr>
        <w:t xml:space="preserve">décisions </w:t>
      </w:r>
      <w:r>
        <w:rPr>
          <w:lang w:val="fr-FR"/>
        </w:rPr>
        <w:t xml:space="preserve">sont </w:t>
      </w:r>
      <w:r w:rsidRPr="00D3408E">
        <w:rPr>
          <w:lang w:val="fr-FR"/>
        </w:rPr>
        <w:t>réputées adoptées.</w:t>
      </w:r>
    </w:p>
    <w:p w14:paraId="5A61C2A0" w14:textId="737456CE" w:rsidR="00CD4AFF" w:rsidRDefault="00CD4AFF">
      <w:pPr>
        <w:suppressAutoHyphens w:val="0"/>
        <w:kinsoku/>
        <w:overflowPunct/>
        <w:autoSpaceDE/>
        <w:autoSpaceDN/>
        <w:adjustRightInd/>
        <w:snapToGrid/>
        <w:spacing w:after="200" w:line="276" w:lineRule="auto"/>
        <w:rPr>
          <w:lang w:val="fr-FR"/>
        </w:rPr>
      </w:pPr>
      <w:r>
        <w:rPr>
          <w:lang w:val="fr-FR"/>
        </w:rPr>
        <w:br w:type="page"/>
      </w:r>
    </w:p>
    <w:p w14:paraId="0F8E0419" w14:textId="77777777" w:rsidR="005D52AC" w:rsidRPr="005D52AC" w:rsidRDefault="005D52AC" w:rsidP="005D52AC">
      <w:pPr>
        <w:keepNext/>
        <w:keepLines/>
        <w:tabs>
          <w:tab w:val="right" w:pos="851"/>
        </w:tabs>
        <w:spacing w:after="240" w:line="300" w:lineRule="exact"/>
        <w:ind w:left="1134" w:right="1134" w:hanging="1134"/>
        <w:rPr>
          <w:b/>
          <w:sz w:val="28"/>
          <w:lang w:val="fr-FR"/>
        </w:rPr>
      </w:pPr>
      <w:r w:rsidRPr="005D52AC">
        <w:rPr>
          <w:b/>
          <w:sz w:val="28"/>
          <w:lang w:val="fr-FR"/>
        </w:rPr>
        <w:lastRenderedPageBreak/>
        <w:tab/>
        <w:t>Annexe I</w:t>
      </w:r>
    </w:p>
    <w:p w14:paraId="2C72EDE8" w14:textId="77777777" w:rsidR="00CD4AFF" w:rsidRPr="0050519A" w:rsidRDefault="00CD4AFF" w:rsidP="00CD4AFF">
      <w:pPr>
        <w:pStyle w:val="HChG"/>
        <w:rPr>
          <w:lang w:val="fr-FR"/>
        </w:rPr>
      </w:pPr>
      <w:r w:rsidRPr="0050519A">
        <w:rPr>
          <w:lang w:val="fr-FR"/>
        </w:rPr>
        <w:tab/>
      </w:r>
      <w:r w:rsidRPr="0050519A">
        <w:rPr>
          <w:lang w:val="fr-FR"/>
        </w:rPr>
        <w:tab/>
        <w:t>Projet d’amendements à l’annexe A et B de l’ADR pour entrée en vigueur le 1er janvier 2023</w:t>
      </w:r>
    </w:p>
    <w:p w14:paraId="501DB15A" w14:textId="77777777" w:rsidR="00CD4AFF" w:rsidRPr="0050519A" w:rsidRDefault="00CD4AFF" w:rsidP="00CD4AFF">
      <w:pPr>
        <w:pStyle w:val="H1G"/>
        <w:rPr>
          <w:lang w:val="fr-FR"/>
        </w:rPr>
      </w:pPr>
      <w:r w:rsidRPr="0050519A">
        <w:rPr>
          <w:lang w:val="fr-FR"/>
        </w:rPr>
        <w:tab/>
      </w:r>
      <w:r w:rsidRPr="0050519A">
        <w:rPr>
          <w:lang w:val="fr-FR"/>
        </w:rPr>
        <w:tab/>
        <w:t xml:space="preserve">Chapitre </w:t>
      </w:r>
      <w:r>
        <w:rPr>
          <w:lang w:val="fr-FR"/>
        </w:rPr>
        <w:t>1.1</w:t>
      </w:r>
    </w:p>
    <w:p w14:paraId="1E299BE5" w14:textId="77777777" w:rsidR="00CD4AFF" w:rsidRDefault="00CD4AFF" w:rsidP="00CD4AFF">
      <w:pPr>
        <w:pStyle w:val="SingleTxtG"/>
        <w:ind w:left="2268" w:hanging="1134"/>
        <w:rPr>
          <w:lang w:val="fr-FR"/>
        </w:rPr>
      </w:pPr>
      <w:r w:rsidRPr="00C142F1">
        <w:rPr>
          <w:lang w:val="fr-FR"/>
        </w:rPr>
        <w:t>1.1.3.6.3</w:t>
      </w:r>
      <w:r>
        <w:rPr>
          <w:lang w:val="fr-FR"/>
        </w:rPr>
        <w:tab/>
        <w:t>Dans le tableau, dans la rubrique pour la c</w:t>
      </w:r>
      <w:r w:rsidRPr="007702B7">
        <w:rPr>
          <w:lang w:val="fr-FR"/>
        </w:rPr>
        <w:t>atégorie de</w:t>
      </w:r>
      <w:r>
        <w:rPr>
          <w:lang w:val="fr-FR"/>
        </w:rPr>
        <w:t xml:space="preserve"> </w:t>
      </w:r>
      <w:r w:rsidRPr="007702B7">
        <w:rPr>
          <w:lang w:val="fr-FR"/>
        </w:rPr>
        <w:t>transport</w:t>
      </w:r>
      <w:r>
        <w:rPr>
          <w:lang w:val="fr-FR"/>
        </w:rPr>
        <w:t xml:space="preserve"> 2, dans la colonne (2) :</w:t>
      </w:r>
    </w:p>
    <w:p w14:paraId="3D4E5DA2" w14:textId="77777777" w:rsidR="00CD4AFF" w:rsidRDefault="00CD4AFF" w:rsidP="00CD4AFF">
      <w:pPr>
        <w:pStyle w:val="SingleTxtG"/>
        <w:ind w:left="2268" w:hanging="1134"/>
        <w:rPr>
          <w:lang w:val="fr-FR"/>
        </w:rPr>
      </w:pPr>
      <w:r>
        <w:rPr>
          <w:lang w:val="fr-FR"/>
        </w:rPr>
        <w:tab/>
        <w:t>- après la ligne pour la « Classe 6.1 », insérer la nouvelle ligne suivante :</w:t>
      </w:r>
    </w:p>
    <w:p w14:paraId="026AE799" w14:textId="77777777" w:rsidR="00CD4AFF" w:rsidRDefault="00CD4AFF" w:rsidP="00CD4AFF">
      <w:pPr>
        <w:pStyle w:val="SingleTxtG"/>
        <w:ind w:left="2268" w:hanging="1134"/>
        <w:rPr>
          <w:lang w:val="fr-FR"/>
        </w:rPr>
      </w:pPr>
      <w:r>
        <w:rPr>
          <w:lang w:val="fr-FR"/>
        </w:rPr>
        <w:t>« Classe 6.2 :</w:t>
      </w:r>
      <w:r>
        <w:rPr>
          <w:lang w:val="fr-FR"/>
        </w:rPr>
        <w:tab/>
        <w:t>No ONU 3291 »</w:t>
      </w:r>
    </w:p>
    <w:p w14:paraId="5A438098" w14:textId="77777777" w:rsidR="00CD4AFF" w:rsidRDefault="00CD4AFF" w:rsidP="00CD4AFF">
      <w:pPr>
        <w:pStyle w:val="SingleTxtG"/>
        <w:ind w:left="2268" w:hanging="1134"/>
        <w:rPr>
          <w:lang w:val="fr-FR"/>
        </w:rPr>
      </w:pPr>
      <w:r>
        <w:rPr>
          <w:lang w:val="fr-FR"/>
        </w:rPr>
        <w:tab/>
        <w:t>- remplacer la ligne pour la « Classe 9 » pour lire comme suit :</w:t>
      </w:r>
    </w:p>
    <w:p w14:paraId="6AA920E8" w14:textId="77777777" w:rsidR="00CD4AFF" w:rsidRPr="00102EF6" w:rsidRDefault="00CD4AFF" w:rsidP="00CD4AFF">
      <w:pPr>
        <w:pStyle w:val="SingleTxtG"/>
        <w:ind w:left="2268" w:hanging="1134"/>
        <w:rPr>
          <w:lang w:val="fr-FR"/>
        </w:rPr>
      </w:pPr>
      <w:r>
        <w:rPr>
          <w:lang w:val="fr-FR"/>
        </w:rPr>
        <w:t>« Classe 9 :</w:t>
      </w:r>
      <w:r>
        <w:rPr>
          <w:lang w:val="fr-FR"/>
        </w:rPr>
        <w:tab/>
      </w:r>
      <w:r w:rsidRPr="00326E52">
        <w:rPr>
          <w:lang w:val="fr-FR"/>
        </w:rPr>
        <w:t>Nos ONU 3090, 3091, 3245, 3480</w:t>
      </w:r>
      <w:r>
        <w:rPr>
          <w:lang w:val="fr-FR"/>
        </w:rPr>
        <w:t xml:space="preserve">, </w:t>
      </w:r>
      <w:r w:rsidRPr="00326E52">
        <w:rPr>
          <w:lang w:val="fr-FR"/>
        </w:rPr>
        <w:t>3481</w:t>
      </w:r>
      <w:r>
        <w:rPr>
          <w:lang w:val="fr-FR"/>
        </w:rPr>
        <w:t xml:space="preserve"> et 3536 »</w:t>
      </w:r>
    </w:p>
    <w:p w14:paraId="75606561" w14:textId="77777777" w:rsidR="00CD4AFF" w:rsidRPr="00892268" w:rsidRDefault="00CD4AFF" w:rsidP="00CD4AFF">
      <w:pPr>
        <w:pStyle w:val="SingleTxtG"/>
        <w:rPr>
          <w:i/>
        </w:rPr>
      </w:pPr>
      <w:r w:rsidRPr="00102EF6">
        <w:rPr>
          <w:i/>
        </w:rPr>
        <w:t>(</w:t>
      </w:r>
      <w:r w:rsidRPr="00102EF6">
        <w:rPr>
          <w:i/>
          <w:iCs/>
          <w:lang w:val="fr-FR" w:eastAsia="en-GB"/>
        </w:rPr>
        <w:t xml:space="preserve">Document de référence </w:t>
      </w:r>
      <w:r w:rsidRPr="00102EF6">
        <w:rPr>
          <w:i/>
        </w:rPr>
        <w:t>: document</w:t>
      </w:r>
      <w:r>
        <w:rPr>
          <w:i/>
        </w:rPr>
        <w:t>s</w:t>
      </w:r>
      <w:r w:rsidRPr="00102EF6">
        <w:rPr>
          <w:i/>
        </w:rPr>
        <w:t xml:space="preserve"> informel</w:t>
      </w:r>
      <w:r>
        <w:rPr>
          <w:i/>
        </w:rPr>
        <w:t>s</w:t>
      </w:r>
      <w:r w:rsidRPr="00102EF6">
        <w:rPr>
          <w:i/>
        </w:rPr>
        <w:t xml:space="preserve"> INF.</w:t>
      </w:r>
      <w:r>
        <w:rPr>
          <w:i/>
        </w:rPr>
        <w:t>10 et INF.8</w:t>
      </w:r>
      <w:r w:rsidRPr="00102EF6">
        <w:rPr>
          <w:i/>
        </w:rPr>
        <w:t>)</w:t>
      </w:r>
    </w:p>
    <w:p w14:paraId="0E1E392C" w14:textId="77777777" w:rsidR="00CD4AFF" w:rsidRPr="007C3BF1" w:rsidRDefault="00CD4AFF" w:rsidP="00CD4AFF">
      <w:pPr>
        <w:pStyle w:val="H1G"/>
      </w:pPr>
      <w:r w:rsidRPr="007C3BF1">
        <w:tab/>
      </w:r>
      <w:r w:rsidRPr="007C3BF1">
        <w:tab/>
        <w:t>Chapitre 1.6</w:t>
      </w:r>
    </w:p>
    <w:p w14:paraId="3883F512" w14:textId="77777777" w:rsidR="00CD4AFF" w:rsidRPr="007C3BF1" w:rsidRDefault="00CD4AFF" w:rsidP="00CD4AFF">
      <w:pPr>
        <w:spacing w:after="120"/>
        <w:ind w:left="1134" w:right="1134"/>
        <w:jc w:val="both"/>
      </w:pPr>
      <w:r w:rsidRPr="007C3BF1">
        <w:t>1.6.4.55</w:t>
      </w:r>
      <w:r w:rsidRPr="007C3BF1">
        <w:tab/>
        <w:t>Ajouter le nouveau paragraphe suivant :</w:t>
      </w:r>
    </w:p>
    <w:p w14:paraId="395D9433" w14:textId="77777777" w:rsidR="00CD4AFF" w:rsidRPr="007C3BF1" w:rsidRDefault="00CD4AFF" w:rsidP="00CD4AFF">
      <w:pPr>
        <w:spacing w:after="120"/>
        <w:ind w:left="1134" w:right="1134"/>
        <w:jc w:val="both"/>
      </w:pPr>
      <w:r w:rsidRPr="007C3BF1">
        <w:t>« 1.6.4.55</w:t>
      </w:r>
      <w:r w:rsidRPr="007C3BF1">
        <w:tab/>
        <w:t xml:space="preserve">Les conteneurs-citernes qui ne sont pas conformes aux prescriptions du 6.8.3.4.6 </w:t>
      </w:r>
      <w:r>
        <w:t xml:space="preserve">b) </w:t>
      </w:r>
      <w:r w:rsidRPr="007C3BF1">
        <w:t>applicables à partir du 1er janvier 2023 pourront encore être utilisés si un contrôle intermédiaire a lieu au plus tard six ans après chaque contrôle périodique effectué après le 1er juillet 2023. »</w:t>
      </w:r>
    </w:p>
    <w:p w14:paraId="560B2824"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050FCF17" w14:textId="77777777" w:rsidR="00CD4AFF" w:rsidRPr="007C3BF1" w:rsidRDefault="00CD4AFF" w:rsidP="00CD4AFF">
      <w:pPr>
        <w:pStyle w:val="H1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r>
      <w:r w:rsidRPr="00A04879">
        <w:t>Chapitre</w:t>
      </w:r>
      <w:r w:rsidRPr="007C3BF1">
        <w:rPr>
          <w:rFonts w:asciiTheme="majorBidi" w:hAnsiTheme="majorBidi" w:cstheme="majorBidi"/>
        </w:rPr>
        <w:t xml:space="preserve"> 2.2</w:t>
      </w:r>
    </w:p>
    <w:p w14:paraId="1CD6F5CA" w14:textId="77777777" w:rsidR="00C51946" w:rsidRDefault="00CD4AFF" w:rsidP="00CD4AFF">
      <w:pPr>
        <w:spacing w:after="120"/>
        <w:ind w:left="2268" w:right="1134" w:hanging="1134"/>
        <w:jc w:val="both"/>
      </w:pPr>
      <w:r w:rsidRPr="007C3BF1">
        <w:rPr>
          <w:bCs/>
        </w:rPr>
        <w:t>2.2.2.2.2</w:t>
      </w:r>
      <w:r w:rsidRPr="007C3BF1">
        <w:tab/>
        <w:t>Modifier le cinquième tiret pour lire :</w:t>
      </w:r>
    </w:p>
    <w:p w14:paraId="4A8848F2" w14:textId="537078CB" w:rsidR="00CD4AFF" w:rsidRPr="007C3BF1" w:rsidRDefault="00CD4AFF" w:rsidP="006A428B">
      <w:pPr>
        <w:spacing w:after="120"/>
        <w:ind w:left="1134" w:right="1134"/>
        <w:jc w:val="both"/>
      </w:pPr>
      <w:r w:rsidRPr="007C3BF1">
        <w:t>« -</w:t>
      </w:r>
      <w:r w:rsidRPr="007C3BF1">
        <w:tab/>
        <w:t>Gaz dissous ne pouvant être classés sous les Nos ONU 1001, 1043, 2073 ou 3318. Pour le No ONU 1043, voir la disposition spéciale 642 ; »</w:t>
      </w:r>
    </w:p>
    <w:p w14:paraId="69635077"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2212DC4B" w14:textId="77777777" w:rsidR="00CD4AFF" w:rsidRPr="007C3BF1" w:rsidRDefault="00CD4AFF" w:rsidP="00CD4AFF">
      <w:pPr>
        <w:pStyle w:val="H1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r>
      <w:r w:rsidRPr="00A04879">
        <w:t>Chapitre</w:t>
      </w:r>
      <w:r w:rsidRPr="007C3BF1">
        <w:rPr>
          <w:rFonts w:asciiTheme="majorBidi" w:hAnsiTheme="majorBidi" w:cstheme="majorBidi"/>
        </w:rPr>
        <w:t xml:space="preserve"> 3.2, tableau A</w:t>
      </w:r>
    </w:p>
    <w:p w14:paraId="4899F4C6" w14:textId="77777777" w:rsidR="00CD4AFF" w:rsidRPr="007C3BF1" w:rsidRDefault="00CD4AFF" w:rsidP="00CD4AFF">
      <w:pPr>
        <w:spacing w:after="120"/>
        <w:ind w:left="2268" w:right="1134" w:hanging="1134"/>
        <w:jc w:val="both"/>
      </w:pPr>
      <w:r w:rsidRPr="007C3BF1">
        <w:t>No ONU 1345</w:t>
      </w:r>
      <w:r>
        <w:tab/>
        <w:t>D</w:t>
      </w:r>
      <w:r w:rsidRPr="007C3BF1">
        <w:t>ans la colonne (2)</w:t>
      </w:r>
      <w:r>
        <w:t>,</w:t>
      </w:r>
      <w:r w:rsidRPr="007C3BF1">
        <w:t xml:space="preserve"> modifier le nom et la description pour lire comme suit :</w:t>
      </w:r>
    </w:p>
    <w:p w14:paraId="55502D5D" w14:textId="77777777" w:rsidR="00CD4AFF" w:rsidRPr="007C3BF1" w:rsidRDefault="00CD4AFF" w:rsidP="00CD4AFF">
      <w:pPr>
        <w:spacing w:after="120"/>
        <w:ind w:left="1134" w:right="1134"/>
        <w:jc w:val="both"/>
      </w:pPr>
      <w:r w:rsidRPr="007C3BF1">
        <w:t>« DÉCHETS DE CAOUTCHOUC ou CHUTES DE CAOUTCHOUC, sous forme de poudre ou de grains, dont l’indice granulométrique ne dépasse pas 840 microns et avec une teneur en caoutchouc supérieure à 45 %. ».</w:t>
      </w:r>
    </w:p>
    <w:p w14:paraId="7FE93607"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30CAA44D" w14:textId="77777777" w:rsidR="00CD4AFF" w:rsidRPr="007C3BF1" w:rsidRDefault="00CD4AFF" w:rsidP="00CD4AFF">
      <w:pPr>
        <w:spacing w:after="120"/>
        <w:ind w:left="2268" w:right="1134" w:hanging="1134"/>
        <w:jc w:val="both"/>
      </w:pPr>
      <w:r w:rsidRPr="007C3BF1">
        <w:t>No ONU 1872</w:t>
      </w:r>
      <w:r>
        <w:tab/>
        <w:t>D</w:t>
      </w:r>
      <w:r w:rsidRPr="007C3BF1">
        <w:t>ans la colonne (3b), remplacer « OT2 » par « O2 »</w:t>
      </w:r>
      <w:r>
        <w:t>.</w:t>
      </w:r>
    </w:p>
    <w:p w14:paraId="690DFE41" w14:textId="77777777" w:rsidR="00CD4AFF" w:rsidRPr="007C3BF1" w:rsidRDefault="00CD4AFF" w:rsidP="00CD4AFF">
      <w:pPr>
        <w:spacing w:after="120"/>
        <w:ind w:left="2268" w:right="1134" w:hanging="1134"/>
        <w:jc w:val="both"/>
      </w:pPr>
      <w:r>
        <w:tab/>
        <w:t>D</w:t>
      </w:r>
      <w:r w:rsidRPr="007C3BF1">
        <w:t>ans la colonne (5), supprimer « +6.1 »</w:t>
      </w:r>
      <w:r>
        <w:t>.</w:t>
      </w:r>
    </w:p>
    <w:p w14:paraId="58DFED1C" w14:textId="77777777" w:rsidR="00CD4AFF" w:rsidRPr="007C3BF1" w:rsidRDefault="00CD4AFF" w:rsidP="00CD4AFF">
      <w:pPr>
        <w:spacing w:after="120"/>
        <w:ind w:left="2268" w:right="1134" w:hanging="1134"/>
        <w:jc w:val="both"/>
      </w:pPr>
      <w:r>
        <w:tab/>
        <w:t>D</w:t>
      </w:r>
      <w:r w:rsidRPr="007C3BF1">
        <w:t>ans la colonne (12), remplacer « SGAN » par « SGAV »</w:t>
      </w:r>
      <w:r>
        <w:t>.</w:t>
      </w:r>
    </w:p>
    <w:p w14:paraId="219841C9" w14:textId="77777777" w:rsidR="00CD4AFF" w:rsidRPr="007C3BF1" w:rsidRDefault="00CD4AFF" w:rsidP="00CD4AFF">
      <w:pPr>
        <w:spacing w:after="120"/>
        <w:ind w:left="2268" w:right="1134" w:hanging="1134"/>
        <w:jc w:val="both"/>
      </w:pPr>
      <w:r>
        <w:tab/>
        <w:t>D</w:t>
      </w:r>
      <w:r w:rsidRPr="007C3BF1">
        <w:t>ans la colonne (17), insérer « VC1 VC2 AP6 AP7 »</w:t>
      </w:r>
      <w:r>
        <w:t>.</w:t>
      </w:r>
    </w:p>
    <w:p w14:paraId="69208419" w14:textId="77777777" w:rsidR="00CD4AFF" w:rsidRPr="007C3BF1" w:rsidRDefault="00CD4AFF" w:rsidP="00CD4AFF">
      <w:pPr>
        <w:spacing w:after="120"/>
        <w:ind w:left="2268" w:right="1134" w:hanging="1134"/>
        <w:jc w:val="both"/>
      </w:pPr>
      <w:r>
        <w:tab/>
        <w:t>D</w:t>
      </w:r>
      <w:r w:rsidRPr="007C3BF1">
        <w:t>ans la colonne (18), supprimer « CV28 »</w:t>
      </w:r>
      <w:r>
        <w:t>.</w:t>
      </w:r>
    </w:p>
    <w:p w14:paraId="1F78A93F" w14:textId="77777777" w:rsidR="00CD4AFF" w:rsidRPr="007C3BF1" w:rsidRDefault="00CD4AFF" w:rsidP="00CD4AFF">
      <w:pPr>
        <w:spacing w:after="120"/>
        <w:ind w:left="2268" w:right="1134" w:hanging="1134"/>
        <w:jc w:val="both"/>
      </w:pPr>
      <w:r>
        <w:tab/>
        <w:t>D</w:t>
      </w:r>
      <w:r w:rsidRPr="007C3BF1">
        <w:t>ans la colonne (20), remplacer « 56 » par « 50 ».</w:t>
      </w:r>
    </w:p>
    <w:p w14:paraId="73019A85"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1F91C8D8" w14:textId="77777777" w:rsidR="00CD4AFF" w:rsidRPr="007C3BF1" w:rsidRDefault="00CD4AFF" w:rsidP="00CD4AFF">
      <w:pPr>
        <w:spacing w:after="120"/>
        <w:ind w:left="2268" w:right="1134" w:hanging="1134"/>
        <w:jc w:val="both"/>
      </w:pPr>
      <w:r w:rsidRPr="007C3BF1">
        <w:lastRenderedPageBreak/>
        <w:t>No ONU 2015</w:t>
      </w:r>
      <w:r>
        <w:tab/>
        <w:t xml:space="preserve">Pour la </w:t>
      </w:r>
      <w:r w:rsidRPr="007C3BF1">
        <w:t>première rubrique, dans la colonne (2), au début du nom et de la description, ajouter « PEROXYDE D’HYDROGÈNE STABILISÉ ou ».</w:t>
      </w:r>
    </w:p>
    <w:p w14:paraId="36D2C8EE"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4F7330B8" w14:textId="77777777" w:rsidR="00CD4AFF" w:rsidRPr="007C3BF1" w:rsidRDefault="00CD4AFF" w:rsidP="00CD4AFF">
      <w:pPr>
        <w:spacing w:after="120"/>
        <w:ind w:left="2268" w:right="1134" w:hanging="1134"/>
        <w:jc w:val="both"/>
      </w:pPr>
      <w:r w:rsidRPr="007C3BF1">
        <w:t>No ONU 3509</w:t>
      </w:r>
      <w:r>
        <w:tab/>
        <w:t>D</w:t>
      </w:r>
      <w:r w:rsidRPr="007C3BF1">
        <w:t>ans la colonne (17), ajouter « VC1 ».</w:t>
      </w:r>
    </w:p>
    <w:p w14:paraId="1120F004"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37A495E1" w14:textId="77777777" w:rsidR="00CD4AFF" w:rsidRPr="007C3BF1" w:rsidRDefault="00CD4AFF" w:rsidP="00CD4AFF">
      <w:pPr>
        <w:spacing w:after="120"/>
        <w:ind w:left="2268" w:right="1134" w:hanging="1134"/>
        <w:jc w:val="both"/>
      </w:pPr>
      <w:r w:rsidRPr="007C3BF1">
        <w:t>No ONU 3536</w:t>
      </w:r>
      <w:r>
        <w:tab/>
        <w:t>D</w:t>
      </w:r>
      <w:r w:rsidRPr="007C3BF1">
        <w:t>ans la colonne (15), dans la partie supérieure de la cellule, remplacer « - » par « 2 ».</w:t>
      </w:r>
    </w:p>
    <w:p w14:paraId="4016BD11"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43601755" w14:textId="77777777" w:rsidR="00CD4AFF" w:rsidRPr="007C3BF1" w:rsidRDefault="00CD4AFF" w:rsidP="00CD4AFF">
      <w:pPr>
        <w:pStyle w:val="H1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 xml:space="preserve">Chapitre 3.2, </w:t>
      </w:r>
      <w:r w:rsidRPr="00A04879">
        <w:t>tableau</w:t>
      </w:r>
      <w:r w:rsidRPr="007C3BF1">
        <w:rPr>
          <w:rFonts w:asciiTheme="majorBidi" w:hAnsiTheme="majorBidi" w:cstheme="majorBidi"/>
        </w:rPr>
        <w:t xml:space="preserve"> B</w:t>
      </w:r>
    </w:p>
    <w:p w14:paraId="586BEFC5" w14:textId="77777777" w:rsidR="00CD4AFF" w:rsidRPr="007C3BF1" w:rsidRDefault="00CD4AFF" w:rsidP="00CD4AFF">
      <w:pPr>
        <w:spacing w:after="120"/>
        <w:ind w:left="2268" w:right="1134" w:hanging="1134"/>
        <w:jc w:val="both"/>
      </w:pPr>
      <w:r w:rsidRPr="007C3BF1">
        <w:t>Pour « CHUTES DE CAOUTCHOUC, sous forme de poudre ou de grains », modifier le nom et la description dans la première colonne pour lire comme suit :</w:t>
      </w:r>
    </w:p>
    <w:p w14:paraId="3FDA34E1" w14:textId="77777777" w:rsidR="00CD4AFF" w:rsidRPr="007C3BF1" w:rsidRDefault="00CD4AFF" w:rsidP="00CD4AFF">
      <w:pPr>
        <w:spacing w:after="120"/>
        <w:ind w:left="1134" w:right="1134"/>
        <w:jc w:val="both"/>
      </w:pPr>
      <w:r w:rsidRPr="007C3BF1">
        <w:t>« CHUTES DE CAOUTCHOUC, sous forme de poudre ou de grains, dont l’indice granulométrique ne dépasse pas 840 microns et avec une teneur en caoutchouc supérieure à 45 %. ».</w:t>
      </w:r>
    </w:p>
    <w:p w14:paraId="312B6D30"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6A088EEB" w14:textId="77777777" w:rsidR="00CD4AFF" w:rsidRPr="007C3BF1" w:rsidRDefault="00CD4AFF" w:rsidP="00CD4AFF">
      <w:pPr>
        <w:spacing w:after="120"/>
        <w:ind w:left="2268" w:right="1134" w:hanging="1134"/>
        <w:jc w:val="both"/>
      </w:pPr>
      <w:r w:rsidRPr="007C3BF1">
        <w:t>Pour « Caoutchouc, chutes ou déchets de, sous forme de poudre ou de grains, voir », modifier le nom et la description dans la première colonne pour lire comme suit :</w:t>
      </w:r>
    </w:p>
    <w:p w14:paraId="655FCE52" w14:textId="77777777" w:rsidR="00CD4AFF" w:rsidRPr="007C3BF1" w:rsidRDefault="00CD4AFF" w:rsidP="00CD4AFF">
      <w:pPr>
        <w:spacing w:after="120"/>
        <w:ind w:left="1134" w:right="1134"/>
        <w:jc w:val="both"/>
      </w:pPr>
      <w:r w:rsidRPr="007C3BF1">
        <w:t>« Caoutchouc, chutes de, sous forme de poudre ou de grains, dont l'indice granulométrique ne dépasse pas 840 microns et avec une teneur en caoutchouc supérieure à 45 %, voir ».</w:t>
      </w:r>
    </w:p>
    <w:p w14:paraId="277B10C8"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373F9F33" w14:textId="77777777" w:rsidR="00CD4AFF" w:rsidRPr="007C3BF1" w:rsidRDefault="00CD4AFF" w:rsidP="00CD4AFF">
      <w:pPr>
        <w:spacing w:after="120"/>
        <w:ind w:left="2268" w:right="1134" w:hanging="1134"/>
        <w:jc w:val="both"/>
      </w:pPr>
      <w:r w:rsidRPr="007C3BF1">
        <w:t>Pour « Caoutchouc, déchets de, sous forme de poudre ou de grains, voir », modifier le nom et la description dans la première colonne pour lire comme suit :</w:t>
      </w:r>
    </w:p>
    <w:p w14:paraId="1ECB3980" w14:textId="77777777" w:rsidR="00CD4AFF" w:rsidRPr="007C3BF1" w:rsidRDefault="00CD4AFF" w:rsidP="00CD4AFF">
      <w:pPr>
        <w:spacing w:after="120"/>
        <w:ind w:left="1134" w:right="1134"/>
        <w:jc w:val="both"/>
      </w:pPr>
      <w:r w:rsidRPr="007C3BF1">
        <w:t>« Caoutchouc, déchets de, sous forme de poudre ou de grains, dont l'indice granulométrique ne dépasse pas 840 microns et avec une teneur en caoutchouc supérieure à 45 %, voir ».</w:t>
      </w:r>
    </w:p>
    <w:p w14:paraId="7569B266"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72EDD728" w14:textId="77777777" w:rsidR="00CD4AFF" w:rsidRPr="007C3BF1" w:rsidRDefault="00CD4AFF" w:rsidP="00CD4AFF">
      <w:pPr>
        <w:spacing w:after="120"/>
        <w:ind w:left="2268" w:right="1134" w:hanging="1134"/>
        <w:jc w:val="both"/>
      </w:pPr>
      <w:r w:rsidRPr="007C3BF1">
        <w:t>Pour « DÉCHETS DE CAOUTCHOUC, sous forme de poudre ou de grains », modifier le nom et la description dans la première colonne pour lire comme suit :</w:t>
      </w:r>
    </w:p>
    <w:p w14:paraId="29640D26" w14:textId="77777777" w:rsidR="00CD4AFF" w:rsidRPr="007C3BF1" w:rsidRDefault="00CD4AFF" w:rsidP="00CD4AFF">
      <w:pPr>
        <w:spacing w:after="120"/>
        <w:ind w:left="1134" w:right="1134"/>
        <w:jc w:val="both"/>
      </w:pPr>
      <w:r w:rsidRPr="007C3BF1">
        <w:t>« DÉCHETS DE CAOUTCHOUC, sous forme de poudre ou de grains, dont l’indice granulométrique ne dépasse pas 840 microns et avec une teneur en caoutchouc supérieure à 45 %. »</w:t>
      </w:r>
    </w:p>
    <w:p w14:paraId="7E5928C4"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3D7DEFB9" w14:textId="77777777" w:rsidR="00CD4AFF" w:rsidRPr="007C3BF1" w:rsidRDefault="00CD4AFF" w:rsidP="00CD4AFF">
      <w:pPr>
        <w:keepNext/>
        <w:spacing w:after="120"/>
        <w:ind w:left="1134" w:right="1134"/>
        <w:jc w:val="both"/>
      </w:pPr>
      <w:r w:rsidRPr="007C3BF1">
        <w:t xml:space="preserve">Ajouter la </w:t>
      </w:r>
      <w:r w:rsidRPr="007C3BF1">
        <w:rPr>
          <w:snapToGrid w:val="0"/>
          <w:szCs w:val="24"/>
        </w:rPr>
        <w:t>nouvelle</w:t>
      </w:r>
      <w:r w:rsidRPr="007C3BF1">
        <w:t xml:space="preserve"> rubrique suivante </w:t>
      </w:r>
      <w:r w:rsidRPr="007C3BF1">
        <w:rPr>
          <w:iCs/>
        </w:rPr>
        <w:t>dans l’ordre alphabétique</w:t>
      </w:r>
      <w:r w:rsidRPr="007C3BF1">
        <w:t> :</w:t>
      </w:r>
    </w:p>
    <w:tbl>
      <w:tblPr>
        <w:tblW w:w="804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709"/>
        <w:gridCol w:w="851"/>
        <w:gridCol w:w="1100"/>
      </w:tblGrid>
      <w:tr w:rsidR="00CD4AFF" w:rsidRPr="007C3BF1" w14:paraId="632441A3" w14:textId="77777777" w:rsidTr="00B03A5F">
        <w:trPr>
          <w:cantSplit/>
          <w:tblHeader/>
        </w:trPr>
        <w:tc>
          <w:tcPr>
            <w:tcW w:w="5386" w:type="dxa"/>
          </w:tcPr>
          <w:p w14:paraId="23626440" w14:textId="77777777" w:rsidR="00CD4AFF" w:rsidRPr="007C3BF1" w:rsidRDefault="00CD4AFF" w:rsidP="00B03A5F">
            <w:pPr>
              <w:keepNext/>
              <w:widowControl w:val="0"/>
              <w:tabs>
                <w:tab w:val="left" w:pos="1985"/>
              </w:tabs>
              <w:rPr>
                <w:rFonts w:cs="Arial"/>
                <w:b/>
              </w:rPr>
            </w:pPr>
            <w:r w:rsidRPr="007C3BF1">
              <w:rPr>
                <w:rFonts w:cs="Arial"/>
                <w:b/>
              </w:rPr>
              <w:t>Nom et description</w:t>
            </w:r>
          </w:p>
        </w:tc>
        <w:tc>
          <w:tcPr>
            <w:tcW w:w="709" w:type="dxa"/>
          </w:tcPr>
          <w:p w14:paraId="10ACAF23" w14:textId="77777777" w:rsidR="00CD4AFF" w:rsidRPr="007C3BF1" w:rsidRDefault="00CD4AFF" w:rsidP="00B03A5F">
            <w:pPr>
              <w:keepNext/>
              <w:widowControl w:val="0"/>
              <w:tabs>
                <w:tab w:val="left" w:pos="1985"/>
              </w:tabs>
              <w:rPr>
                <w:rFonts w:cs="Arial"/>
                <w:b/>
              </w:rPr>
            </w:pPr>
            <w:r w:rsidRPr="007C3BF1">
              <w:rPr>
                <w:rFonts w:cs="Arial"/>
                <w:b/>
              </w:rPr>
              <w:t>No ONU</w:t>
            </w:r>
          </w:p>
        </w:tc>
        <w:tc>
          <w:tcPr>
            <w:tcW w:w="851" w:type="dxa"/>
          </w:tcPr>
          <w:p w14:paraId="4BC79AEB" w14:textId="77777777" w:rsidR="00CD4AFF" w:rsidRPr="007C3BF1" w:rsidRDefault="00CD4AFF" w:rsidP="00B03A5F">
            <w:pPr>
              <w:keepNext/>
              <w:widowControl w:val="0"/>
              <w:tabs>
                <w:tab w:val="left" w:pos="1985"/>
              </w:tabs>
              <w:rPr>
                <w:rFonts w:cs="Arial"/>
                <w:b/>
              </w:rPr>
            </w:pPr>
            <w:r w:rsidRPr="007C3BF1">
              <w:rPr>
                <w:rFonts w:cs="Arial"/>
                <w:b/>
              </w:rPr>
              <w:t>Classe</w:t>
            </w:r>
          </w:p>
        </w:tc>
        <w:tc>
          <w:tcPr>
            <w:tcW w:w="1100" w:type="dxa"/>
          </w:tcPr>
          <w:p w14:paraId="438F14F8" w14:textId="77777777" w:rsidR="00CD4AFF" w:rsidRPr="007C3BF1" w:rsidRDefault="00CD4AFF" w:rsidP="00B03A5F">
            <w:pPr>
              <w:keepNext/>
              <w:widowControl w:val="0"/>
              <w:tabs>
                <w:tab w:val="left" w:pos="1985"/>
              </w:tabs>
              <w:rPr>
                <w:rFonts w:cs="Arial"/>
                <w:b/>
              </w:rPr>
            </w:pPr>
            <w:r w:rsidRPr="007C3BF1">
              <w:rPr>
                <w:rFonts w:cs="Arial"/>
                <w:b/>
              </w:rPr>
              <w:t>Note</w:t>
            </w:r>
          </w:p>
        </w:tc>
      </w:tr>
      <w:tr w:rsidR="00CD4AFF" w:rsidRPr="007C3BF1" w14:paraId="1E635947" w14:textId="77777777" w:rsidTr="00B03A5F">
        <w:trPr>
          <w:cantSplit/>
        </w:trPr>
        <w:tc>
          <w:tcPr>
            <w:tcW w:w="5386" w:type="dxa"/>
          </w:tcPr>
          <w:p w14:paraId="00F6F85D" w14:textId="77777777" w:rsidR="00CD4AFF" w:rsidRPr="007C3BF1" w:rsidRDefault="00CD4AFF" w:rsidP="00B03A5F">
            <w:pPr>
              <w:keepNext/>
              <w:tabs>
                <w:tab w:val="left" w:pos="1418"/>
                <w:tab w:val="left" w:pos="1701"/>
                <w:tab w:val="left" w:pos="1985"/>
                <w:tab w:val="left" w:pos="2268"/>
              </w:tabs>
            </w:pPr>
            <w:r w:rsidRPr="007C3BF1">
              <w:t>PEROXYDE D’HYDROGÈNE STABILISÉ</w:t>
            </w:r>
          </w:p>
        </w:tc>
        <w:tc>
          <w:tcPr>
            <w:tcW w:w="709" w:type="dxa"/>
          </w:tcPr>
          <w:p w14:paraId="1DA2BBB6" w14:textId="77777777" w:rsidR="00CD4AFF" w:rsidRPr="007C3BF1" w:rsidRDefault="00CD4AFF" w:rsidP="00B03A5F">
            <w:pPr>
              <w:keepNext/>
              <w:spacing w:after="120"/>
              <w:ind w:left="284" w:hanging="284"/>
              <w:jc w:val="center"/>
            </w:pPr>
            <w:r w:rsidRPr="007C3BF1">
              <w:t>2015</w:t>
            </w:r>
          </w:p>
        </w:tc>
        <w:tc>
          <w:tcPr>
            <w:tcW w:w="851" w:type="dxa"/>
          </w:tcPr>
          <w:p w14:paraId="07080A3E" w14:textId="77777777" w:rsidR="00CD4AFF" w:rsidRPr="007C3BF1" w:rsidRDefault="00CD4AFF" w:rsidP="00B03A5F">
            <w:pPr>
              <w:keepNext/>
              <w:widowControl w:val="0"/>
              <w:tabs>
                <w:tab w:val="left" w:pos="1985"/>
              </w:tabs>
              <w:spacing w:after="240"/>
              <w:rPr>
                <w:rFonts w:cs="Arial"/>
              </w:rPr>
            </w:pPr>
            <w:r w:rsidRPr="007C3BF1">
              <w:rPr>
                <w:rFonts w:cs="Arial"/>
              </w:rPr>
              <w:t>5.1</w:t>
            </w:r>
          </w:p>
        </w:tc>
        <w:tc>
          <w:tcPr>
            <w:tcW w:w="1100" w:type="dxa"/>
          </w:tcPr>
          <w:p w14:paraId="5A7D9253" w14:textId="77777777" w:rsidR="00CD4AFF" w:rsidRPr="007C3BF1" w:rsidRDefault="00CD4AFF" w:rsidP="00B03A5F">
            <w:pPr>
              <w:keepNext/>
              <w:widowControl w:val="0"/>
              <w:tabs>
                <w:tab w:val="left" w:pos="1985"/>
              </w:tabs>
              <w:spacing w:after="240"/>
              <w:rPr>
                <w:rFonts w:cs="Arial"/>
              </w:rPr>
            </w:pPr>
          </w:p>
        </w:tc>
      </w:tr>
    </w:tbl>
    <w:p w14:paraId="6464AFCA" w14:textId="77777777" w:rsidR="00CD4AFF" w:rsidRPr="00EE008F" w:rsidRDefault="00CD4AFF" w:rsidP="00CD4AFF">
      <w:pPr>
        <w:pStyle w:val="SingleTxtG"/>
        <w:spacing w:before="120"/>
        <w:rPr>
          <w:i/>
        </w:rPr>
      </w:pPr>
      <w:r w:rsidRPr="00EE008F">
        <w:rPr>
          <w:i/>
        </w:rPr>
        <w:t>(Document de référence : document informel INF.</w:t>
      </w:r>
      <w:r>
        <w:rPr>
          <w:i/>
        </w:rPr>
        <w:t>8</w:t>
      </w:r>
      <w:r w:rsidRPr="00EE008F">
        <w:rPr>
          <w:i/>
        </w:rPr>
        <w:t>)</w:t>
      </w:r>
    </w:p>
    <w:p w14:paraId="05B8BEAA" w14:textId="77777777" w:rsidR="00CD4AFF" w:rsidRPr="007C3BF1" w:rsidRDefault="00CD4AFF" w:rsidP="00CD4AFF">
      <w:pPr>
        <w:pStyle w:val="H1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r>
      <w:r w:rsidRPr="00A04879">
        <w:t>Chapitre</w:t>
      </w:r>
      <w:r w:rsidRPr="007C3BF1">
        <w:rPr>
          <w:rFonts w:asciiTheme="majorBidi" w:hAnsiTheme="majorBidi" w:cstheme="majorBidi"/>
        </w:rPr>
        <w:t xml:space="preserve"> 3.3</w:t>
      </w:r>
    </w:p>
    <w:p w14:paraId="1B7730EA" w14:textId="77777777" w:rsidR="00CD4AFF" w:rsidRPr="007C3BF1" w:rsidRDefault="00CD4AFF" w:rsidP="00CD4AFF">
      <w:pPr>
        <w:spacing w:after="120"/>
        <w:ind w:left="1134" w:right="1134"/>
        <w:jc w:val="both"/>
      </w:pPr>
      <w:r w:rsidRPr="007C3BF1">
        <w:t>DS 389</w:t>
      </w:r>
      <w:r w:rsidRPr="007C3BF1">
        <w:tab/>
        <w:t>Au début de la dernière phrase, ajouter « Sauf dans les cas prévus au 1.1.3.6, ».</w:t>
      </w:r>
    </w:p>
    <w:p w14:paraId="469C3A7A"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727C405F" w14:textId="77777777" w:rsidR="00CD4AFF" w:rsidRPr="007C3BF1" w:rsidRDefault="00CD4AFF" w:rsidP="00CD4AFF">
      <w:pPr>
        <w:spacing w:after="120"/>
        <w:ind w:left="1134" w:right="1134"/>
        <w:jc w:val="both"/>
      </w:pPr>
      <w:r w:rsidRPr="007C3BF1">
        <w:t>DS 591</w:t>
      </w:r>
      <w:r w:rsidRPr="007C3BF1">
        <w:tab/>
        <w:t>Après « aux prescriptions », insérer « de la classe 8 ».</w:t>
      </w:r>
    </w:p>
    <w:p w14:paraId="23BE657D"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5A483251" w14:textId="77777777" w:rsidR="00CD4AFF" w:rsidRPr="007C3BF1" w:rsidRDefault="00CD4AFF" w:rsidP="00CD4AFF">
      <w:pPr>
        <w:spacing w:after="120"/>
        <w:ind w:left="1134" w:right="1134"/>
        <w:jc w:val="both"/>
      </w:pPr>
      <w:r w:rsidRPr="007C3BF1">
        <w:lastRenderedPageBreak/>
        <w:t>DS 642</w:t>
      </w:r>
      <w:r w:rsidRPr="007C3BF1">
        <w:tab/>
        <w:t>Ajouter la phrase suivante à la fin :</w:t>
      </w:r>
    </w:p>
    <w:p w14:paraId="1EBF3953" w14:textId="77777777" w:rsidR="00CD4AFF" w:rsidRPr="007C3BF1" w:rsidRDefault="00CD4AFF" w:rsidP="00CD4AFF">
      <w:pPr>
        <w:spacing w:after="120"/>
        <w:ind w:left="1134" w:right="1134"/>
        <w:jc w:val="both"/>
      </w:pPr>
      <w:r w:rsidRPr="007C3BF1">
        <w:t>« Dans les autres cas, pour le transport de l’ammoniac en solution, voir les Nos ONU 2073, 2672 et 3318. ».</w:t>
      </w:r>
    </w:p>
    <w:p w14:paraId="2906EE36"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09ED44EB" w14:textId="77777777" w:rsidR="00CD4AFF" w:rsidRPr="007C3BF1" w:rsidRDefault="00CD4AFF" w:rsidP="00CD4AFF">
      <w:pPr>
        <w:spacing w:after="120"/>
        <w:ind w:left="2259" w:right="1134" w:hanging="1125"/>
        <w:jc w:val="both"/>
      </w:pPr>
      <w:r w:rsidRPr="007C3BF1">
        <w:t>DS 663</w:t>
      </w:r>
      <w:r w:rsidRPr="007C3BF1">
        <w:tab/>
        <w:t>Modifier le premier paragraphe sous « </w:t>
      </w:r>
      <w:r w:rsidRPr="007C3BF1">
        <w:rPr>
          <w:u w:val="single"/>
        </w:rPr>
        <w:t>Dispositions générales :</w:t>
      </w:r>
      <w:r w:rsidRPr="007C3BF1">
        <w:t> » pour lire comme suit :</w:t>
      </w:r>
    </w:p>
    <w:p w14:paraId="6E79A0CB" w14:textId="77777777" w:rsidR="00CD4AFF" w:rsidRPr="007C3BF1" w:rsidRDefault="00CD4AFF" w:rsidP="00CD4AFF">
      <w:pPr>
        <w:spacing w:after="120"/>
        <w:ind w:left="1134" w:right="1134"/>
        <w:jc w:val="both"/>
      </w:pPr>
      <w:r w:rsidRPr="007C3BF1">
        <w:t>« Les emballages mis au rebut, vides, non nettoyés, souillés de résidus qui présentent un danger principal ou subsidiaire de classe 5.1 ne doivent pas être chargés en vrac en même temps que des emballages mis au rebut, vides, non nettoyés, souillés de résidus qui présentent un danger d’une autre classe. Les emballages mis au rebut, vides, non nettoyés, souillés de résidus qui présentent un danger principal ou subsidiaire de classe 5.1 ne doivent pas être emballés dans le même emballage extérieur que d’autres emballages mis au rebut, vides, non nettoyés, souillés de résidus qui présentent un danger d’une autre classe. »</w:t>
      </w:r>
    </w:p>
    <w:p w14:paraId="4B1A7924"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51A63B69" w14:textId="77777777" w:rsidR="00CD4AFF" w:rsidRPr="007C3BF1" w:rsidRDefault="00CD4AFF" w:rsidP="00CD4AFF">
      <w:pPr>
        <w:pStyle w:val="H1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4.1</w:t>
      </w:r>
    </w:p>
    <w:p w14:paraId="7142031C" w14:textId="77777777" w:rsidR="00CD4AFF" w:rsidRPr="007C3BF1" w:rsidRDefault="00CD4AFF" w:rsidP="00CD4AFF">
      <w:pPr>
        <w:spacing w:after="120"/>
        <w:ind w:left="2268" w:right="1134" w:hanging="1134"/>
        <w:jc w:val="both"/>
      </w:pPr>
      <w:r w:rsidRPr="007C3BF1">
        <w:t>4.1.4.1, P200 (13)</w:t>
      </w:r>
      <w:r w:rsidRPr="007C3BF1">
        <w:tab/>
        <w:t>Au 2.4, remplacer « EN ISO 11114-1:2012 » par « EN ISO 11114-1:2020 ».</w:t>
      </w:r>
    </w:p>
    <w:p w14:paraId="0C7E2C75"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5F7C2B8A" w14:textId="77777777" w:rsidR="00CD4AFF" w:rsidRPr="007C3BF1" w:rsidRDefault="00CD4AFF" w:rsidP="00CD4AFF">
      <w:pPr>
        <w:spacing w:after="120"/>
        <w:ind w:left="1134" w:right="1134"/>
        <w:jc w:val="both"/>
        <w:rPr>
          <w:bCs/>
        </w:rPr>
      </w:pPr>
      <w:r w:rsidRPr="007C3BF1">
        <w:rPr>
          <w:bCs/>
        </w:rPr>
        <w:t>4.1.6.15</w:t>
      </w:r>
      <w:r w:rsidRPr="007C3BF1">
        <w:rPr>
          <w:bCs/>
        </w:rPr>
        <w:tab/>
        <w:t>Modifier pour lire comme suit :</w:t>
      </w:r>
    </w:p>
    <w:p w14:paraId="399F3F53" w14:textId="77777777" w:rsidR="00CD4AFF" w:rsidRPr="007C3BF1" w:rsidRDefault="00CD4AFF" w:rsidP="00CD4AFF">
      <w:pPr>
        <w:spacing w:after="120"/>
        <w:ind w:left="1134" w:right="1134"/>
        <w:jc w:val="both"/>
        <w:rPr>
          <w:bCs/>
        </w:rPr>
      </w:pPr>
      <w:r w:rsidRPr="007C3BF1">
        <w:rPr>
          <w:bCs/>
        </w:rPr>
        <w:t>« 4.1.6.15</w:t>
      </w:r>
      <w:r w:rsidRPr="007C3BF1">
        <w:rPr>
          <w:bCs/>
        </w:rPr>
        <w:tab/>
        <w:t>Pour les récipients à pression « UN », les normes ISO et EN ISO énumérées dans le tableau 1, à l’exception des normes EN ISO 14245 et EN ISO 15995, doivent être appliquées. Pour savoir quelle norme doit être utilisée au moment de la fabrication de l’équipement, voir le 6.2.2.3.</w:t>
      </w:r>
    </w:p>
    <w:p w14:paraId="2D4D2619" w14:textId="77777777" w:rsidR="00CD4AFF" w:rsidRPr="007C3BF1" w:rsidRDefault="00CD4AFF" w:rsidP="00CD4AFF">
      <w:pPr>
        <w:spacing w:after="120"/>
        <w:ind w:left="1134" w:right="1134"/>
        <w:jc w:val="both"/>
        <w:rPr>
          <w:bCs/>
        </w:rPr>
      </w:pPr>
      <w:r w:rsidRPr="007C3BF1">
        <w:rPr>
          <w:bCs/>
        </w:rPr>
        <w:t>Pour les autres récipients à pression, les dispositions de la section 4.1.6 sont réputées satisfaites si les normes appropriées du tableau 1 sont appliquées. Pour savoir quelles normes doivent être utilisées pour la fabrication des robinets munis d’une protection intégrée, voir le 6.2.4.1. Pour toute information sur l’applicabilité des normes pour la fabrication des chapeaux fermés et des chapeaux ouverts de protection des robinets, voir le tableau 2 :</w:t>
      </w:r>
    </w:p>
    <w:p w14:paraId="03BB69D9" w14:textId="77777777" w:rsidR="00CD4AFF" w:rsidRPr="007C3BF1" w:rsidRDefault="00CD4AFF" w:rsidP="00CD4AFF">
      <w:pPr>
        <w:spacing w:after="120"/>
        <w:ind w:left="1134" w:right="1134"/>
        <w:jc w:val="center"/>
        <w:rPr>
          <w:bCs/>
        </w:rPr>
      </w:pPr>
      <w:r w:rsidRPr="007C3BF1">
        <w:rPr>
          <w:bCs/>
        </w:rPr>
        <w:t>Tableau 1 : Normes pour les récipients à pression « UN » et « non UN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13"/>
        <w:gridCol w:w="3476"/>
      </w:tblGrid>
      <w:tr w:rsidR="00CD4AFF" w:rsidRPr="007C3BF1" w14:paraId="08BD18C4" w14:textId="77777777" w:rsidTr="00B03A5F">
        <w:tc>
          <w:tcPr>
            <w:tcW w:w="1281" w:type="dxa"/>
            <w:shd w:val="clear" w:color="auto" w:fill="auto"/>
            <w:vAlign w:val="center"/>
          </w:tcPr>
          <w:p w14:paraId="47D8585D" w14:textId="77777777" w:rsidR="00CD4AFF" w:rsidRPr="007C3BF1" w:rsidRDefault="00CD4AFF" w:rsidP="00B03A5F">
            <w:pPr>
              <w:spacing w:before="60" w:after="60" w:line="240" w:lineRule="auto"/>
              <w:ind w:left="57" w:right="57"/>
              <w:jc w:val="center"/>
              <w:rPr>
                <w:b/>
              </w:rPr>
            </w:pPr>
            <w:r w:rsidRPr="007C3BF1">
              <w:rPr>
                <w:b/>
                <w:sz w:val="18"/>
              </w:rPr>
              <w:t>Paragraphes applicables</w:t>
            </w:r>
          </w:p>
        </w:tc>
        <w:tc>
          <w:tcPr>
            <w:tcW w:w="2613" w:type="dxa"/>
            <w:shd w:val="clear" w:color="auto" w:fill="auto"/>
            <w:vAlign w:val="center"/>
          </w:tcPr>
          <w:p w14:paraId="51C2B9E8" w14:textId="77777777" w:rsidR="00CD4AFF" w:rsidRPr="007C3BF1" w:rsidRDefault="00CD4AFF" w:rsidP="00B03A5F">
            <w:pPr>
              <w:tabs>
                <w:tab w:val="left" w:pos="1418"/>
                <w:tab w:val="left" w:pos="2977"/>
                <w:tab w:val="left" w:pos="4395"/>
              </w:tabs>
              <w:spacing w:before="60" w:after="60" w:line="240" w:lineRule="auto"/>
              <w:ind w:left="57" w:right="57"/>
              <w:jc w:val="center"/>
              <w:rPr>
                <w:rFonts w:cs="Arial"/>
                <w:sz w:val="18"/>
                <w:szCs w:val="18"/>
              </w:rPr>
            </w:pPr>
            <w:r w:rsidRPr="007C3BF1">
              <w:rPr>
                <w:b/>
                <w:bCs/>
                <w:sz w:val="18"/>
                <w:szCs w:val="18"/>
              </w:rPr>
              <w:t>Référence</w:t>
            </w:r>
          </w:p>
        </w:tc>
        <w:tc>
          <w:tcPr>
            <w:tcW w:w="3476" w:type="dxa"/>
            <w:shd w:val="clear" w:color="auto" w:fill="auto"/>
            <w:vAlign w:val="center"/>
          </w:tcPr>
          <w:p w14:paraId="3662D61E" w14:textId="77777777" w:rsidR="00CD4AFF" w:rsidRPr="007C3BF1" w:rsidRDefault="00CD4AFF" w:rsidP="00B03A5F">
            <w:pPr>
              <w:tabs>
                <w:tab w:val="left" w:pos="1418"/>
                <w:tab w:val="left" w:pos="2977"/>
                <w:tab w:val="left" w:pos="4395"/>
              </w:tabs>
              <w:spacing w:before="60" w:after="60" w:line="240" w:lineRule="auto"/>
              <w:ind w:left="57" w:right="57"/>
              <w:jc w:val="center"/>
              <w:rPr>
                <w:rFonts w:cs="Arial"/>
                <w:b/>
                <w:sz w:val="18"/>
                <w:szCs w:val="18"/>
                <w:u w:val="single"/>
              </w:rPr>
            </w:pPr>
            <w:r w:rsidRPr="007C3BF1">
              <w:rPr>
                <w:b/>
                <w:bCs/>
                <w:sz w:val="18"/>
                <w:szCs w:val="18"/>
              </w:rPr>
              <w:t>Titre du document</w:t>
            </w:r>
          </w:p>
        </w:tc>
      </w:tr>
      <w:tr w:rsidR="00CD4AFF" w:rsidRPr="007C3BF1" w14:paraId="77F0A0F5" w14:textId="77777777" w:rsidTr="00B03A5F">
        <w:tc>
          <w:tcPr>
            <w:tcW w:w="1281" w:type="dxa"/>
            <w:vMerge w:val="restart"/>
            <w:shd w:val="clear" w:color="auto" w:fill="auto"/>
          </w:tcPr>
          <w:p w14:paraId="596BBED7" w14:textId="77777777" w:rsidR="00CD4AFF" w:rsidRPr="007C3BF1" w:rsidRDefault="00CD4AFF" w:rsidP="00B03A5F">
            <w:pPr>
              <w:tabs>
                <w:tab w:val="left" w:pos="1418"/>
                <w:tab w:val="left" w:pos="2977"/>
                <w:tab w:val="left" w:pos="4395"/>
              </w:tabs>
              <w:spacing w:before="40" w:after="40" w:line="240" w:lineRule="auto"/>
              <w:ind w:left="57" w:right="57"/>
              <w:rPr>
                <w:rFonts w:cs="Arial"/>
              </w:rPr>
            </w:pPr>
            <w:r w:rsidRPr="007C3BF1">
              <w:rPr>
                <w:sz w:val="18"/>
                <w:szCs w:val="18"/>
              </w:rPr>
              <w:t>4.1.6.2</w:t>
            </w:r>
          </w:p>
        </w:tc>
        <w:tc>
          <w:tcPr>
            <w:tcW w:w="2613" w:type="dxa"/>
            <w:shd w:val="clear" w:color="auto" w:fill="auto"/>
          </w:tcPr>
          <w:p w14:paraId="15851B52" w14:textId="77777777" w:rsidR="00CD4AFF" w:rsidRPr="007C3BF1" w:rsidRDefault="00CD4AFF" w:rsidP="00B03A5F">
            <w:pPr>
              <w:spacing w:before="40" w:after="40" w:line="240" w:lineRule="auto"/>
              <w:ind w:left="57" w:right="57"/>
              <w:rPr>
                <w:rFonts w:cs="Arial"/>
              </w:rPr>
            </w:pPr>
            <w:r w:rsidRPr="007C3BF1">
              <w:rPr>
                <w:sz w:val="18"/>
                <w:szCs w:val="18"/>
              </w:rPr>
              <w:t>EN ISO 11114-1:2020</w:t>
            </w:r>
          </w:p>
        </w:tc>
        <w:tc>
          <w:tcPr>
            <w:tcW w:w="3476" w:type="dxa"/>
            <w:shd w:val="clear" w:color="auto" w:fill="auto"/>
          </w:tcPr>
          <w:p w14:paraId="2E75CAC5" w14:textId="77777777" w:rsidR="00CD4AFF" w:rsidRPr="007C3BF1" w:rsidRDefault="00CD4AFF" w:rsidP="00B03A5F">
            <w:pPr>
              <w:spacing w:before="40" w:after="40" w:line="240" w:lineRule="auto"/>
              <w:ind w:left="57" w:right="57"/>
              <w:rPr>
                <w:rFonts w:cs="Arial"/>
                <w:sz w:val="18"/>
                <w:szCs w:val="18"/>
                <w:u w:val="single"/>
              </w:rPr>
            </w:pPr>
            <w:r w:rsidRPr="007C3BF1">
              <w:rPr>
                <w:sz w:val="18"/>
                <w:szCs w:val="18"/>
              </w:rPr>
              <w:t>Bouteilles à gaz − Compatibilité des matériaux des bouteilles et des robinets avec les contenus gazeux − Partie 1 : Matériaux métalliques</w:t>
            </w:r>
          </w:p>
        </w:tc>
      </w:tr>
      <w:tr w:rsidR="00CD4AFF" w:rsidRPr="007C3BF1" w14:paraId="42ED2FB8" w14:textId="77777777" w:rsidTr="00B03A5F">
        <w:tc>
          <w:tcPr>
            <w:tcW w:w="1281" w:type="dxa"/>
            <w:vMerge/>
            <w:tcBorders>
              <w:bottom w:val="single" w:sz="2" w:space="0" w:color="auto"/>
            </w:tcBorders>
            <w:shd w:val="clear" w:color="auto" w:fill="auto"/>
          </w:tcPr>
          <w:p w14:paraId="655BDC73" w14:textId="77777777" w:rsidR="00CD4AFF" w:rsidRPr="007C3BF1" w:rsidRDefault="00CD4AFF" w:rsidP="00B03A5F">
            <w:pPr>
              <w:tabs>
                <w:tab w:val="left" w:pos="1418"/>
                <w:tab w:val="left" w:pos="2977"/>
                <w:tab w:val="left" w:pos="4395"/>
              </w:tabs>
              <w:spacing w:before="40" w:after="40" w:line="240" w:lineRule="auto"/>
              <w:ind w:left="57" w:right="57"/>
              <w:rPr>
                <w:rFonts w:cs="Arial"/>
              </w:rPr>
            </w:pPr>
          </w:p>
        </w:tc>
        <w:tc>
          <w:tcPr>
            <w:tcW w:w="2613" w:type="dxa"/>
            <w:tcBorders>
              <w:bottom w:val="single" w:sz="2" w:space="0" w:color="auto"/>
            </w:tcBorders>
            <w:shd w:val="clear" w:color="auto" w:fill="auto"/>
          </w:tcPr>
          <w:p w14:paraId="102514F3" w14:textId="77777777" w:rsidR="00CD4AFF" w:rsidRPr="007C3BF1" w:rsidRDefault="00CD4AFF" w:rsidP="00B03A5F">
            <w:pPr>
              <w:spacing w:before="40" w:after="40" w:line="240" w:lineRule="auto"/>
              <w:ind w:left="57" w:right="57"/>
              <w:rPr>
                <w:rFonts w:cs="Arial"/>
              </w:rPr>
            </w:pPr>
            <w:r w:rsidRPr="007C3BF1">
              <w:rPr>
                <w:sz w:val="18"/>
                <w:szCs w:val="18"/>
              </w:rPr>
              <w:t>EN ISO 11114-2:2013</w:t>
            </w:r>
          </w:p>
        </w:tc>
        <w:tc>
          <w:tcPr>
            <w:tcW w:w="3476" w:type="dxa"/>
            <w:tcBorders>
              <w:bottom w:val="single" w:sz="2" w:space="0" w:color="auto"/>
            </w:tcBorders>
            <w:shd w:val="clear" w:color="auto" w:fill="auto"/>
          </w:tcPr>
          <w:p w14:paraId="79A17AB3" w14:textId="77777777" w:rsidR="00CD4AFF" w:rsidRPr="007C3BF1" w:rsidRDefault="00CD4AFF" w:rsidP="00B03A5F">
            <w:pPr>
              <w:spacing w:before="40" w:after="40" w:line="240" w:lineRule="auto"/>
              <w:ind w:left="57" w:right="57"/>
              <w:rPr>
                <w:rFonts w:cs="Arial"/>
                <w:sz w:val="18"/>
                <w:szCs w:val="18"/>
                <w:u w:val="single"/>
              </w:rPr>
            </w:pPr>
            <w:r w:rsidRPr="007C3BF1">
              <w:rPr>
                <w:sz w:val="18"/>
                <w:szCs w:val="18"/>
              </w:rPr>
              <w:t>Bouteilles à gaz − Compatibilité des matériaux des bouteilles et des robinets avec les contenus gazeux − Partie 2 : Matériaux non métalliques</w:t>
            </w:r>
          </w:p>
        </w:tc>
      </w:tr>
      <w:tr w:rsidR="00CD4AFF" w:rsidRPr="007C3BF1" w14:paraId="1E0C88BB" w14:textId="77777777" w:rsidTr="00B03A5F">
        <w:tc>
          <w:tcPr>
            <w:tcW w:w="1281" w:type="dxa"/>
            <w:tcBorders>
              <w:top w:val="single" w:sz="2" w:space="0" w:color="auto"/>
            </w:tcBorders>
            <w:shd w:val="clear" w:color="auto" w:fill="auto"/>
          </w:tcPr>
          <w:p w14:paraId="204C8814" w14:textId="77777777" w:rsidR="00CD4AFF" w:rsidRPr="007C3BF1" w:rsidRDefault="00CD4AFF" w:rsidP="00B03A5F">
            <w:pPr>
              <w:tabs>
                <w:tab w:val="left" w:pos="1418"/>
                <w:tab w:val="left" w:pos="2977"/>
                <w:tab w:val="left" w:pos="4395"/>
              </w:tabs>
              <w:spacing w:before="40" w:after="40" w:line="240" w:lineRule="auto"/>
              <w:ind w:left="57" w:right="57"/>
              <w:rPr>
                <w:rFonts w:cs="Arial"/>
              </w:rPr>
            </w:pPr>
            <w:r w:rsidRPr="007C3BF1">
              <w:rPr>
                <w:sz w:val="18"/>
                <w:szCs w:val="18"/>
              </w:rPr>
              <w:t>4.1.6.4</w:t>
            </w:r>
          </w:p>
        </w:tc>
        <w:tc>
          <w:tcPr>
            <w:tcW w:w="2613" w:type="dxa"/>
            <w:tcBorders>
              <w:top w:val="single" w:sz="2" w:space="0" w:color="auto"/>
            </w:tcBorders>
            <w:shd w:val="clear" w:color="auto" w:fill="auto"/>
          </w:tcPr>
          <w:p w14:paraId="330D1FC3" w14:textId="77777777" w:rsidR="00CD4AFF" w:rsidRPr="007C3BF1" w:rsidRDefault="00CD4AFF" w:rsidP="00B03A5F">
            <w:pPr>
              <w:tabs>
                <w:tab w:val="left" w:pos="1418"/>
                <w:tab w:val="left" w:pos="2977"/>
                <w:tab w:val="left" w:pos="4395"/>
              </w:tabs>
              <w:spacing w:before="40" w:after="40" w:line="240" w:lineRule="auto"/>
              <w:ind w:left="57" w:right="57"/>
              <w:rPr>
                <w:rFonts w:cs="Arial"/>
              </w:rPr>
            </w:pPr>
            <w:r w:rsidRPr="007C3BF1">
              <w:rPr>
                <w:sz w:val="18"/>
                <w:szCs w:val="18"/>
              </w:rPr>
              <w:t xml:space="preserve">ISO 11621:1997 </w:t>
            </w:r>
            <w:r w:rsidRPr="007C3BF1">
              <w:rPr>
                <w:sz w:val="18"/>
                <w:szCs w:val="18"/>
              </w:rPr>
              <w:br/>
              <w:t>ou EN ISO 11621:2005</w:t>
            </w:r>
          </w:p>
        </w:tc>
        <w:tc>
          <w:tcPr>
            <w:tcW w:w="3476" w:type="dxa"/>
            <w:tcBorders>
              <w:top w:val="single" w:sz="2" w:space="0" w:color="auto"/>
            </w:tcBorders>
            <w:shd w:val="clear" w:color="auto" w:fill="auto"/>
          </w:tcPr>
          <w:p w14:paraId="19885408" w14:textId="77777777" w:rsidR="00CD4AFF" w:rsidRPr="007C3BF1" w:rsidRDefault="00CD4AFF" w:rsidP="00B03A5F">
            <w:pPr>
              <w:spacing w:before="40" w:after="40" w:line="240" w:lineRule="auto"/>
              <w:ind w:left="57" w:right="57"/>
              <w:rPr>
                <w:rFonts w:cs="Arial"/>
                <w:sz w:val="18"/>
                <w:szCs w:val="18"/>
                <w:u w:val="single"/>
              </w:rPr>
            </w:pPr>
            <w:r w:rsidRPr="007C3BF1">
              <w:rPr>
                <w:sz w:val="18"/>
                <w:szCs w:val="18"/>
              </w:rPr>
              <w:t>Bouteilles à gaz − Mode opératoire pour le changement de service de gaz</w:t>
            </w:r>
          </w:p>
        </w:tc>
      </w:tr>
      <w:tr w:rsidR="00CD4AFF" w:rsidRPr="007C3BF1" w14:paraId="46370A5F" w14:textId="77777777" w:rsidTr="00B03A5F">
        <w:tc>
          <w:tcPr>
            <w:tcW w:w="1281" w:type="dxa"/>
            <w:vMerge w:val="restart"/>
            <w:shd w:val="clear" w:color="auto" w:fill="auto"/>
          </w:tcPr>
          <w:p w14:paraId="61E62EE5" w14:textId="77777777" w:rsidR="00CD4AFF" w:rsidRPr="007C3BF1" w:rsidRDefault="00CD4AFF" w:rsidP="00B03A5F">
            <w:pPr>
              <w:keepNext/>
              <w:spacing w:before="40" w:after="40" w:line="240" w:lineRule="auto"/>
              <w:ind w:left="57" w:right="57"/>
              <w:rPr>
                <w:rFonts w:cs="Arial"/>
              </w:rPr>
            </w:pPr>
            <w:r w:rsidRPr="007C3BF1">
              <w:rPr>
                <w:sz w:val="18"/>
                <w:szCs w:val="18"/>
              </w:rPr>
              <w:t>4.1.6.8 Robinets munis d’une protection intégrée</w:t>
            </w:r>
          </w:p>
        </w:tc>
        <w:tc>
          <w:tcPr>
            <w:tcW w:w="2613" w:type="dxa"/>
            <w:shd w:val="clear" w:color="auto" w:fill="auto"/>
          </w:tcPr>
          <w:p w14:paraId="56A1F389" w14:textId="77777777" w:rsidR="00CD4AFF" w:rsidRPr="007C3BF1" w:rsidRDefault="00CD4AFF" w:rsidP="00B03A5F">
            <w:pPr>
              <w:keepNext/>
              <w:spacing w:before="40" w:after="40" w:line="240" w:lineRule="auto"/>
              <w:ind w:left="57" w:right="57"/>
              <w:rPr>
                <w:rFonts w:cs="Arial"/>
                <w:sz w:val="18"/>
                <w:szCs w:val="18"/>
              </w:rPr>
            </w:pPr>
            <w:r w:rsidRPr="007C3BF1">
              <w:rPr>
                <w:sz w:val="18"/>
                <w:szCs w:val="18"/>
              </w:rPr>
              <w:t>Article 4.6.2 de EN ISO 10297:2006 ou</w:t>
            </w:r>
          </w:p>
          <w:p w14:paraId="1E08C1A3" w14:textId="77777777" w:rsidR="00CD4AFF" w:rsidRPr="007C3BF1" w:rsidRDefault="00CD4AFF" w:rsidP="00B03A5F">
            <w:pPr>
              <w:keepNext/>
              <w:spacing w:before="40" w:after="40" w:line="240" w:lineRule="auto"/>
              <w:ind w:left="57" w:right="57"/>
              <w:rPr>
                <w:rFonts w:cs="Arial"/>
                <w:sz w:val="18"/>
                <w:szCs w:val="18"/>
              </w:rPr>
            </w:pPr>
            <w:r w:rsidRPr="007C3BF1">
              <w:rPr>
                <w:sz w:val="18"/>
                <w:szCs w:val="18"/>
              </w:rPr>
              <w:t>Article 5.5.2 de EN ISO10297:2014 ou</w:t>
            </w:r>
          </w:p>
          <w:p w14:paraId="50F94F26" w14:textId="77777777" w:rsidR="00CD4AFF" w:rsidRPr="007C3BF1" w:rsidRDefault="00CD4AFF" w:rsidP="00B03A5F">
            <w:pPr>
              <w:keepNext/>
              <w:spacing w:before="40" w:after="40" w:line="240" w:lineRule="auto"/>
              <w:ind w:left="57" w:right="57"/>
              <w:rPr>
                <w:rFonts w:cs="Arial"/>
              </w:rPr>
            </w:pPr>
            <w:r w:rsidRPr="007C3BF1">
              <w:rPr>
                <w:sz w:val="18"/>
                <w:szCs w:val="18"/>
              </w:rPr>
              <w:t>Article 5.5.2 de EN ISO 10297:2014 + A1:2017</w:t>
            </w:r>
          </w:p>
        </w:tc>
        <w:tc>
          <w:tcPr>
            <w:tcW w:w="3476" w:type="dxa"/>
            <w:shd w:val="clear" w:color="auto" w:fill="auto"/>
          </w:tcPr>
          <w:p w14:paraId="075E42D8" w14:textId="77777777" w:rsidR="00CD4AFF" w:rsidRPr="007C3BF1" w:rsidRDefault="00CD4AFF" w:rsidP="00B03A5F">
            <w:pPr>
              <w:keepNext/>
              <w:spacing w:before="40" w:after="40" w:line="240" w:lineRule="auto"/>
              <w:ind w:left="57" w:right="57"/>
              <w:rPr>
                <w:rFonts w:cs="Arial"/>
                <w:u w:val="single"/>
              </w:rPr>
            </w:pPr>
            <w:r w:rsidRPr="007C3BF1">
              <w:rPr>
                <w:sz w:val="18"/>
                <w:szCs w:val="18"/>
              </w:rPr>
              <w:t>Bouteilles à gaz − Robinets de bouteilles − Spécifications et essais de type</w:t>
            </w:r>
          </w:p>
        </w:tc>
      </w:tr>
      <w:tr w:rsidR="00CD4AFF" w:rsidRPr="007C3BF1" w14:paraId="3521C285" w14:textId="77777777" w:rsidTr="00B03A5F">
        <w:tc>
          <w:tcPr>
            <w:tcW w:w="1281" w:type="dxa"/>
            <w:vMerge/>
            <w:shd w:val="clear" w:color="auto" w:fill="auto"/>
          </w:tcPr>
          <w:p w14:paraId="4895B74D" w14:textId="77777777" w:rsidR="00CD4AFF" w:rsidRPr="007C3BF1" w:rsidRDefault="00CD4AFF" w:rsidP="00B03A5F">
            <w:pPr>
              <w:tabs>
                <w:tab w:val="left" w:pos="1418"/>
                <w:tab w:val="left" w:pos="2977"/>
                <w:tab w:val="left" w:pos="4395"/>
              </w:tabs>
              <w:spacing w:before="40" w:after="40" w:line="240" w:lineRule="auto"/>
              <w:ind w:left="57" w:right="57"/>
              <w:rPr>
                <w:rFonts w:cs="Arial"/>
              </w:rPr>
            </w:pPr>
          </w:p>
        </w:tc>
        <w:tc>
          <w:tcPr>
            <w:tcW w:w="2613" w:type="dxa"/>
            <w:shd w:val="clear" w:color="auto" w:fill="auto"/>
          </w:tcPr>
          <w:p w14:paraId="32A5E82E" w14:textId="77777777" w:rsidR="00CD4AFF" w:rsidRPr="007C3BF1" w:rsidRDefault="00CD4AFF" w:rsidP="00B03A5F">
            <w:pPr>
              <w:spacing w:before="40" w:after="40" w:line="240" w:lineRule="auto"/>
              <w:ind w:left="57" w:right="57"/>
              <w:rPr>
                <w:rFonts w:cs="Arial"/>
              </w:rPr>
            </w:pPr>
            <w:r w:rsidRPr="007C3BF1">
              <w:rPr>
                <w:sz w:val="18"/>
                <w:szCs w:val="18"/>
              </w:rPr>
              <w:t>Article 5.3.8 de EN 13152:2001 + A1:2003</w:t>
            </w:r>
          </w:p>
        </w:tc>
        <w:tc>
          <w:tcPr>
            <w:tcW w:w="3476" w:type="dxa"/>
            <w:shd w:val="clear" w:color="auto" w:fill="auto"/>
          </w:tcPr>
          <w:p w14:paraId="21C8F312" w14:textId="77777777" w:rsidR="00CD4AFF" w:rsidRPr="007C3BF1" w:rsidRDefault="00CD4AFF" w:rsidP="00B03A5F">
            <w:pPr>
              <w:spacing w:before="40" w:after="40" w:line="240" w:lineRule="auto"/>
              <w:ind w:left="57" w:right="57"/>
              <w:rPr>
                <w:rFonts w:cs="Arial"/>
                <w:u w:val="single"/>
              </w:rPr>
            </w:pPr>
            <w:r w:rsidRPr="007C3BF1">
              <w:rPr>
                <w:sz w:val="18"/>
                <w:szCs w:val="18"/>
              </w:rPr>
              <w:t>Spécifications et essais pour valves de bouteilles de gaz de pétrole liquéfié (GPL) − Fermeture automatique</w:t>
            </w:r>
          </w:p>
        </w:tc>
      </w:tr>
      <w:tr w:rsidR="00CD4AFF" w:rsidRPr="007C3BF1" w14:paraId="7E409DDD" w14:textId="77777777" w:rsidTr="00B03A5F">
        <w:tc>
          <w:tcPr>
            <w:tcW w:w="1281" w:type="dxa"/>
            <w:vMerge/>
            <w:shd w:val="clear" w:color="auto" w:fill="auto"/>
          </w:tcPr>
          <w:p w14:paraId="6B303F02" w14:textId="77777777" w:rsidR="00CD4AFF" w:rsidRPr="007C3BF1" w:rsidRDefault="00CD4AFF" w:rsidP="00B03A5F">
            <w:pPr>
              <w:tabs>
                <w:tab w:val="left" w:pos="1418"/>
                <w:tab w:val="left" w:pos="2977"/>
                <w:tab w:val="left" w:pos="4395"/>
              </w:tabs>
              <w:spacing w:before="40" w:after="40" w:line="240" w:lineRule="auto"/>
              <w:ind w:left="57" w:right="57"/>
              <w:rPr>
                <w:rFonts w:cs="Arial"/>
              </w:rPr>
            </w:pPr>
          </w:p>
        </w:tc>
        <w:tc>
          <w:tcPr>
            <w:tcW w:w="2613" w:type="dxa"/>
            <w:shd w:val="clear" w:color="auto" w:fill="auto"/>
          </w:tcPr>
          <w:p w14:paraId="34EE0FA3" w14:textId="77777777" w:rsidR="00CD4AFF" w:rsidRPr="007C3BF1" w:rsidRDefault="00CD4AFF" w:rsidP="00B03A5F">
            <w:pPr>
              <w:spacing w:before="40" w:after="40" w:line="240" w:lineRule="auto"/>
              <w:ind w:left="57" w:right="57"/>
              <w:rPr>
                <w:rFonts w:cs="Arial"/>
              </w:rPr>
            </w:pPr>
            <w:r w:rsidRPr="007C3BF1">
              <w:rPr>
                <w:sz w:val="18"/>
                <w:szCs w:val="18"/>
              </w:rPr>
              <w:t>Article 5.3.7 de EN 13153:2001 + A1:2003</w:t>
            </w:r>
          </w:p>
        </w:tc>
        <w:tc>
          <w:tcPr>
            <w:tcW w:w="3476" w:type="dxa"/>
            <w:shd w:val="clear" w:color="auto" w:fill="auto"/>
          </w:tcPr>
          <w:p w14:paraId="2BDAA6E0" w14:textId="77777777" w:rsidR="00CD4AFF" w:rsidRPr="007C3BF1" w:rsidRDefault="00CD4AFF" w:rsidP="00B03A5F">
            <w:pPr>
              <w:spacing w:before="40" w:after="40" w:line="240" w:lineRule="auto"/>
              <w:ind w:left="57" w:right="57"/>
              <w:rPr>
                <w:rFonts w:cs="Arial"/>
                <w:u w:val="single"/>
              </w:rPr>
            </w:pPr>
            <w:r w:rsidRPr="007C3BF1">
              <w:rPr>
                <w:sz w:val="18"/>
                <w:szCs w:val="18"/>
              </w:rPr>
              <w:t>Spécifications et essais pour valves de bouteilles de gaz de pétrole liquéfié (GPL) − Fermeture manuelle</w:t>
            </w:r>
          </w:p>
        </w:tc>
      </w:tr>
      <w:tr w:rsidR="00CD4AFF" w:rsidRPr="007C3BF1" w14:paraId="2303FDCF" w14:textId="77777777" w:rsidTr="00B03A5F">
        <w:tc>
          <w:tcPr>
            <w:tcW w:w="1281" w:type="dxa"/>
            <w:vMerge/>
            <w:shd w:val="clear" w:color="auto" w:fill="auto"/>
          </w:tcPr>
          <w:p w14:paraId="0FF513DC" w14:textId="77777777" w:rsidR="00CD4AFF" w:rsidRPr="007C3BF1" w:rsidRDefault="00CD4AFF" w:rsidP="00B03A5F">
            <w:pPr>
              <w:keepNext/>
              <w:tabs>
                <w:tab w:val="left" w:pos="1418"/>
                <w:tab w:val="left" w:pos="2977"/>
                <w:tab w:val="left" w:pos="4395"/>
              </w:tabs>
              <w:spacing w:before="40" w:after="40" w:line="240" w:lineRule="auto"/>
              <w:ind w:left="57" w:right="57"/>
              <w:rPr>
                <w:rFonts w:cs="Arial"/>
              </w:rPr>
            </w:pPr>
          </w:p>
        </w:tc>
        <w:tc>
          <w:tcPr>
            <w:tcW w:w="2613" w:type="dxa"/>
            <w:shd w:val="clear" w:color="auto" w:fill="auto"/>
          </w:tcPr>
          <w:p w14:paraId="48079A0A" w14:textId="77777777" w:rsidR="00CD4AFF" w:rsidRPr="007C3BF1" w:rsidRDefault="00CD4AFF" w:rsidP="00B03A5F">
            <w:pPr>
              <w:keepNext/>
              <w:spacing w:before="40" w:after="40" w:line="240" w:lineRule="auto"/>
              <w:ind w:left="57" w:right="57"/>
              <w:rPr>
                <w:rFonts w:cs="Arial"/>
              </w:rPr>
            </w:pPr>
            <w:r w:rsidRPr="007C3BF1">
              <w:rPr>
                <w:sz w:val="18"/>
                <w:szCs w:val="18"/>
              </w:rPr>
              <w:t xml:space="preserve">Article 5.9 de EN ISO 14245:2010 </w:t>
            </w:r>
            <w:r w:rsidRPr="007C3BF1">
              <w:rPr>
                <w:bCs/>
                <w:sz w:val="18"/>
                <w:szCs w:val="18"/>
              </w:rPr>
              <w:t>ou article 5.9 de EN ISO 14245:2019</w:t>
            </w:r>
          </w:p>
        </w:tc>
        <w:tc>
          <w:tcPr>
            <w:tcW w:w="3476" w:type="dxa"/>
            <w:shd w:val="clear" w:color="auto" w:fill="auto"/>
          </w:tcPr>
          <w:p w14:paraId="66AD5789" w14:textId="77777777" w:rsidR="00CD4AFF" w:rsidRPr="007C3BF1" w:rsidRDefault="00CD4AFF" w:rsidP="00B03A5F">
            <w:pPr>
              <w:keepNext/>
              <w:tabs>
                <w:tab w:val="left" w:pos="1418"/>
                <w:tab w:val="left" w:pos="2977"/>
                <w:tab w:val="left" w:pos="4395"/>
              </w:tabs>
              <w:spacing w:before="40" w:after="40" w:line="240" w:lineRule="auto"/>
              <w:ind w:left="57" w:right="57"/>
              <w:rPr>
                <w:rFonts w:cs="Arial"/>
                <w:u w:val="single"/>
              </w:rPr>
            </w:pPr>
            <w:r w:rsidRPr="007C3BF1">
              <w:rPr>
                <w:sz w:val="18"/>
                <w:szCs w:val="18"/>
              </w:rPr>
              <w:t>Bouteilles à gaz − Spécifications et essais pour valves de bouteilles de GPL − Fermeture automatique</w:t>
            </w:r>
          </w:p>
        </w:tc>
      </w:tr>
      <w:tr w:rsidR="00CD4AFF" w:rsidRPr="007C3BF1" w14:paraId="3CC8A3D5" w14:textId="77777777" w:rsidTr="00B03A5F">
        <w:tc>
          <w:tcPr>
            <w:tcW w:w="1281" w:type="dxa"/>
            <w:vMerge/>
            <w:shd w:val="clear" w:color="auto" w:fill="auto"/>
          </w:tcPr>
          <w:p w14:paraId="6B2CBC46" w14:textId="77777777" w:rsidR="00CD4AFF" w:rsidRPr="007C3BF1" w:rsidRDefault="00CD4AFF" w:rsidP="00B03A5F">
            <w:pPr>
              <w:tabs>
                <w:tab w:val="left" w:pos="1418"/>
                <w:tab w:val="left" w:pos="2977"/>
                <w:tab w:val="left" w:pos="4395"/>
              </w:tabs>
              <w:spacing w:before="40" w:after="40" w:line="240" w:lineRule="auto"/>
              <w:ind w:left="57" w:right="57"/>
            </w:pPr>
          </w:p>
        </w:tc>
        <w:tc>
          <w:tcPr>
            <w:tcW w:w="2613" w:type="dxa"/>
            <w:shd w:val="clear" w:color="auto" w:fill="auto"/>
          </w:tcPr>
          <w:p w14:paraId="2E3FAD9C" w14:textId="77777777" w:rsidR="00CD4AFF" w:rsidRPr="007C3BF1" w:rsidRDefault="00CD4AFF" w:rsidP="00B03A5F">
            <w:pPr>
              <w:spacing w:before="40" w:after="40" w:line="240" w:lineRule="auto"/>
              <w:ind w:left="57" w:right="57"/>
              <w:rPr>
                <w:rFonts w:cs="Arial"/>
              </w:rPr>
            </w:pPr>
            <w:r w:rsidRPr="007C3BF1">
              <w:rPr>
                <w:sz w:val="18"/>
                <w:szCs w:val="18"/>
              </w:rPr>
              <w:t xml:space="preserve">Article 5.10 de EN ISO 15995:2010 </w:t>
            </w:r>
            <w:r w:rsidRPr="007C3BF1">
              <w:rPr>
                <w:bCs/>
                <w:sz w:val="18"/>
                <w:szCs w:val="18"/>
              </w:rPr>
              <w:t>ou article 5.10 de EN ISO 15995:2019</w:t>
            </w:r>
          </w:p>
        </w:tc>
        <w:tc>
          <w:tcPr>
            <w:tcW w:w="3476" w:type="dxa"/>
            <w:shd w:val="clear" w:color="auto" w:fill="auto"/>
          </w:tcPr>
          <w:p w14:paraId="5BF40DF7" w14:textId="77777777" w:rsidR="00CD4AFF" w:rsidRPr="007C3BF1" w:rsidRDefault="00CD4AFF" w:rsidP="00B03A5F">
            <w:pPr>
              <w:tabs>
                <w:tab w:val="left" w:pos="1418"/>
                <w:tab w:val="left" w:pos="2977"/>
                <w:tab w:val="left" w:pos="4395"/>
              </w:tabs>
              <w:spacing w:before="40" w:after="40" w:line="240" w:lineRule="auto"/>
              <w:ind w:left="57" w:right="57"/>
              <w:rPr>
                <w:rFonts w:cs="Arial"/>
                <w:u w:val="single"/>
              </w:rPr>
            </w:pPr>
            <w:r w:rsidRPr="007C3BF1">
              <w:rPr>
                <w:sz w:val="18"/>
                <w:szCs w:val="18"/>
              </w:rPr>
              <w:t>Bouteilles à gaz − Spécifications et essais pour valves de bouteilles de GPL − Fermeture manuelle</w:t>
            </w:r>
          </w:p>
        </w:tc>
      </w:tr>
      <w:tr w:rsidR="00CD4AFF" w:rsidRPr="007C3BF1" w14:paraId="5526A1F2" w14:textId="77777777" w:rsidTr="00B03A5F">
        <w:tc>
          <w:tcPr>
            <w:tcW w:w="1281" w:type="dxa"/>
            <w:vMerge/>
            <w:shd w:val="clear" w:color="auto" w:fill="auto"/>
          </w:tcPr>
          <w:p w14:paraId="7841F9D1" w14:textId="77777777" w:rsidR="00CD4AFF" w:rsidRPr="007C3BF1" w:rsidRDefault="00CD4AFF" w:rsidP="00B03A5F">
            <w:pPr>
              <w:tabs>
                <w:tab w:val="left" w:pos="1418"/>
                <w:tab w:val="left" w:pos="2977"/>
                <w:tab w:val="left" w:pos="4395"/>
              </w:tabs>
              <w:spacing w:before="40" w:after="40" w:line="240" w:lineRule="auto"/>
              <w:ind w:left="57" w:right="57"/>
            </w:pPr>
          </w:p>
        </w:tc>
        <w:tc>
          <w:tcPr>
            <w:tcW w:w="2613" w:type="dxa"/>
            <w:shd w:val="clear" w:color="auto" w:fill="auto"/>
          </w:tcPr>
          <w:p w14:paraId="1619C628" w14:textId="77777777" w:rsidR="00CD4AFF" w:rsidRPr="007C3BF1" w:rsidRDefault="00CD4AFF" w:rsidP="00B03A5F">
            <w:pPr>
              <w:spacing w:before="40" w:after="40" w:line="240" w:lineRule="auto"/>
              <w:ind w:left="57" w:right="57"/>
              <w:rPr>
                <w:rFonts w:cs="Arial"/>
              </w:rPr>
            </w:pPr>
            <w:r w:rsidRPr="007C3BF1">
              <w:rPr>
                <w:sz w:val="18"/>
                <w:szCs w:val="18"/>
              </w:rPr>
              <w:t>Article 5.4.2 de EN ISO 17879:2017</w:t>
            </w:r>
          </w:p>
        </w:tc>
        <w:tc>
          <w:tcPr>
            <w:tcW w:w="3476" w:type="dxa"/>
            <w:shd w:val="clear" w:color="auto" w:fill="auto"/>
          </w:tcPr>
          <w:p w14:paraId="75D3B07D" w14:textId="77777777" w:rsidR="00CD4AFF" w:rsidRPr="007C3BF1" w:rsidRDefault="00CD4AFF" w:rsidP="00B03A5F">
            <w:pPr>
              <w:tabs>
                <w:tab w:val="left" w:pos="1418"/>
                <w:tab w:val="left" w:pos="2977"/>
                <w:tab w:val="left" w:pos="4395"/>
              </w:tabs>
              <w:spacing w:before="40" w:after="40" w:line="240" w:lineRule="auto"/>
              <w:ind w:left="57" w:right="57"/>
              <w:rPr>
                <w:rFonts w:cs="Arial"/>
                <w:u w:val="single"/>
              </w:rPr>
            </w:pPr>
            <w:r w:rsidRPr="007C3BF1">
              <w:rPr>
                <w:sz w:val="18"/>
                <w:szCs w:val="18"/>
              </w:rPr>
              <w:t>Bouteilles à gaz − Robinets de bouteilles équipés de clapets auto-obturants − Spécifications et essais de type</w:t>
            </w:r>
          </w:p>
        </w:tc>
      </w:tr>
      <w:tr w:rsidR="00CD4AFF" w:rsidRPr="007C3BF1" w14:paraId="5D9EAEAD" w14:textId="77777777" w:rsidTr="00B03A5F">
        <w:tc>
          <w:tcPr>
            <w:tcW w:w="1281" w:type="dxa"/>
            <w:vMerge w:val="restart"/>
            <w:shd w:val="clear" w:color="auto" w:fill="auto"/>
          </w:tcPr>
          <w:p w14:paraId="461FA88A" w14:textId="77777777" w:rsidR="00CD4AFF" w:rsidRPr="007C3BF1" w:rsidRDefault="00CD4AFF" w:rsidP="00B03A5F">
            <w:pPr>
              <w:spacing w:before="40" w:after="40" w:line="240" w:lineRule="auto"/>
              <w:ind w:left="57" w:right="57"/>
            </w:pPr>
            <w:r w:rsidRPr="007C3BF1">
              <w:rPr>
                <w:sz w:val="18"/>
                <w:szCs w:val="18"/>
              </w:rPr>
              <w:t>4.1.6.8 b) et c)</w:t>
            </w:r>
          </w:p>
        </w:tc>
        <w:tc>
          <w:tcPr>
            <w:tcW w:w="2613" w:type="dxa"/>
            <w:shd w:val="clear" w:color="auto" w:fill="auto"/>
          </w:tcPr>
          <w:p w14:paraId="479197FD" w14:textId="77777777" w:rsidR="00CD4AFF" w:rsidRPr="007C3BF1" w:rsidRDefault="00CD4AFF" w:rsidP="00B03A5F">
            <w:pPr>
              <w:spacing w:before="40" w:after="40" w:line="240" w:lineRule="auto"/>
              <w:ind w:left="57" w:right="57"/>
              <w:rPr>
                <w:rFonts w:cs="Arial"/>
                <w:sz w:val="18"/>
                <w:szCs w:val="18"/>
              </w:rPr>
            </w:pPr>
            <w:r w:rsidRPr="007C3BF1">
              <w:rPr>
                <w:sz w:val="18"/>
                <w:szCs w:val="18"/>
              </w:rPr>
              <w:t xml:space="preserve">ISO 11117:1998 ou EN ISO 11117:2008 + Cor 1:2009 </w:t>
            </w:r>
            <w:r w:rsidRPr="007C3BF1">
              <w:rPr>
                <w:bCs/>
                <w:sz w:val="18"/>
                <w:szCs w:val="18"/>
              </w:rPr>
              <w:t>ou EN ISO 11117:2019</w:t>
            </w:r>
          </w:p>
        </w:tc>
        <w:tc>
          <w:tcPr>
            <w:tcW w:w="3476" w:type="dxa"/>
            <w:shd w:val="clear" w:color="auto" w:fill="auto"/>
          </w:tcPr>
          <w:p w14:paraId="3780A74B" w14:textId="77777777" w:rsidR="00CD4AFF" w:rsidRPr="007C3BF1" w:rsidRDefault="00CD4AFF" w:rsidP="00B03A5F">
            <w:pPr>
              <w:spacing w:before="40" w:after="40" w:line="240" w:lineRule="auto"/>
              <w:ind w:left="57" w:right="57"/>
              <w:rPr>
                <w:rFonts w:cs="Arial"/>
                <w:sz w:val="18"/>
                <w:szCs w:val="18"/>
                <w:u w:val="single"/>
              </w:rPr>
            </w:pPr>
            <w:r w:rsidRPr="007C3BF1">
              <w:rPr>
                <w:sz w:val="18"/>
                <w:szCs w:val="18"/>
              </w:rPr>
              <w:t>Bouteilles à gaz − Chapeaux fermés et chapeaux ouverts de protection des robinets</w:t>
            </w:r>
            <w:r w:rsidRPr="007C3BF1">
              <w:rPr>
                <w:strike/>
                <w:sz w:val="18"/>
                <w:szCs w:val="18"/>
              </w:rPr>
              <w:t xml:space="preserve"> </w:t>
            </w:r>
            <w:r w:rsidRPr="007C3BF1">
              <w:rPr>
                <w:sz w:val="18"/>
                <w:szCs w:val="18"/>
              </w:rPr>
              <w:t>− Conception, construction et essais</w:t>
            </w:r>
          </w:p>
        </w:tc>
      </w:tr>
      <w:tr w:rsidR="00CD4AFF" w:rsidRPr="007C3BF1" w14:paraId="180DB817" w14:textId="77777777" w:rsidTr="00B03A5F">
        <w:tc>
          <w:tcPr>
            <w:tcW w:w="1281" w:type="dxa"/>
            <w:vMerge/>
            <w:tcBorders>
              <w:bottom w:val="single" w:sz="4" w:space="0" w:color="auto"/>
            </w:tcBorders>
            <w:shd w:val="clear" w:color="auto" w:fill="auto"/>
          </w:tcPr>
          <w:p w14:paraId="2BA01929" w14:textId="77777777" w:rsidR="00CD4AFF" w:rsidRPr="007C3BF1" w:rsidRDefault="00CD4AFF" w:rsidP="00B03A5F">
            <w:pPr>
              <w:tabs>
                <w:tab w:val="left" w:pos="1418"/>
                <w:tab w:val="left" w:pos="2977"/>
                <w:tab w:val="left" w:pos="4395"/>
              </w:tabs>
              <w:spacing w:before="40" w:after="40" w:line="240" w:lineRule="auto"/>
              <w:ind w:left="57" w:right="57"/>
            </w:pPr>
          </w:p>
        </w:tc>
        <w:tc>
          <w:tcPr>
            <w:tcW w:w="2613" w:type="dxa"/>
            <w:tcBorders>
              <w:bottom w:val="single" w:sz="4" w:space="0" w:color="auto"/>
            </w:tcBorders>
            <w:shd w:val="clear" w:color="auto" w:fill="auto"/>
          </w:tcPr>
          <w:p w14:paraId="37F20C77" w14:textId="77777777" w:rsidR="00CD4AFF" w:rsidRPr="007C3BF1" w:rsidRDefault="00CD4AFF" w:rsidP="00B03A5F">
            <w:pPr>
              <w:spacing w:before="40" w:after="40" w:line="240" w:lineRule="auto"/>
              <w:ind w:left="57" w:right="57"/>
              <w:rPr>
                <w:rFonts w:cs="Arial"/>
              </w:rPr>
            </w:pPr>
            <w:r w:rsidRPr="007C3BF1">
              <w:rPr>
                <w:sz w:val="18"/>
                <w:szCs w:val="18"/>
              </w:rPr>
              <w:t>EN 962:1996 +A2:2000</w:t>
            </w:r>
          </w:p>
        </w:tc>
        <w:tc>
          <w:tcPr>
            <w:tcW w:w="3476" w:type="dxa"/>
            <w:tcBorders>
              <w:bottom w:val="single" w:sz="4" w:space="0" w:color="auto"/>
            </w:tcBorders>
            <w:shd w:val="clear" w:color="auto" w:fill="auto"/>
          </w:tcPr>
          <w:p w14:paraId="5BD51183" w14:textId="77777777" w:rsidR="00CD4AFF" w:rsidRPr="007C3BF1" w:rsidRDefault="00CD4AFF" w:rsidP="00B03A5F">
            <w:pPr>
              <w:spacing w:before="40" w:after="40" w:line="240" w:lineRule="auto"/>
              <w:ind w:left="57" w:right="57"/>
              <w:rPr>
                <w:rFonts w:cs="Arial"/>
                <w:u w:val="single"/>
              </w:rPr>
            </w:pPr>
            <w:r w:rsidRPr="007C3BF1">
              <w:rPr>
                <w:sz w:val="18"/>
                <w:szCs w:val="18"/>
              </w:rPr>
              <w:t>Bouteilles à gaz transportables − Chapeaux fermés et chapeaux ouverts de protection des robinets de bouteilles à gaz industriels et médicaux − Conception, construction et essais</w:t>
            </w:r>
          </w:p>
        </w:tc>
      </w:tr>
      <w:tr w:rsidR="00CD4AFF" w:rsidRPr="007C3BF1" w14:paraId="404EE69F" w14:textId="77777777" w:rsidTr="00B03A5F">
        <w:tc>
          <w:tcPr>
            <w:tcW w:w="1281" w:type="dxa"/>
            <w:vMerge/>
            <w:tcBorders>
              <w:bottom w:val="single" w:sz="4" w:space="0" w:color="auto"/>
            </w:tcBorders>
            <w:shd w:val="clear" w:color="auto" w:fill="auto"/>
          </w:tcPr>
          <w:p w14:paraId="615C1A9A" w14:textId="77777777" w:rsidR="00CD4AFF" w:rsidRPr="007C3BF1" w:rsidRDefault="00CD4AFF" w:rsidP="00B03A5F">
            <w:pPr>
              <w:tabs>
                <w:tab w:val="left" w:pos="1418"/>
                <w:tab w:val="left" w:pos="2977"/>
                <w:tab w:val="left" w:pos="4395"/>
              </w:tabs>
              <w:spacing w:before="40" w:after="40" w:line="240" w:lineRule="auto"/>
              <w:ind w:left="57" w:right="57"/>
            </w:pPr>
          </w:p>
        </w:tc>
        <w:tc>
          <w:tcPr>
            <w:tcW w:w="2613" w:type="dxa"/>
            <w:tcBorders>
              <w:bottom w:val="single" w:sz="4" w:space="0" w:color="auto"/>
            </w:tcBorders>
            <w:shd w:val="clear" w:color="auto" w:fill="auto"/>
          </w:tcPr>
          <w:p w14:paraId="25757464" w14:textId="77777777" w:rsidR="00CD4AFF" w:rsidRPr="007C3BF1" w:rsidRDefault="00CD4AFF" w:rsidP="00B03A5F">
            <w:pPr>
              <w:tabs>
                <w:tab w:val="left" w:pos="1418"/>
                <w:tab w:val="left" w:pos="2977"/>
                <w:tab w:val="left" w:pos="4395"/>
              </w:tabs>
              <w:spacing w:before="40" w:after="40" w:line="240" w:lineRule="auto"/>
              <w:ind w:left="57" w:right="57"/>
              <w:rPr>
                <w:rFonts w:cs="Arial"/>
              </w:rPr>
            </w:pPr>
            <w:r w:rsidRPr="007C3BF1">
              <w:rPr>
                <w:sz w:val="18"/>
                <w:szCs w:val="18"/>
              </w:rPr>
              <w:t>ISO 16111:2008</w:t>
            </w:r>
          </w:p>
        </w:tc>
        <w:tc>
          <w:tcPr>
            <w:tcW w:w="3476" w:type="dxa"/>
            <w:tcBorders>
              <w:bottom w:val="single" w:sz="4" w:space="0" w:color="auto"/>
            </w:tcBorders>
            <w:shd w:val="clear" w:color="auto" w:fill="auto"/>
          </w:tcPr>
          <w:p w14:paraId="25FEF021" w14:textId="77777777" w:rsidR="00CD4AFF" w:rsidRPr="007C3BF1" w:rsidRDefault="00CD4AFF" w:rsidP="00B03A5F">
            <w:pPr>
              <w:tabs>
                <w:tab w:val="left" w:pos="1418"/>
                <w:tab w:val="left" w:pos="2977"/>
                <w:tab w:val="left" w:pos="4395"/>
              </w:tabs>
              <w:spacing w:before="40" w:after="40" w:line="240" w:lineRule="auto"/>
              <w:ind w:left="57" w:right="57"/>
              <w:rPr>
                <w:rFonts w:cs="Arial"/>
                <w:u w:val="single"/>
              </w:rPr>
            </w:pPr>
            <w:r w:rsidRPr="007C3BF1">
              <w:rPr>
                <w:sz w:val="18"/>
                <w:szCs w:val="18"/>
              </w:rPr>
              <w:t>Appareils de stockage de gaz transportables − Hydrogène absorbé dans un hydrure métallique réversible</w:t>
            </w:r>
          </w:p>
        </w:tc>
      </w:tr>
    </w:tbl>
    <w:p w14:paraId="2DF24A4A" w14:textId="77777777" w:rsidR="00CD4AFF" w:rsidRPr="007C3BF1" w:rsidRDefault="00CD4AFF" w:rsidP="00CD4AFF">
      <w:pPr>
        <w:spacing w:before="120" w:after="120"/>
        <w:ind w:left="2268" w:right="1134"/>
        <w:jc w:val="both"/>
      </w:pPr>
      <w:r w:rsidRPr="007C3BF1">
        <w:t>Tableau 2 : Périodes d’applicabilité des normes pour les chapeaux fermés et les chapeaux ouverts de protection des robinets montés sur des récipients à pression non UN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0"/>
        <w:gridCol w:w="3991"/>
        <w:gridCol w:w="1559"/>
      </w:tblGrid>
      <w:tr w:rsidR="00CD4AFF" w:rsidRPr="007C3BF1" w14:paraId="5C76D1BF" w14:textId="77777777" w:rsidTr="00B03A5F">
        <w:tc>
          <w:tcPr>
            <w:tcW w:w="1820" w:type="dxa"/>
            <w:shd w:val="clear" w:color="auto" w:fill="auto"/>
            <w:vAlign w:val="center"/>
          </w:tcPr>
          <w:p w14:paraId="4318BB45" w14:textId="77777777" w:rsidR="00CD4AFF" w:rsidRPr="007C3BF1" w:rsidRDefault="00CD4AFF" w:rsidP="00B03A5F">
            <w:pPr>
              <w:keepNext/>
              <w:tabs>
                <w:tab w:val="left" w:pos="1418"/>
                <w:tab w:val="left" w:pos="2977"/>
                <w:tab w:val="left" w:pos="4395"/>
              </w:tabs>
              <w:spacing w:before="60" w:after="60" w:line="240" w:lineRule="auto"/>
              <w:ind w:left="57" w:right="57"/>
              <w:jc w:val="center"/>
              <w:rPr>
                <w:rFonts w:cs="Arial"/>
                <w:b/>
                <w:sz w:val="18"/>
                <w:szCs w:val="18"/>
              </w:rPr>
            </w:pPr>
            <w:r w:rsidRPr="007C3BF1">
              <w:rPr>
                <w:b/>
                <w:bCs/>
                <w:sz w:val="18"/>
                <w:szCs w:val="18"/>
              </w:rPr>
              <w:t>Référence</w:t>
            </w:r>
          </w:p>
        </w:tc>
        <w:tc>
          <w:tcPr>
            <w:tcW w:w="3991" w:type="dxa"/>
            <w:shd w:val="clear" w:color="auto" w:fill="auto"/>
            <w:vAlign w:val="center"/>
          </w:tcPr>
          <w:p w14:paraId="26D51D5C" w14:textId="77777777" w:rsidR="00CD4AFF" w:rsidRPr="007C3BF1" w:rsidRDefault="00CD4AFF" w:rsidP="00B03A5F">
            <w:pPr>
              <w:keepNext/>
              <w:tabs>
                <w:tab w:val="left" w:pos="1418"/>
                <w:tab w:val="left" w:pos="2977"/>
                <w:tab w:val="left" w:pos="4395"/>
              </w:tabs>
              <w:spacing w:before="60" w:after="60" w:line="240" w:lineRule="auto"/>
              <w:ind w:left="57" w:right="57"/>
              <w:jc w:val="center"/>
              <w:rPr>
                <w:rFonts w:cs="Arial"/>
                <w:b/>
                <w:sz w:val="18"/>
                <w:szCs w:val="18"/>
              </w:rPr>
            </w:pPr>
            <w:r w:rsidRPr="007C3BF1">
              <w:rPr>
                <w:b/>
                <w:bCs/>
                <w:sz w:val="18"/>
                <w:szCs w:val="18"/>
              </w:rPr>
              <w:t>Titre du document</w:t>
            </w:r>
          </w:p>
        </w:tc>
        <w:tc>
          <w:tcPr>
            <w:tcW w:w="1559" w:type="dxa"/>
            <w:shd w:val="clear" w:color="auto" w:fill="auto"/>
          </w:tcPr>
          <w:p w14:paraId="58D41D59" w14:textId="77777777" w:rsidR="00CD4AFF" w:rsidRPr="007C3BF1" w:rsidRDefault="00CD4AFF" w:rsidP="00B03A5F">
            <w:pPr>
              <w:keepNext/>
              <w:spacing w:before="60" w:after="60" w:line="240" w:lineRule="auto"/>
              <w:ind w:left="57" w:right="57"/>
              <w:jc w:val="center"/>
              <w:rPr>
                <w:b/>
                <w:sz w:val="18"/>
                <w:szCs w:val="18"/>
              </w:rPr>
            </w:pPr>
            <w:r w:rsidRPr="007C3BF1">
              <w:rPr>
                <w:b/>
                <w:sz w:val="18"/>
                <w:szCs w:val="18"/>
              </w:rPr>
              <w:t>Applicable pour la fabrication</w:t>
            </w:r>
          </w:p>
        </w:tc>
      </w:tr>
      <w:tr w:rsidR="00CD4AFF" w:rsidRPr="007C3BF1" w14:paraId="3B5620A7" w14:textId="77777777" w:rsidTr="00B03A5F">
        <w:tc>
          <w:tcPr>
            <w:tcW w:w="1820" w:type="dxa"/>
            <w:shd w:val="clear" w:color="auto" w:fill="auto"/>
          </w:tcPr>
          <w:p w14:paraId="5559743D" w14:textId="77777777" w:rsidR="00CD4AFF" w:rsidRPr="007C3BF1" w:rsidRDefault="00CD4AFF" w:rsidP="00B03A5F">
            <w:pPr>
              <w:spacing w:before="40" w:after="40" w:line="240" w:lineRule="auto"/>
              <w:ind w:left="57" w:right="57"/>
              <w:rPr>
                <w:rFonts w:cs="Arial"/>
                <w:sz w:val="18"/>
                <w:szCs w:val="18"/>
              </w:rPr>
            </w:pPr>
            <w:r w:rsidRPr="007C3BF1">
              <w:rPr>
                <w:sz w:val="18"/>
                <w:szCs w:val="18"/>
              </w:rPr>
              <w:t>ISO 11117:1998</w:t>
            </w:r>
          </w:p>
        </w:tc>
        <w:tc>
          <w:tcPr>
            <w:tcW w:w="3991" w:type="dxa"/>
            <w:shd w:val="clear" w:color="auto" w:fill="auto"/>
          </w:tcPr>
          <w:p w14:paraId="63CD188E" w14:textId="77777777" w:rsidR="00CD4AFF" w:rsidRPr="007C3BF1" w:rsidRDefault="00CD4AFF" w:rsidP="00B03A5F">
            <w:pPr>
              <w:spacing w:before="40" w:after="40" w:line="240" w:lineRule="auto"/>
              <w:ind w:left="57" w:right="57"/>
              <w:rPr>
                <w:rFonts w:cs="Arial"/>
              </w:rPr>
            </w:pPr>
            <w:r w:rsidRPr="007C3BF1">
              <w:rPr>
                <w:sz w:val="18"/>
                <w:szCs w:val="18"/>
              </w:rPr>
              <w:t>Bouteilles à gaz − Chapeaux fermés et chapeaux ouverts de protection des robinets de bouteilles à gaz industriels et médicaux − Conception, construction et essais</w:t>
            </w:r>
          </w:p>
        </w:tc>
        <w:tc>
          <w:tcPr>
            <w:tcW w:w="1559" w:type="dxa"/>
            <w:shd w:val="clear" w:color="auto" w:fill="auto"/>
          </w:tcPr>
          <w:p w14:paraId="4E33FBF7" w14:textId="77777777" w:rsidR="00CD4AFF" w:rsidRPr="007C3BF1" w:rsidRDefault="00CD4AFF" w:rsidP="00B03A5F">
            <w:pPr>
              <w:spacing w:before="40" w:after="40" w:line="240" w:lineRule="auto"/>
              <w:ind w:left="57" w:right="57"/>
              <w:rPr>
                <w:rFonts w:cs="Arial"/>
                <w:sz w:val="18"/>
                <w:szCs w:val="18"/>
              </w:rPr>
            </w:pPr>
            <w:r w:rsidRPr="007C3BF1">
              <w:rPr>
                <w:sz w:val="18"/>
                <w:szCs w:val="18"/>
              </w:rPr>
              <w:t>Jusqu’au 31 décembre 2014</w:t>
            </w:r>
          </w:p>
        </w:tc>
      </w:tr>
      <w:tr w:rsidR="00CD4AFF" w:rsidRPr="007C3BF1" w14:paraId="2C47A6A8" w14:textId="77777777" w:rsidTr="00B03A5F">
        <w:tc>
          <w:tcPr>
            <w:tcW w:w="1820" w:type="dxa"/>
            <w:shd w:val="clear" w:color="auto" w:fill="auto"/>
          </w:tcPr>
          <w:p w14:paraId="722F6C0D" w14:textId="77777777" w:rsidR="00CD4AFF" w:rsidRPr="007C3BF1" w:rsidRDefault="00CD4AFF" w:rsidP="00B03A5F">
            <w:pPr>
              <w:spacing w:before="40" w:after="40" w:line="240" w:lineRule="auto"/>
              <w:ind w:left="57" w:right="57"/>
              <w:rPr>
                <w:rFonts w:cs="Arial"/>
                <w:sz w:val="18"/>
                <w:szCs w:val="18"/>
              </w:rPr>
            </w:pPr>
            <w:r w:rsidRPr="007C3BF1">
              <w:rPr>
                <w:sz w:val="18"/>
                <w:szCs w:val="18"/>
              </w:rPr>
              <w:t>EN ISO 11117:2008 + Cor 1:2009</w:t>
            </w:r>
          </w:p>
        </w:tc>
        <w:tc>
          <w:tcPr>
            <w:tcW w:w="3991" w:type="dxa"/>
            <w:shd w:val="clear" w:color="auto" w:fill="auto"/>
          </w:tcPr>
          <w:p w14:paraId="20511035" w14:textId="77777777" w:rsidR="00CD4AFF" w:rsidRPr="007C3BF1" w:rsidRDefault="00CD4AFF" w:rsidP="00B03A5F">
            <w:pPr>
              <w:spacing w:before="40" w:after="40" w:line="240" w:lineRule="auto"/>
              <w:ind w:left="57" w:right="57"/>
              <w:rPr>
                <w:rFonts w:cs="Arial"/>
                <w:sz w:val="18"/>
                <w:szCs w:val="18"/>
              </w:rPr>
            </w:pPr>
            <w:r w:rsidRPr="007C3BF1">
              <w:rPr>
                <w:sz w:val="18"/>
                <w:szCs w:val="18"/>
              </w:rPr>
              <w:t>Bouteilles à gaz − Chapeaux fermés et chapeaux ouverts de protection des robinets − Conception, construction et essais</w:t>
            </w:r>
          </w:p>
        </w:tc>
        <w:tc>
          <w:tcPr>
            <w:tcW w:w="1559" w:type="dxa"/>
            <w:shd w:val="clear" w:color="auto" w:fill="auto"/>
          </w:tcPr>
          <w:p w14:paraId="60E780DE" w14:textId="77777777" w:rsidR="00CD4AFF" w:rsidRPr="007C3BF1" w:rsidRDefault="00CD4AFF" w:rsidP="00B03A5F">
            <w:pPr>
              <w:spacing w:before="40" w:after="40" w:line="240" w:lineRule="auto"/>
              <w:ind w:left="57" w:right="57"/>
              <w:rPr>
                <w:rFonts w:cs="Arial"/>
              </w:rPr>
            </w:pPr>
            <w:r w:rsidRPr="007C3BF1">
              <w:rPr>
                <w:sz w:val="18"/>
                <w:szCs w:val="18"/>
              </w:rPr>
              <w:t>Jusqu’au 31 décembre 2024</w:t>
            </w:r>
          </w:p>
        </w:tc>
      </w:tr>
      <w:tr w:rsidR="00CD4AFF" w:rsidRPr="007C3BF1" w14:paraId="302CB0F8" w14:textId="77777777" w:rsidTr="00B03A5F">
        <w:tc>
          <w:tcPr>
            <w:tcW w:w="1820" w:type="dxa"/>
            <w:shd w:val="clear" w:color="auto" w:fill="auto"/>
          </w:tcPr>
          <w:p w14:paraId="53D144FC" w14:textId="77777777" w:rsidR="00CD4AFF" w:rsidRPr="007C3BF1" w:rsidRDefault="00CD4AFF" w:rsidP="00B03A5F">
            <w:pPr>
              <w:spacing w:before="40" w:after="40" w:line="240" w:lineRule="auto"/>
              <w:ind w:left="57" w:right="57"/>
              <w:rPr>
                <w:rFonts w:cs="Arial"/>
                <w:bCs/>
                <w:sz w:val="18"/>
                <w:szCs w:val="18"/>
              </w:rPr>
            </w:pPr>
            <w:r w:rsidRPr="007C3BF1">
              <w:rPr>
                <w:bCs/>
                <w:sz w:val="18"/>
                <w:szCs w:val="18"/>
              </w:rPr>
              <w:t>EN ISO 11117:2019</w:t>
            </w:r>
          </w:p>
        </w:tc>
        <w:tc>
          <w:tcPr>
            <w:tcW w:w="3991" w:type="dxa"/>
            <w:shd w:val="clear" w:color="auto" w:fill="auto"/>
          </w:tcPr>
          <w:p w14:paraId="1E505C1A" w14:textId="77777777" w:rsidR="00CD4AFF" w:rsidRPr="007C3BF1" w:rsidRDefault="00CD4AFF" w:rsidP="00B03A5F">
            <w:pPr>
              <w:spacing w:before="40" w:after="40" w:line="240" w:lineRule="auto"/>
              <w:ind w:left="57" w:right="57"/>
              <w:rPr>
                <w:rFonts w:cs="Arial"/>
                <w:bCs/>
                <w:sz w:val="18"/>
                <w:szCs w:val="18"/>
              </w:rPr>
            </w:pPr>
            <w:r w:rsidRPr="007C3BF1">
              <w:rPr>
                <w:bCs/>
                <w:sz w:val="18"/>
                <w:szCs w:val="18"/>
              </w:rPr>
              <w:t>Bouteilles à gaz − Chapeaux fermés et chapeaux ouverts de protection des robinets − Conception, construction et essais</w:t>
            </w:r>
          </w:p>
        </w:tc>
        <w:tc>
          <w:tcPr>
            <w:tcW w:w="1559" w:type="dxa"/>
            <w:shd w:val="clear" w:color="auto" w:fill="auto"/>
          </w:tcPr>
          <w:p w14:paraId="0BEA2226" w14:textId="77777777" w:rsidR="00CD4AFF" w:rsidRPr="007C3BF1" w:rsidRDefault="00CD4AFF" w:rsidP="00B03A5F">
            <w:pPr>
              <w:spacing w:before="40" w:after="40" w:line="240" w:lineRule="auto"/>
              <w:ind w:left="57" w:right="57"/>
              <w:rPr>
                <w:rFonts w:cs="Arial"/>
                <w:bCs/>
              </w:rPr>
            </w:pPr>
            <w:r w:rsidRPr="007C3BF1">
              <w:rPr>
                <w:bCs/>
                <w:sz w:val="18"/>
                <w:szCs w:val="18"/>
              </w:rPr>
              <w:t>Jusqu’à nouvel ordre</w:t>
            </w:r>
          </w:p>
        </w:tc>
      </w:tr>
      <w:tr w:rsidR="00CD4AFF" w:rsidRPr="007C3BF1" w14:paraId="50D1C100" w14:textId="77777777" w:rsidTr="00B03A5F">
        <w:tc>
          <w:tcPr>
            <w:tcW w:w="1820" w:type="dxa"/>
            <w:shd w:val="clear" w:color="auto" w:fill="auto"/>
          </w:tcPr>
          <w:p w14:paraId="3D8DF788" w14:textId="77777777" w:rsidR="00CD4AFF" w:rsidRPr="007C3BF1" w:rsidRDefault="00CD4AFF" w:rsidP="00B03A5F">
            <w:pPr>
              <w:spacing w:before="40" w:after="40" w:line="240" w:lineRule="auto"/>
              <w:ind w:left="57" w:right="57"/>
              <w:rPr>
                <w:rFonts w:cs="Arial"/>
              </w:rPr>
            </w:pPr>
            <w:r w:rsidRPr="007C3BF1">
              <w:rPr>
                <w:sz w:val="18"/>
                <w:szCs w:val="18"/>
              </w:rPr>
              <w:t>EN 962:1996 +A2:2000</w:t>
            </w:r>
          </w:p>
        </w:tc>
        <w:tc>
          <w:tcPr>
            <w:tcW w:w="3991" w:type="dxa"/>
            <w:shd w:val="clear" w:color="auto" w:fill="auto"/>
          </w:tcPr>
          <w:p w14:paraId="0A5DE34B" w14:textId="77777777" w:rsidR="00CD4AFF" w:rsidRPr="007C3BF1" w:rsidRDefault="00CD4AFF" w:rsidP="00B03A5F">
            <w:pPr>
              <w:spacing w:before="40" w:after="40" w:line="240" w:lineRule="auto"/>
              <w:ind w:left="57" w:right="57"/>
              <w:rPr>
                <w:rFonts w:cs="Arial"/>
              </w:rPr>
            </w:pPr>
            <w:r w:rsidRPr="007C3BF1">
              <w:rPr>
                <w:sz w:val="18"/>
                <w:szCs w:val="18"/>
              </w:rPr>
              <w:t>Bouteilles à gaz transportables − Chapeaux fermés et chapeaux ouverts de protection des robinets de bouteilles à gaz industriels et médicaux − Conception, construction et essais</w:t>
            </w:r>
          </w:p>
        </w:tc>
        <w:tc>
          <w:tcPr>
            <w:tcW w:w="1559" w:type="dxa"/>
            <w:shd w:val="clear" w:color="auto" w:fill="auto"/>
          </w:tcPr>
          <w:p w14:paraId="4EE56147" w14:textId="77777777" w:rsidR="00CD4AFF" w:rsidRPr="007C3BF1" w:rsidRDefault="00CD4AFF" w:rsidP="00B03A5F">
            <w:pPr>
              <w:spacing w:before="40" w:after="40" w:line="240" w:lineRule="auto"/>
              <w:ind w:left="57" w:right="57"/>
              <w:rPr>
                <w:rFonts w:cs="Arial"/>
              </w:rPr>
            </w:pPr>
            <w:r w:rsidRPr="007C3BF1">
              <w:rPr>
                <w:sz w:val="18"/>
                <w:szCs w:val="18"/>
              </w:rPr>
              <w:t>Jusqu’au 31 décembre 2014</w:t>
            </w:r>
          </w:p>
        </w:tc>
      </w:tr>
    </w:tbl>
    <w:p w14:paraId="19E5FF89" w14:textId="77777777" w:rsidR="00CD4AFF" w:rsidRPr="00EE008F" w:rsidRDefault="00CD4AFF" w:rsidP="00CD4AFF">
      <w:pPr>
        <w:pStyle w:val="SingleTxtG"/>
        <w:spacing w:before="120"/>
        <w:rPr>
          <w:i/>
        </w:rPr>
      </w:pPr>
      <w:r w:rsidRPr="00EE008F">
        <w:rPr>
          <w:i/>
        </w:rPr>
        <w:t>(Document de référence : document informel INF.</w:t>
      </w:r>
      <w:r>
        <w:rPr>
          <w:i/>
        </w:rPr>
        <w:t>8</w:t>
      </w:r>
      <w:r w:rsidRPr="00EE008F">
        <w:rPr>
          <w:i/>
        </w:rPr>
        <w:t>)</w:t>
      </w:r>
    </w:p>
    <w:p w14:paraId="2788D8C7" w14:textId="77777777" w:rsidR="00CD4AFF" w:rsidRPr="007C3BF1" w:rsidRDefault="00CD4AFF" w:rsidP="00CD4AFF">
      <w:pPr>
        <w:pStyle w:val="H1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r>
      <w:r w:rsidRPr="00A04879">
        <w:t>Chapitre</w:t>
      </w:r>
      <w:r w:rsidRPr="007C3BF1">
        <w:rPr>
          <w:rFonts w:asciiTheme="majorBidi" w:hAnsiTheme="majorBidi" w:cstheme="majorBidi"/>
        </w:rPr>
        <w:t xml:space="preserve"> 4.3</w:t>
      </w:r>
    </w:p>
    <w:p w14:paraId="47F11200" w14:textId="77777777" w:rsidR="00CD4AFF" w:rsidRPr="007C3BF1" w:rsidRDefault="00CD4AFF" w:rsidP="00CD4AFF">
      <w:pPr>
        <w:spacing w:after="120"/>
        <w:ind w:left="1134" w:right="1134"/>
        <w:jc w:val="both"/>
        <w:rPr>
          <w:lang w:eastAsia="fr-FR"/>
        </w:rPr>
      </w:pPr>
      <w:r w:rsidRPr="007C3BF1">
        <w:rPr>
          <w:lang w:eastAsia="fr-FR"/>
        </w:rPr>
        <w:t xml:space="preserve">4.3.3.3.2 </w:t>
      </w:r>
      <w:r w:rsidRPr="007C3BF1">
        <w:rPr>
          <w:lang w:eastAsia="fr-FR"/>
        </w:rPr>
        <w:tab/>
        <w:t xml:space="preserve">Supprimer et ajouter « 4.3.3.3.2 </w:t>
      </w:r>
      <w:r w:rsidRPr="007C3BF1">
        <w:rPr>
          <w:i/>
          <w:lang w:eastAsia="fr-FR"/>
        </w:rPr>
        <w:t>(Supprimé) </w:t>
      </w:r>
      <w:r w:rsidRPr="007C3BF1">
        <w:rPr>
          <w:lang w:eastAsia="fr-FR"/>
        </w:rPr>
        <w:t>».</w:t>
      </w:r>
    </w:p>
    <w:p w14:paraId="064C5D53"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3AA4EC08" w14:textId="77777777" w:rsidR="00CD4AFF" w:rsidRPr="007C3BF1" w:rsidRDefault="00CD4AFF" w:rsidP="00CD4AFF">
      <w:pPr>
        <w:pStyle w:val="H1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5.3</w:t>
      </w:r>
    </w:p>
    <w:p w14:paraId="63FFAF31" w14:textId="77777777" w:rsidR="00CD4AFF" w:rsidRPr="007C3BF1" w:rsidRDefault="00CD4AFF" w:rsidP="00CD4AFF">
      <w:pPr>
        <w:spacing w:after="120"/>
        <w:ind w:left="1134" w:right="1134"/>
        <w:jc w:val="both"/>
      </w:pPr>
      <w:r w:rsidRPr="007C3BF1">
        <w:t>5.3.2.1.5</w:t>
      </w:r>
      <w:r w:rsidRPr="007C3BF1">
        <w:tab/>
        <w:t>Modifier le nota pour lire comme suite :</w:t>
      </w:r>
    </w:p>
    <w:p w14:paraId="62F0E528" w14:textId="77777777" w:rsidR="00CD4AFF" w:rsidRPr="007C3BF1" w:rsidRDefault="00CD4AFF" w:rsidP="00CD4AFF">
      <w:pPr>
        <w:spacing w:after="120"/>
        <w:ind w:left="1134" w:right="1134"/>
        <w:jc w:val="both"/>
      </w:pPr>
      <w:r w:rsidRPr="007C3BF1">
        <w:t>« </w:t>
      </w:r>
      <w:r w:rsidRPr="007C3BF1">
        <w:rPr>
          <w:b/>
          <w:bCs/>
          <w:i/>
          <w:iCs/>
        </w:rPr>
        <w:t>NOTA :</w:t>
      </w:r>
      <w:r w:rsidRPr="007C3BF1">
        <w:rPr>
          <w:i/>
          <w:iCs/>
        </w:rPr>
        <w:tab/>
        <w:t>Il n'est pas nécessaire d'appliquer ce paragraphe aux véhicules transportant des conteneurs pour vrac, citernes ou CGEM d'une capacité maximale de 3 000 litres.</w:t>
      </w:r>
      <w:r w:rsidRPr="007C3BF1">
        <w:t> »</w:t>
      </w:r>
    </w:p>
    <w:p w14:paraId="4E94211F"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23C78A30" w14:textId="77777777" w:rsidR="00CD4AFF" w:rsidRPr="0050519A" w:rsidRDefault="00CD4AFF" w:rsidP="00CD4AFF">
      <w:pPr>
        <w:pStyle w:val="H1G"/>
        <w:rPr>
          <w:lang w:val="fr-FR"/>
        </w:rPr>
      </w:pPr>
      <w:r w:rsidRPr="0050519A">
        <w:rPr>
          <w:lang w:val="fr-FR"/>
        </w:rPr>
        <w:lastRenderedPageBreak/>
        <w:tab/>
      </w:r>
      <w:r w:rsidRPr="0050519A">
        <w:rPr>
          <w:lang w:val="fr-FR"/>
        </w:rPr>
        <w:tab/>
        <w:t>Chapitre 5.4</w:t>
      </w:r>
    </w:p>
    <w:p w14:paraId="390D2ACE" w14:textId="77777777" w:rsidR="00CD4AFF" w:rsidRPr="00102EF6" w:rsidRDefault="00CD4AFF" w:rsidP="00CD4AFF">
      <w:pPr>
        <w:pStyle w:val="SingleTxtG"/>
        <w:ind w:left="2268" w:hanging="1134"/>
        <w:rPr>
          <w:lang w:val="fr-FR"/>
        </w:rPr>
      </w:pPr>
      <w:r w:rsidRPr="0050519A">
        <w:rPr>
          <w:lang w:val="fr-FR"/>
        </w:rPr>
        <w:t>5.4.1.1.1 k)</w:t>
      </w:r>
      <w:r w:rsidRPr="0050519A">
        <w:rPr>
          <w:lang w:val="fr-FR"/>
        </w:rPr>
        <w:tab/>
        <w:t xml:space="preserve">À la fin, ajouter </w:t>
      </w:r>
      <w:r w:rsidRPr="00102EF6">
        <w:rPr>
          <w:lang w:val="fr-FR"/>
        </w:rPr>
        <w:t>« ou comme spécifié dans un arrangement spécial sur la base du 1.7.4.2 ».</w:t>
      </w:r>
    </w:p>
    <w:p w14:paraId="492FF2BB" w14:textId="77777777" w:rsidR="00CD4AFF" w:rsidRPr="00102EF6" w:rsidRDefault="00CD4AFF" w:rsidP="00CD4AFF">
      <w:pPr>
        <w:pStyle w:val="SingleTxtG"/>
        <w:rPr>
          <w:i/>
        </w:rPr>
      </w:pPr>
      <w:r w:rsidRPr="00102EF6">
        <w:rPr>
          <w:i/>
        </w:rPr>
        <w:t>(</w:t>
      </w:r>
      <w:r w:rsidRPr="00102EF6">
        <w:rPr>
          <w:i/>
          <w:iCs/>
          <w:lang w:val="fr-FR" w:eastAsia="en-GB"/>
        </w:rPr>
        <w:t xml:space="preserve">Document de référence </w:t>
      </w:r>
      <w:r w:rsidRPr="00102EF6">
        <w:rPr>
          <w:i/>
        </w:rPr>
        <w:t>: document informel INF.23)</w:t>
      </w:r>
    </w:p>
    <w:p w14:paraId="4F7FDE3A" w14:textId="77777777" w:rsidR="00CD4AFF" w:rsidRPr="007C3BF1" w:rsidRDefault="00CD4AFF" w:rsidP="00CD4AFF">
      <w:pPr>
        <w:pStyle w:val="H1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6.2</w:t>
      </w:r>
    </w:p>
    <w:p w14:paraId="777D3F4B" w14:textId="77777777" w:rsidR="00CD4AFF" w:rsidRPr="007626F3" w:rsidRDefault="00CD4AFF" w:rsidP="00CD4AFF">
      <w:pPr>
        <w:pStyle w:val="SingleTxtG"/>
        <w:ind w:left="2268" w:hanging="1134"/>
      </w:pPr>
      <w:r w:rsidRPr="007C3BF1">
        <w:t>6.2.3.5.1</w:t>
      </w:r>
      <w:r w:rsidRPr="007C3BF1">
        <w:tab/>
        <w:t>Au NOTA 2, remplacer « EN ISO 16148:2016 » par « EN ISO 16148:2016 + A1:2020 ».</w:t>
      </w:r>
    </w:p>
    <w:p w14:paraId="1AF2137D"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53E263F9" w14:textId="77777777" w:rsidR="00CD4AFF" w:rsidRPr="007C3BF1" w:rsidRDefault="00CD4AFF" w:rsidP="00CD4AFF">
      <w:pPr>
        <w:spacing w:after="120"/>
        <w:ind w:left="2268" w:right="1134" w:hanging="1134"/>
        <w:jc w:val="both"/>
      </w:pPr>
      <w:r w:rsidRPr="007C3BF1">
        <w:t>6.2.4.1</w:t>
      </w:r>
      <w:r w:rsidRPr="007C3BF1">
        <w:tab/>
      </w:r>
      <w:r w:rsidRPr="007C3BF1">
        <w:tab/>
        <w:t>Dans le tableau, sous « Pour la construction et la fabrication », ajouter la nouvelle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CD4AFF" w:rsidRPr="007C3BF1" w14:paraId="00054F30" w14:textId="77777777" w:rsidTr="00B03A5F">
        <w:tc>
          <w:tcPr>
            <w:tcW w:w="1701" w:type="dxa"/>
            <w:vAlign w:val="center"/>
          </w:tcPr>
          <w:p w14:paraId="2F221ED3" w14:textId="77777777" w:rsidR="00CD4AFF" w:rsidRPr="007C3BF1" w:rsidRDefault="00CD4AFF" w:rsidP="00B03A5F">
            <w:pPr>
              <w:widowControl w:val="0"/>
              <w:spacing w:before="60" w:after="60"/>
            </w:pPr>
            <w:r w:rsidRPr="007C3BF1">
              <w:t xml:space="preserve">EN 17339:2020 </w:t>
            </w:r>
          </w:p>
          <w:p w14:paraId="4B05568C" w14:textId="77777777" w:rsidR="00CD4AFF" w:rsidRPr="007C3BF1" w:rsidRDefault="00CD4AFF" w:rsidP="00B03A5F">
            <w:pPr>
              <w:widowControl w:val="0"/>
              <w:spacing w:before="60" w:after="60"/>
            </w:pPr>
          </w:p>
        </w:tc>
        <w:tc>
          <w:tcPr>
            <w:tcW w:w="3686" w:type="dxa"/>
          </w:tcPr>
          <w:p w14:paraId="26D62728" w14:textId="77777777" w:rsidR="00CD4AFF" w:rsidRPr="007C3BF1" w:rsidRDefault="00CD4AFF" w:rsidP="00B03A5F">
            <w:pPr>
              <w:widowControl w:val="0"/>
              <w:spacing w:before="60" w:after="120"/>
            </w:pPr>
            <w:r w:rsidRPr="007C3BF1">
              <w:t>Bouteilles à gaz transportables - Bouteilles et tubes entièrement bobinées en matériaux composites carbones pour l'hydrogène</w:t>
            </w:r>
          </w:p>
        </w:tc>
        <w:tc>
          <w:tcPr>
            <w:tcW w:w="1417" w:type="dxa"/>
            <w:vAlign w:val="center"/>
          </w:tcPr>
          <w:p w14:paraId="00A8EB66" w14:textId="77777777" w:rsidR="00CD4AFF" w:rsidRPr="007C3BF1" w:rsidRDefault="00CD4AFF" w:rsidP="00B03A5F">
            <w:pPr>
              <w:widowControl w:val="0"/>
              <w:spacing w:before="60" w:after="60"/>
            </w:pPr>
            <w:r w:rsidRPr="007C3BF1">
              <w:t>6.2.3.1 et 6.2.3.3</w:t>
            </w:r>
          </w:p>
        </w:tc>
        <w:tc>
          <w:tcPr>
            <w:tcW w:w="992" w:type="dxa"/>
            <w:vAlign w:val="center"/>
          </w:tcPr>
          <w:p w14:paraId="6B5B4E91" w14:textId="77777777" w:rsidR="00CD4AFF" w:rsidRPr="007C3BF1" w:rsidRDefault="00CD4AFF" w:rsidP="00B03A5F">
            <w:pPr>
              <w:widowControl w:val="0"/>
              <w:spacing w:before="60" w:after="60"/>
            </w:pPr>
            <w:r w:rsidRPr="007C3BF1">
              <w:t>Jusqu’à nouvel ordre</w:t>
            </w:r>
          </w:p>
        </w:tc>
        <w:tc>
          <w:tcPr>
            <w:tcW w:w="851" w:type="dxa"/>
            <w:vAlign w:val="center"/>
          </w:tcPr>
          <w:p w14:paraId="28E1F874" w14:textId="77777777" w:rsidR="00CD4AFF" w:rsidRPr="007C3BF1" w:rsidRDefault="00CD4AFF" w:rsidP="00B03A5F">
            <w:pPr>
              <w:widowControl w:val="0"/>
              <w:spacing w:before="60" w:after="60"/>
            </w:pPr>
          </w:p>
        </w:tc>
      </w:tr>
    </w:tbl>
    <w:p w14:paraId="66BB9E21" w14:textId="77777777" w:rsidR="00CD4AFF" w:rsidRPr="007C3BF1" w:rsidRDefault="00CD4AFF" w:rsidP="00CD4AFF">
      <w:pPr>
        <w:tabs>
          <w:tab w:val="left" w:pos="2268"/>
        </w:tabs>
        <w:spacing w:before="120" w:after="120"/>
        <w:ind w:left="1134" w:right="1134"/>
        <w:jc w:val="both"/>
      </w:pPr>
      <w:r w:rsidRPr="007C3BF1">
        <w:tab/>
        <w:t>Dans le tableau, sous « Pour les fermetures » :</w:t>
      </w:r>
    </w:p>
    <w:p w14:paraId="46AE52F2" w14:textId="77777777" w:rsidR="00CD4AFF" w:rsidRPr="007C3BF1" w:rsidRDefault="00CD4AFF" w:rsidP="00CD4AFF">
      <w:pPr>
        <w:numPr>
          <w:ilvl w:val="0"/>
          <w:numId w:val="14"/>
        </w:numPr>
        <w:kinsoku/>
        <w:overflowPunct/>
        <w:autoSpaceDE/>
        <w:autoSpaceDN/>
        <w:adjustRightInd/>
        <w:snapToGrid/>
        <w:spacing w:before="120" w:after="120"/>
        <w:ind w:left="2410" w:right="1134" w:hanging="142"/>
        <w:jc w:val="both"/>
      </w:pPr>
      <w:r w:rsidRPr="007C3BF1">
        <w:t xml:space="preserve">Pour « EN 13175:2019 (sauf article 6.1.6) », dans la colonne 4), </w:t>
      </w:r>
      <w:r w:rsidRPr="007C3BF1">
        <w:rPr>
          <w:bCs/>
        </w:rPr>
        <w:t>remplacer</w:t>
      </w:r>
      <w:r w:rsidRPr="007C3BF1">
        <w:t xml:space="preserve"> « Jusqu’à nouvel ordre » par « Entre le 1er janvier 2021 et le 31 décembre 2024 ». Après la ligne pour « EN 13175:2019 (sauf article 6.1.6) », ajouter la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CD4AFF" w:rsidRPr="007C3BF1" w14:paraId="423043E9" w14:textId="77777777" w:rsidTr="00B03A5F">
        <w:tc>
          <w:tcPr>
            <w:tcW w:w="1701" w:type="dxa"/>
            <w:vAlign w:val="center"/>
          </w:tcPr>
          <w:p w14:paraId="28B0F864" w14:textId="77777777" w:rsidR="00CD4AFF" w:rsidRPr="007C3BF1" w:rsidRDefault="00CD4AFF" w:rsidP="00B03A5F">
            <w:pPr>
              <w:widowControl w:val="0"/>
              <w:spacing w:before="60" w:after="60"/>
            </w:pPr>
            <w:r w:rsidRPr="007C3BF1">
              <w:t>EN 13175:2019 + A1:2020</w:t>
            </w:r>
          </w:p>
        </w:tc>
        <w:tc>
          <w:tcPr>
            <w:tcW w:w="3686" w:type="dxa"/>
          </w:tcPr>
          <w:p w14:paraId="2835CC14" w14:textId="77777777" w:rsidR="00CD4AFF" w:rsidRPr="007C3BF1" w:rsidRDefault="00CD4AFF" w:rsidP="00B03A5F">
            <w:pPr>
              <w:widowControl w:val="0"/>
              <w:spacing w:before="60" w:after="120"/>
            </w:pPr>
            <w:r w:rsidRPr="007C3BF1">
              <w:t>Équipements pour GPL et leurs accessoires - Spécifications et essais des équipements et accessoires des réservoirs pour gaz de pétrole liquéfié</w:t>
            </w:r>
          </w:p>
        </w:tc>
        <w:tc>
          <w:tcPr>
            <w:tcW w:w="1417" w:type="dxa"/>
            <w:vAlign w:val="center"/>
          </w:tcPr>
          <w:p w14:paraId="32E2D423" w14:textId="77777777" w:rsidR="00CD4AFF" w:rsidRPr="007C3BF1" w:rsidRDefault="00CD4AFF" w:rsidP="00B03A5F">
            <w:pPr>
              <w:widowControl w:val="0"/>
              <w:spacing w:before="60" w:after="60"/>
            </w:pPr>
            <w:r w:rsidRPr="007C3BF1">
              <w:t>6.2.3.1 et 6.2.3.3</w:t>
            </w:r>
          </w:p>
        </w:tc>
        <w:tc>
          <w:tcPr>
            <w:tcW w:w="992" w:type="dxa"/>
            <w:vAlign w:val="center"/>
          </w:tcPr>
          <w:p w14:paraId="42F11762" w14:textId="77777777" w:rsidR="00CD4AFF" w:rsidRPr="007C3BF1" w:rsidRDefault="00CD4AFF" w:rsidP="00B03A5F">
            <w:pPr>
              <w:widowControl w:val="0"/>
              <w:spacing w:before="60" w:after="60"/>
            </w:pPr>
            <w:r w:rsidRPr="007C3BF1">
              <w:t>Jusqu’à nouvel ordre</w:t>
            </w:r>
          </w:p>
        </w:tc>
        <w:tc>
          <w:tcPr>
            <w:tcW w:w="851" w:type="dxa"/>
            <w:vAlign w:val="center"/>
          </w:tcPr>
          <w:p w14:paraId="361AEE2F" w14:textId="77777777" w:rsidR="00CD4AFF" w:rsidRPr="007C3BF1" w:rsidRDefault="00CD4AFF" w:rsidP="00B03A5F">
            <w:pPr>
              <w:widowControl w:val="0"/>
              <w:spacing w:before="60" w:after="60"/>
            </w:pPr>
          </w:p>
        </w:tc>
      </w:tr>
    </w:tbl>
    <w:p w14:paraId="50AA1C62" w14:textId="77777777" w:rsidR="00CD4AFF" w:rsidRPr="007C3BF1" w:rsidRDefault="00CD4AFF" w:rsidP="00CD4AFF">
      <w:pPr>
        <w:numPr>
          <w:ilvl w:val="0"/>
          <w:numId w:val="14"/>
        </w:numPr>
        <w:kinsoku/>
        <w:overflowPunct/>
        <w:autoSpaceDE/>
        <w:autoSpaceDN/>
        <w:adjustRightInd/>
        <w:snapToGrid/>
        <w:spacing w:before="120" w:after="120"/>
        <w:ind w:left="2410" w:right="1134" w:hanging="142"/>
        <w:jc w:val="both"/>
      </w:pPr>
      <w:r w:rsidRPr="007C3BF1">
        <w:t xml:space="preserve">Pour « EN 13953:2015 », dans la colonne 4), </w:t>
      </w:r>
      <w:r w:rsidRPr="007C3BF1">
        <w:rPr>
          <w:bCs/>
        </w:rPr>
        <w:t>remplacer</w:t>
      </w:r>
      <w:r w:rsidRPr="007C3BF1">
        <w:t xml:space="preserve"> « Jusqu’à nouvel ordre » par « Entre le 1er janvier 2017 et le 31 décembre 2024 ». Après la ligne pour « EN 13953:2015 », ajouter la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CD4AFF" w:rsidRPr="007C3BF1" w14:paraId="1F2C5915" w14:textId="77777777" w:rsidTr="00B03A5F">
        <w:tc>
          <w:tcPr>
            <w:tcW w:w="1701" w:type="dxa"/>
            <w:vAlign w:val="center"/>
          </w:tcPr>
          <w:p w14:paraId="290FB42B" w14:textId="77777777" w:rsidR="00CD4AFF" w:rsidRPr="007C3BF1" w:rsidRDefault="00CD4AFF" w:rsidP="00B03A5F">
            <w:pPr>
              <w:widowControl w:val="0"/>
              <w:spacing w:before="60" w:after="60"/>
            </w:pPr>
            <w:r w:rsidRPr="007C3BF1">
              <w:t>EN 13953:2020</w:t>
            </w:r>
          </w:p>
        </w:tc>
        <w:tc>
          <w:tcPr>
            <w:tcW w:w="3686" w:type="dxa"/>
          </w:tcPr>
          <w:p w14:paraId="5A7FA3EB" w14:textId="77777777" w:rsidR="00CD4AFF" w:rsidRPr="007C3BF1" w:rsidRDefault="00CD4AFF" w:rsidP="00B03A5F">
            <w:pPr>
              <w:widowControl w:val="0"/>
              <w:spacing w:before="60" w:after="120"/>
            </w:pPr>
            <w:r w:rsidRPr="007C3BF1">
              <w:t>Équipements et accessoires GPL - Soupapes de sécurité des bouteilles transportables et rechargeables pour gaz de pétrole liquéfiés (GPL)</w:t>
            </w:r>
          </w:p>
        </w:tc>
        <w:tc>
          <w:tcPr>
            <w:tcW w:w="1417" w:type="dxa"/>
            <w:vAlign w:val="center"/>
          </w:tcPr>
          <w:p w14:paraId="6DC06774" w14:textId="77777777" w:rsidR="00CD4AFF" w:rsidRPr="007C3BF1" w:rsidRDefault="00CD4AFF" w:rsidP="00B03A5F">
            <w:pPr>
              <w:widowControl w:val="0"/>
              <w:spacing w:before="60" w:after="60"/>
            </w:pPr>
            <w:r w:rsidRPr="007C3BF1">
              <w:t>6.2.3.1, 6.2.3.3 et 6.2.3.4</w:t>
            </w:r>
          </w:p>
        </w:tc>
        <w:tc>
          <w:tcPr>
            <w:tcW w:w="992" w:type="dxa"/>
            <w:vAlign w:val="center"/>
          </w:tcPr>
          <w:p w14:paraId="094DBB5D" w14:textId="77777777" w:rsidR="00CD4AFF" w:rsidRPr="007C3BF1" w:rsidRDefault="00CD4AFF" w:rsidP="00B03A5F">
            <w:pPr>
              <w:widowControl w:val="0"/>
              <w:spacing w:before="60" w:after="60"/>
            </w:pPr>
            <w:r w:rsidRPr="007C3BF1">
              <w:t>Jusqu’à nouvel ordre</w:t>
            </w:r>
          </w:p>
        </w:tc>
        <w:tc>
          <w:tcPr>
            <w:tcW w:w="851" w:type="dxa"/>
            <w:vAlign w:val="center"/>
          </w:tcPr>
          <w:p w14:paraId="061999C2" w14:textId="77777777" w:rsidR="00CD4AFF" w:rsidRPr="007C3BF1" w:rsidRDefault="00CD4AFF" w:rsidP="00B03A5F">
            <w:pPr>
              <w:widowControl w:val="0"/>
              <w:spacing w:before="60" w:after="60"/>
            </w:pPr>
          </w:p>
        </w:tc>
      </w:tr>
    </w:tbl>
    <w:p w14:paraId="0362378D" w14:textId="77777777" w:rsidR="00CD4AFF" w:rsidRPr="00EE008F" w:rsidRDefault="00CD4AFF" w:rsidP="00CD4AFF">
      <w:pPr>
        <w:pStyle w:val="SingleTxtG"/>
        <w:spacing w:before="120"/>
        <w:rPr>
          <w:i/>
        </w:rPr>
      </w:pPr>
      <w:r w:rsidRPr="00EE008F">
        <w:rPr>
          <w:i/>
        </w:rPr>
        <w:t>(Document de référence : document informel INF.</w:t>
      </w:r>
      <w:r>
        <w:rPr>
          <w:i/>
        </w:rPr>
        <w:t>8</w:t>
      </w:r>
      <w:r w:rsidRPr="00EE008F">
        <w:rPr>
          <w:i/>
        </w:rPr>
        <w:t>)</w:t>
      </w:r>
    </w:p>
    <w:p w14:paraId="69F9C32F" w14:textId="77777777" w:rsidR="00CD4AFF" w:rsidRPr="007C3BF1" w:rsidRDefault="00CD4AFF" w:rsidP="00CD4AFF">
      <w:pPr>
        <w:spacing w:after="120"/>
        <w:ind w:left="2268" w:right="1134" w:hanging="1134"/>
        <w:jc w:val="both"/>
      </w:pPr>
      <w:r w:rsidRPr="007C3BF1">
        <w:t>6.2.5.4.2</w:t>
      </w:r>
      <w:r w:rsidRPr="007C3BF1">
        <w:tab/>
        <w:t>Remplacer « EN 1975:1999 + A1:2003 » par « EN ISO 7866:2012 + AC:2014 ».</w:t>
      </w:r>
    </w:p>
    <w:p w14:paraId="2DC1CD4C"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7EEDB3AC" w14:textId="77777777" w:rsidR="00CD4AFF" w:rsidRPr="007C3BF1" w:rsidRDefault="00CD4AFF" w:rsidP="00CD4AFF">
      <w:pPr>
        <w:pStyle w:val="H1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r>
      <w:r w:rsidRPr="00A04879">
        <w:t>Chapitre</w:t>
      </w:r>
      <w:r w:rsidRPr="007C3BF1">
        <w:rPr>
          <w:rFonts w:asciiTheme="majorBidi" w:hAnsiTheme="majorBidi" w:cstheme="majorBidi"/>
        </w:rPr>
        <w:t xml:space="preserve"> 6.8</w:t>
      </w:r>
      <w:r w:rsidRPr="007C3BF1">
        <w:rPr>
          <w:rFonts w:asciiTheme="majorBidi" w:hAnsiTheme="majorBidi" w:cstheme="majorBidi"/>
        </w:rPr>
        <w:tab/>
      </w:r>
      <w:r w:rsidRPr="007C3BF1">
        <w:rPr>
          <w:rFonts w:asciiTheme="majorBidi" w:hAnsiTheme="majorBidi" w:cstheme="majorBidi"/>
        </w:rPr>
        <w:tab/>
      </w:r>
      <w:r w:rsidRPr="007C3BF1">
        <w:rPr>
          <w:rFonts w:asciiTheme="majorBidi" w:hAnsiTheme="majorBidi" w:cstheme="majorBidi"/>
        </w:rPr>
        <w:tab/>
      </w:r>
      <w:r w:rsidRPr="007C3BF1">
        <w:rPr>
          <w:rFonts w:asciiTheme="majorBidi" w:hAnsiTheme="majorBidi" w:cstheme="majorBidi"/>
        </w:rPr>
        <w:tab/>
      </w:r>
      <w:r w:rsidRPr="007C3BF1">
        <w:rPr>
          <w:rFonts w:asciiTheme="majorBidi" w:hAnsiTheme="majorBidi" w:cstheme="majorBidi"/>
        </w:rPr>
        <w:tab/>
      </w:r>
      <w:r w:rsidRPr="007C3BF1">
        <w:rPr>
          <w:rFonts w:asciiTheme="majorBidi" w:hAnsiTheme="majorBidi" w:cstheme="majorBidi"/>
        </w:rPr>
        <w:tab/>
      </w:r>
      <w:r w:rsidRPr="007C3BF1">
        <w:rPr>
          <w:rFonts w:asciiTheme="majorBidi" w:hAnsiTheme="majorBidi" w:cstheme="majorBidi"/>
        </w:rPr>
        <w:tab/>
      </w:r>
    </w:p>
    <w:p w14:paraId="0012D03D" w14:textId="77777777" w:rsidR="00CD4AFF" w:rsidRPr="007C3BF1" w:rsidRDefault="00CD4AFF" w:rsidP="00CD4AFF">
      <w:pPr>
        <w:spacing w:after="120"/>
        <w:ind w:left="2259" w:right="1134" w:hanging="1125"/>
        <w:jc w:val="both"/>
      </w:pPr>
      <w:r w:rsidRPr="007C3BF1">
        <w:t>6.8.2.2.1</w:t>
      </w:r>
      <w:r w:rsidRPr="007C3BF1">
        <w:tab/>
        <w:t>Ajouter la phrase suivante après la première phrase :</w:t>
      </w:r>
    </w:p>
    <w:p w14:paraId="6CCB6649" w14:textId="77777777" w:rsidR="00CD4AFF" w:rsidRPr="007C3BF1" w:rsidRDefault="00CD4AFF" w:rsidP="00CD4AFF">
      <w:pPr>
        <w:spacing w:after="120"/>
        <w:ind w:left="1134" w:right="1134"/>
        <w:jc w:val="both"/>
      </w:pPr>
      <w:r w:rsidRPr="007C3BF1">
        <w:t>« Les éléments soudés doivent être fixés au réservoir de manière à éviter la déchirure du réservoir. »</w:t>
      </w:r>
    </w:p>
    <w:p w14:paraId="521FEC37"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2DB5DE9C" w14:textId="77777777" w:rsidR="00CD4AFF" w:rsidRPr="007C3BF1" w:rsidRDefault="00CD4AFF" w:rsidP="00CD4AFF">
      <w:pPr>
        <w:spacing w:after="120"/>
        <w:ind w:left="2268" w:right="1134" w:hanging="1134"/>
        <w:jc w:val="both"/>
      </w:pPr>
      <w:r w:rsidRPr="007C3BF1">
        <w:t>6.8.2.6.1</w:t>
      </w:r>
      <w:r w:rsidRPr="007C3BF1">
        <w:tab/>
        <w:t>Dans le tableau, sous « Pour les équipements » :</w:t>
      </w:r>
    </w:p>
    <w:p w14:paraId="3529DE57" w14:textId="77777777" w:rsidR="00CD4AFF" w:rsidRPr="007C3BF1" w:rsidRDefault="00CD4AFF" w:rsidP="00CD4AFF">
      <w:pPr>
        <w:numPr>
          <w:ilvl w:val="0"/>
          <w:numId w:val="14"/>
        </w:numPr>
        <w:kinsoku/>
        <w:overflowPunct/>
        <w:autoSpaceDE/>
        <w:autoSpaceDN/>
        <w:adjustRightInd/>
        <w:snapToGrid/>
        <w:spacing w:before="120" w:after="120"/>
        <w:ind w:left="2410" w:right="1134" w:hanging="142"/>
        <w:jc w:val="both"/>
      </w:pPr>
      <w:r w:rsidRPr="007C3BF1">
        <w:t xml:space="preserve">Pour « EN 13175:2019 (sauf article 6.1.6) », dans la colonne 4), </w:t>
      </w:r>
      <w:r w:rsidRPr="007C3BF1">
        <w:rPr>
          <w:bCs/>
        </w:rPr>
        <w:t>remplacer</w:t>
      </w:r>
      <w:r w:rsidRPr="007C3BF1">
        <w:t xml:space="preserve"> « Jusqu’à nouvel ordre » par « Entre le 1er janvier 2021 et le 31 décembre </w:t>
      </w:r>
      <w:r w:rsidRPr="007C3BF1">
        <w:lastRenderedPageBreak/>
        <w:t>2024 ». Après la ligne pour « EN 13175:2019 (sauf article 6.1.6) », ajouter la ligne suivante: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CD4AFF" w:rsidRPr="007C3BF1" w14:paraId="7A09A08E" w14:textId="77777777" w:rsidTr="00B03A5F">
        <w:tc>
          <w:tcPr>
            <w:tcW w:w="1701" w:type="dxa"/>
            <w:vAlign w:val="center"/>
          </w:tcPr>
          <w:p w14:paraId="22437704" w14:textId="77777777" w:rsidR="00CD4AFF" w:rsidRPr="007C3BF1" w:rsidRDefault="00CD4AFF" w:rsidP="00B03A5F">
            <w:pPr>
              <w:widowControl w:val="0"/>
              <w:spacing w:before="60" w:after="60"/>
            </w:pPr>
            <w:r w:rsidRPr="007C3BF1">
              <w:t>EN 13175:2019 + A1:2020</w:t>
            </w:r>
          </w:p>
        </w:tc>
        <w:tc>
          <w:tcPr>
            <w:tcW w:w="3686" w:type="dxa"/>
          </w:tcPr>
          <w:p w14:paraId="11398BE7" w14:textId="77777777" w:rsidR="00CD4AFF" w:rsidRPr="007C3BF1" w:rsidRDefault="00CD4AFF" w:rsidP="00B03A5F">
            <w:pPr>
              <w:widowControl w:val="0"/>
              <w:spacing w:before="60" w:after="120"/>
            </w:pPr>
            <w:r w:rsidRPr="007C3BF1">
              <w:t xml:space="preserve">Équipements pour GPL et leurs accessoires - Spécifications et essais des équipements et accessoires des réservoirs pour gaz de pétrole liquéfié (GPL) </w:t>
            </w:r>
          </w:p>
        </w:tc>
        <w:tc>
          <w:tcPr>
            <w:tcW w:w="1417" w:type="dxa"/>
            <w:vAlign w:val="center"/>
          </w:tcPr>
          <w:p w14:paraId="67B8E047" w14:textId="77777777" w:rsidR="00CD4AFF" w:rsidRPr="007C3BF1" w:rsidRDefault="00CD4AFF" w:rsidP="00B03A5F">
            <w:pPr>
              <w:widowControl w:val="0"/>
              <w:spacing w:before="60" w:after="60"/>
            </w:pPr>
            <w:r w:rsidRPr="007C3BF1">
              <w:t>6.8.2.1.1, 6.8.2.2, 6.8.2.4.1 et 6.8.3.2.3</w:t>
            </w:r>
          </w:p>
        </w:tc>
        <w:tc>
          <w:tcPr>
            <w:tcW w:w="992" w:type="dxa"/>
            <w:vAlign w:val="center"/>
          </w:tcPr>
          <w:p w14:paraId="3A80E8F2" w14:textId="77777777" w:rsidR="00CD4AFF" w:rsidRPr="007C3BF1" w:rsidRDefault="00CD4AFF" w:rsidP="00B03A5F">
            <w:pPr>
              <w:widowControl w:val="0"/>
              <w:spacing w:before="60" w:after="60"/>
            </w:pPr>
            <w:r w:rsidRPr="007C3BF1">
              <w:t>Jusqu’à nouvel ordre</w:t>
            </w:r>
          </w:p>
        </w:tc>
        <w:tc>
          <w:tcPr>
            <w:tcW w:w="851" w:type="dxa"/>
            <w:vAlign w:val="center"/>
          </w:tcPr>
          <w:p w14:paraId="7E756DFE" w14:textId="77777777" w:rsidR="00CD4AFF" w:rsidRPr="007C3BF1" w:rsidRDefault="00CD4AFF" w:rsidP="00B03A5F">
            <w:pPr>
              <w:widowControl w:val="0"/>
              <w:spacing w:before="60" w:after="60"/>
            </w:pPr>
          </w:p>
        </w:tc>
      </w:tr>
    </w:tbl>
    <w:p w14:paraId="5E616E61" w14:textId="77777777" w:rsidR="00CD4AFF" w:rsidRPr="00EE008F" w:rsidRDefault="00CD4AFF" w:rsidP="00CD4AFF">
      <w:pPr>
        <w:pStyle w:val="SingleTxtG"/>
        <w:spacing w:before="120"/>
        <w:rPr>
          <w:i/>
        </w:rPr>
      </w:pPr>
      <w:r w:rsidRPr="00EE008F">
        <w:rPr>
          <w:i/>
        </w:rPr>
        <w:t>(Document de référence : document informel INF.</w:t>
      </w:r>
      <w:r>
        <w:rPr>
          <w:i/>
        </w:rPr>
        <w:t>8</w:t>
      </w:r>
      <w:r w:rsidRPr="00EE008F">
        <w:rPr>
          <w:i/>
        </w:rPr>
        <w:t>)</w:t>
      </w:r>
    </w:p>
    <w:p w14:paraId="5AD476BF" w14:textId="77777777" w:rsidR="00CD4AFF" w:rsidRPr="007C3BF1" w:rsidRDefault="00CD4AFF" w:rsidP="00CD4AFF">
      <w:pPr>
        <w:spacing w:after="120"/>
        <w:ind w:left="1134" w:right="1134"/>
        <w:jc w:val="both"/>
      </w:pPr>
      <w:r w:rsidRPr="007C3BF1">
        <w:t>6.8.3.4.6</w:t>
      </w:r>
      <w:r w:rsidRPr="007C3BF1">
        <w:tab/>
        <w:t>Modifier pour lire comme suit :</w:t>
      </w:r>
    </w:p>
    <w:p w14:paraId="23DC72BA" w14:textId="77777777" w:rsidR="00CD4AFF" w:rsidRPr="007C3BF1" w:rsidRDefault="00CD4AFF" w:rsidP="00CD4AFF">
      <w:pPr>
        <w:spacing w:after="120"/>
        <w:ind w:left="1134" w:right="1134"/>
        <w:jc w:val="both"/>
      </w:pPr>
      <w:r w:rsidRPr="007C3BF1">
        <w:t>« 6.8.3.4.6</w:t>
      </w:r>
      <w:r w:rsidRPr="007C3BF1">
        <w:tab/>
        <w:t>Pour les citernes destinées au transport des gaz liquéfiés réfrigérés :</w:t>
      </w:r>
    </w:p>
    <w:p w14:paraId="5B2A0E47" w14:textId="77777777" w:rsidR="00CD4AFF" w:rsidRPr="007C3BF1" w:rsidRDefault="00CD4AFF" w:rsidP="00CD4AFF">
      <w:pPr>
        <w:spacing w:after="120"/>
        <w:ind w:left="1134" w:right="1134"/>
        <w:jc w:val="both"/>
      </w:pPr>
      <w:r w:rsidRPr="007C3BF1">
        <w:t>a)</w:t>
      </w:r>
      <w:r w:rsidRPr="007C3BF1">
        <w:tab/>
        <w:t>Par dérogation aux prescriptions du 6.8.2.4.2, les contrôles périodiques doivent avoir lieu</w:t>
      </w:r>
    </w:p>
    <w:tbl>
      <w:tblPr>
        <w:tblW w:w="0" w:type="auto"/>
        <w:tblLook w:val="01E0" w:firstRow="1" w:lastRow="1" w:firstColumn="1" w:lastColumn="1" w:noHBand="0" w:noVBand="0"/>
      </w:tblPr>
      <w:tblGrid>
        <w:gridCol w:w="4253"/>
        <w:gridCol w:w="4514"/>
      </w:tblGrid>
      <w:tr w:rsidR="00CD4AFF" w:rsidRPr="007C3BF1" w14:paraId="03249B8D" w14:textId="77777777" w:rsidTr="00B03A5F">
        <w:tc>
          <w:tcPr>
            <w:tcW w:w="4253" w:type="dxa"/>
            <w:tcBorders>
              <w:right w:val="single" w:sz="4" w:space="0" w:color="auto"/>
            </w:tcBorders>
          </w:tcPr>
          <w:p w14:paraId="7772A949" w14:textId="77777777" w:rsidR="00CD4AFF" w:rsidRPr="007C3BF1" w:rsidRDefault="00CD4AFF" w:rsidP="00B03A5F">
            <w:pPr>
              <w:spacing w:after="120"/>
              <w:ind w:left="1029" w:right="29"/>
              <w:jc w:val="both"/>
              <w:rPr>
                <w:noProof/>
              </w:rPr>
            </w:pPr>
            <w:r w:rsidRPr="007C3BF1">
              <w:t>au plus tard après six ans</w:t>
            </w:r>
          </w:p>
        </w:tc>
        <w:tc>
          <w:tcPr>
            <w:tcW w:w="4514" w:type="dxa"/>
            <w:tcBorders>
              <w:left w:val="single" w:sz="4" w:space="0" w:color="auto"/>
            </w:tcBorders>
          </w:tcPr>
          <w:p w14:paraId="04D53A27" w14:textId="77777777" w:rsidR="00CD4AFF" w:rsidRPr="007C3BF1" w:rsidRDefault="00CD4AFF" w:rsidP="00B03A5F">
            <w:pPr>
              <w:spacing w:after="120"/>
              <w:ind w:left="1134" w:right="1134"/>
              <w:jc w:val="both"/>
              <w:rPr>
                <w:rFonts w:eastAsia="SimSun"/>
              </w:rPr>
            </w:pPr>
            <w:r w:rsidRPr="007C3BF1">
              <w:t>au plus tard après huit ans</w:t>
            </w:r>
            <w:r w:rsidRPr="007C3BF1">
              <w:rPr>
                <w:rFonts w:eastAsia="SimSun"/>
              </w:rPr>
              <w:t xml:space="preserve"> </w:t>
            </w:r>
          </w:p>
        </w:tc>
      </w:tr>
    </w:tbl>
    <w:p w14:paraId="2E70183C" w14:textId="77777777" w:rsidR="00CD4AFF" w:rsidRPr="007C3BF1" w:rsidRDefault="00CD4AFF" w:rsidP="00CD4AFF">
      <w:pPr>
        <w:spacing w:after="120"/>
        <w:ind w:left="1134" w:right="1134"/>
        <w:jc w:val="both"/>
      </w:pPr>
      <w:r w:rsidRPr="007C3BF1">
        <w:t>de service et ensuite, au minimum tous les douze ans.</w:t>
      </w:r>
    </w:p>
    <w:p w14:paraId="1D5E8F7E" w14:textId="77777777" w:rsidR="00CD4AFF" w:rsidRPr="007C3BF1" w:rsidRDefault="00CD4AFF" w:rsidP="00CD4AFF">
      <w:pPr>
        <w:spacing w:after="120"/>
        <w:ind w:left="1134" w:right="1134"/>
        <w:jc w:val="both"/>
      </w:pPr>
      <w:r w:rsidRPr="007C3BF1">
        <w:t xml:space="preserve">b) </w:t>
      </w:r>
      <w:r w:rsidRPr="007C3BF1">
        <w:tab/>
        <w:t>Par dérogation aux prescriptions du 6.8.2.4.3, les contrôles intermédiaires doivent avoir lieu au plus tard six ans après chaque contrôle périodique. »</w:t>
      </w:r>
    </w:p>
    <w:p w14:paraId="4FB38926"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35A14F5F" w14:textId="77777777" w:rsidR="00CD4AFF" w:rsidRPr="007C3BF1" w:rsidRDefault="00CD4AFF" w:rsidP="00CD4AFF">
      <w:pPr>
        <w:spacing w:after="120"/>
        <w:ind w:left="1134" w:right="1134"/>
        <w:jc w:val="both"/>
      </w:pPr>
      <w:r w:rsidRPr="007C3BF1">
        <w:t>6.8.4 a), TC6</w:t>
      </w:r>
      <w:r>
        <w:tab/>
      </w:r>
      <w:r>
        <w:tab/>
      </w:r>
      <w:r w:rsidRPr="007C3BF1">
        <w:t>Modifier pour lire comme suit :</w:t>
      </w:r>
    </w:p>
    <w:p w14:paraId="086EBDD1" w14:textId="77777777" w:rsidR="00CD4AFF" w:rsidRPr="007C3BF1" w:rsidRDefault="00CD4AFF" w:rsidP="00CD4AFF">
      <w:pPr>
        <w:spacing w:after="120"/>
        <w:ind w:left="1134" w:right="1134"/>
        <w:jc w:val="both"/>
      </w:pPr>
      <w:r w:rsidRPr="007C3BF1">
        <w:t>« L’épaisseur de la paroi des citernes construites en aluminium d’une pureté égale ou supérieure à 99,5 % ou en alliage aluminium n’a pas besoin d’être supérieure à 15 mm même lorsque le calcul selon 6.8.2.1.17 donne une valeur supérieure. »</w:t>
      </w:r>
    </w:p>
    <w:p w14:paraId="1B74A749"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65426360" w14:textId="77777777" w:rsidR="00CD4AFF" w:rsidRPr="007C3BF1" w:rsidRDefault="00CD4AFF" w:rsidP="00CD4AFF">
      <w:pPr>
        <w:spacing w:after="120"/>
        <w:ind w:left="1134" w:right="1134"/>
        <w:jc w:val="both"/>
      </w:pPr>
      <w:r w:rsidRPr="007C3BF1">
        <w:t>6.8.4 b), TE14</w:t>
      </w:r>
      <w:r w:rsidRPr="007C3BF1">
        <w:tab/>
        <w:t>Modifier la deuxième phrase pour lire comme suit :</w:t>
      </w:r>
    </w:p>
    <w:p w14:paraId="3EEB3B22" w14:textId="77777777" w:rsidR="00CD4AFF" w:rsidRPr="007C3BF1" w:rsidRDefault="00CD4AFF" w:rsidP="00CD4AFF">
      <w:pPr>
        <w:spacing w:after="120"/>
        <w:ind w:left="1134" w:right="1134"/>
        <w:jc w:val="both"/>
      </w:pPr>
      <w:r w:rsidRPr="007C3BF1">
        <w:t>« L’isolation thermique directement en contact avec le réservoir ou les éléments du dispositif de réchauffage doit avoir une température d’inflammation supérieure d’au moins 50 °C à la température maximale pour laquelle la citerne a été conçue. »</w:t>
      </w:r>
    </w:p>
    <w:p w14:paraId="61485859" w14:textId="77777777" w:rsidR="00CD4AFF" w:rsidRPr="00EE008F" w:rsidRDefault="00CD4AFF" w:rsidP="00CD4AFF">
      <w:pPr>
        <w:pStyle w:val="SingleTxtG"/>
        <w:rPr>
          <w:i/>
        </w:rPr>
      </w:pPr>
      <w:r w:rsidRPr="00EE008F">
        <w:rPr>
          <w:i/>
        </w:rPr>
        <w:t>(Document de référence : document informel INF.</w:t>
      </w:r>
      <w:r>
        <w:rPr>
          <w:i/>
        </w:rPr>
        <w:t>8</w:t>
      </w:r>
      <w:r w:rsidRPr="00EE008F">
        <w:rPr>
          <w:i/>
        </w:rPr>
        <w:t>)</w:t>
      </w:r>
    </w:p>
    <w:p w14:paraId="2F7235BC" w14:textId="77777777" w:rsidR="00CD4AFF" w:rsidRPr="00102EF6" w:rsidRDefault="00CD4AFF" w:rsidP="00CD4AFF">
      <w:pPr>
        <w:pStyle w:val="H1G"/>
        <w:rPr>
          <w:lang w:val="fr-FR"/>
        </w:rPr>
      </w:pPr>
      <w:r w:rsidRPr="00102EF6">
        <w:rPr>
          <w:lang w:val="fr-FR"/>
        </w:rPr>
        <w:tab/>
      </w:r>
      <w:r w:rsidRPr="00102EF6">
        <w:rPr>
          <w:lang w:val="fr-FR"/>
        </w:rPr>
        <w:tab/>
        <w:t>Chapitre 7.1</w:t>
      </w:r>
    </w:p>
    <w:p w14:paraId="4B843A3F" w14:textId="77777777" w:rsidR="00CD4AFF" w:rsidRPr="00102EF6" w:rsidRDefault="00CD4AFF" w:rsidP="00CD4AFF">
      <w:pPr>
        <w:pStyle w:val="SingleTxtG"/>
        <w:ind w:left="2268" w:hanging="1134"/>
        <w:rPr>
          <w:lang w:val="fr-FR"/>
        </w:rPr>
      </w:pPr>
      <w:r w:rsidRPr="00102EF6">
        <w:rPr>
          <w:lang w:val="fr-FR"/>
        </w:rPr>
        <w:t>7.1.7.4.5</w:t>
      </w:r>
      <w:r w:rsidRPr="00102EF6">
        <w:rPr>
          <w:lang w:val="fr-FR"/>
        </w:rPr>
        <w:tab/>
        <w:t>Au début de c), d) et e), remplacer « Isolation thermique » par « Véhicule ou conteneur avec isolation thermique ».</w:t>
      </w:r>
    </w:p>
    <w:p w14:paraId="2ABB71A2" w14:textId="77777777" w:rsidR="00CD4AFF" w:rsidRPr="00102EF6" w:rsidRDefault="00CD4AFF" w:rsidP="00CD4AFF">
      <w:pPr>
        <w:pStyle w:val="SingleTxtG"/>
        <w:rPr>
          <w:i/>
        </w:rPr>
      </w:pPr>
      <w:r w:rsidRPr="00102EF6">
        <w:rPr>
          <w:i/>
        </w:rPr>
        <w:t>(</w:t>
      </w:r>
      <w:r w:rsidRPr="00102EF6">
        <w:rPr>
          <w:i/>
          <w:iCs/>
          <w:lang w:val="fr-FR" w:eastAsia="en-GB"/>
        </w:rPr>
        <w:t xml:space="preserve">Document de référence </w:t>
      </w:r>
      <w:r w:rsidRPr="00102EF6">
        <w:rPr>
          <w:i/>
        </w:rPr>
        <w:t>: document informel INF.11, proposition 2)</w:t>
      </w:r>
    </w:p>
    <w:p w14:paraId="74031928" w14:textId="77777777" w:rsidR="00CD4AFF" w:rsidRPr="00102EF6" w:rsidRDefault="00CD4AFF" w:rsidP="00CD4AFF">
      <w:pPr>
        <w:pStyle w:val="H1G"/>
        <w:rPr>
          <w:lang w:val="fr-FR"/>
        </w:rPr>
      </w:pPr>
      <w:r w:rsidRPr="00102EF6">
        <w:rPr>
          <w:lang w:val="fr-FR"/>
        </w:rPr>
        <w:tab/>
      </w:r>
      <w:r w:rsidRPr="00102EF6">
        <w:rPr>
          <w:lang w:val="fr-FR"/>
        </w:rPr>
        <w:tab/>
        <w:t>Chapitre 7.2</w:t>
      </w:r>
    </w:p>
    <w:p w14:paraId="35E91469" w14:textId="77777777" w:rsidR="00CD4AFF" w:rsidRPr="00102EF6" w:rsidRDefault="00CD4AFF" w:rsidP="00CD4AFF">
      <w:pPr>
        <w:pStyle w:val="SingleTxtG"/>
        <w:ind w:left="2268" w:hanging="1134"/>
      </w:pPr>
      <w:r w:rsidRPr="00102EF6">
        <w:rPr>
          <w:lang w:val="fr-FR"/>
        </w:rPr>
        <w:t>7.2.4, V6</w:t>
      </w:r>
      <w:r w:rsidRPr="00102EF6">
        <w:rPr>
          <w:lang w:val="fr-FR"/>
        </w:rPr>
        <w:tab/>
        <w:t>Supprimer le texte dans V6 et ajouter « </w:t>
      </w:r>
      <w:r w:rsidRPr="00102EF6">
        <w:rPr>
          <w:i/>
          <w:iCs/>
          <w:lang w:val="fr-FR"/>
        </w:rPr>
        <w:t>(Supprimé)</w:t>
      </w:r>
      <w:r w:rsidRPr="00102EF6">
        <w:rPr>
          <w:lang w:val="fr-FR"/>
        </w:rPr>
        <w:t> »</w:t>
      </w:r>
    </w:p>
    <w:p w14:paraId="49C0C3CE" w14:textId="77777777" w:rsidR="00CD4AFF" w:rsidRPr="00102EF6" w:rsidRDefault="00CD4AFF" w:rsidP="00CD4AFF">
      <w:pPr>
        <w:pStyle w:val="SingleTxtG"/>
        <w:rPr>
          <w:i/>
        </w:rPr>
      </w:pPr>
      <w:r w:rsidRPr="00102EF6">
        <w:rPr>
          <w:i/>
        </w:rPr>
        <w:t>(</w:t>
      </w:r>
      <w:r w:rsidRPr="00102EF6">
        <w:rPr>
          <w:i/>
          <w:iCs/>
          <w:lang w:val="fr-FR" w:eastAsia="en-GB"/>
        </w:rPr>
        <w:t xml:space="preserve">Document de référence </w:t>
      </w:r>
      <w:r w:rsidRPr="00102EF6">
        <w:rPr>
          <w:i/>
        </w:rPr>
        <w:t>: ECE/TRANS/WP.15/2020/13)</w:t>
      </w:r>
    </w:p>
    <w:p w14:paraId="03249081" w14:textId="77777777" w:rsidR="00CD4AFF" w:rsidRPr="0050519A" w:rsidRDefault="00CD4AFF" w:rsidP="00CD4AFF">
      <w:pPr>
        <w:pStyle w:val="H1G"/>
        <w:rPr>
          <w:lang w:val="fr-FR"/>
        </w:rPr>
      </w:pPr>
      <w:r w:rsidRPr="00102EF6">
        <w:rPr>
          <w:lang w:val="fr-FR"/>
        </w:rPr>
        <w:tab/>
      </w:r>
      <w:r w:rsidRPr="00102EF6">
        <w:rPr>
          <w:lang w:val="fr-FR"/>
        </w:rPr>
        <w:tab/>
        <w:t>Chapitre 9.1</w:t>
      </w:r>
    </w:p>
    <w:p w14:paraId="2CC85019" w14:textId="77777777" w:rsidR="00CD4AFF" w:rsidRDefault="00CD4AFF" w:rsidP="00CD4AFF">
      <w:pPr>
        <w:pStyle w:val="SingleTxtG"/>
        <w:ind w:left="2268" w:hanging="1134"/>
        <w:rPr>
          <w:lang w:val="fr-FR"/>
        </w:rPr>
      </w:pPr>
      <w:r>
        <w:rPr>
          <w:lang w:val="fr-FR"/>
        </w:rPr>
        <w:t>9.1.3.4</w:t>
      </w:r>
      <w:r>
        <w:rPr>
          <w:lang w:val="fr-FR"/>
        </w:rPr>
        <w:tab/>
        <w:t>Modifier le dernier paragraphe pour lire comme suit :</w:t>
      </w:r>
    </w:p>
    <w:p w14:paraId="1BB5A182" w14:textId="77777777" w:rsidR="00CD4AFF" w:rsidRPr="00802E0F" w:rsidRDefault="00CD4AFF" w:rsidP="00CD4AFF">
      <w:pPr>
        <w:pStyle w:val="SingleTxtG"/>
      </w:pPr>
      <w:r>
        <w:rPr>
          <w:lang w:val="fr-FR"/>
        </w:rPr>
        <w:t>« </w:t>
      </w:r>
      <w:r w:rsidRPr="00802E0F">
        <w:rPr>
          <w:lang w:val="fr-FR"/>
        </w:rPr>
        <w:t>Ces dispositions n'impliquent toutefois pas que les contrôles des citernes doivent être effectués à des intervalles plus courts que ceux prévus aux chapitres 6.8, 6.9 ou 6.10.</w:t>
      </w:r>
      <w:r>
        <w:rPr>
          <w:lang w:val="fr-FR"/>
        </w:rPr>
        <w:t> ».</w:t>
      </w:r>
    </w:p>
    <w:p w14:paraId="2201BB37" w14:textId="77777777" w:rsidR="00CD4AFF" w:rsidRPr="00825DB6" w:rsidRDefault="00CD4AFF" w:rsidP="00CD4AFF">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w:t>
      </w:r>
      <w:r w:rsidRPr="006F6889">
        <w:rPr>
          <w:i/>
        </w:rPr>
        <w:t>ECE/TRANS/WP.15/2020/1</w:t>
      </w:r>
      <w:r>
        <w:rPr>
          <w:i/>
        </w:rPr>
        <w:t>1, proposition 2)</w:t>
      </w:r>
    </w:p>
    <w:p w14:paraId="5132FF24" w14:textId="0BED4AD6" w:rsidR="002F5C5B" w:rsidRDefault="002F5C5B">
      <w:pPr>
        <w:suppressAutoHyphens w:val="0"/>
        <w:kinsoku/>
        <w:overflowPunct/>
        <w:autoSpaceDE/>
        <w:autoSpaceDN/>
        <w:adjustRightInd/>
        <w:snapToGrid/>
        <w:spacing w:after="200" w:line="276" w:lineRule="auto"/>
        <w:rPr>
          <w:lang w:val="fr-FR"/>
        </w:rPr>
      </w:pPr>
      <w:r>
        <w:rPr>
          <w:lang w:val="fr-FR"/>
        </w:rPr>
        <w:br w:type="page"/>
      </w:r>
    </w:p>
    <w:p w14:paraId="19863719" w14:textId="57D46AEA" w:rsidR="002F5C5B" w:rsidRPr="005D52AC" w:rsidRDefault="002F5C5B" w:rsidP="002F5C5B">
      <w:pPr>
        <w:keepNext/>
        <w:keepLines/>
        <w:tabs>
          <w:tab w:val="right" w:pos="851"/>
        </w:tabs>
        <w:spacing w:after="240" w:line="300" w:lineRule="exact"/>
        <w:ind w:left="1134" w:right="1134" w:hanging="1134"/>
        <w:rPr>
          <w:b/>
          <w:sz w:val="28"/>
          <w:lang w:val="fr-FR"/>
        </w:rPr>
      </w:pPr>
      <w:r w:rsidRPr="005D52AC">
        <w:rPr>
          <w:b/>
          <w:sz w:val="28"/>
          <w:lang w:val="fr-FR"/>
        </w:rPr>
        <w:lastRenderedPageBreak/>
        <w:tab/>
        <w:t>Annexe I</w:t>
      </w:r>
      <w:r>
        <w:rPr>
          <w:b/>
          <w:sz w:val="28"/>
          <w:lang w:val="fr-FR"/>
        </w:rPr>
        <w:t>I</w:t>
      </w:r>
    </w:p>
    <w:p w14:paraId="4CFC8682" w14:textId="42761E75" w:rsidR="002F5C5B" w:rsidRPr="0050519A" w:rsidRDefault="002F5C5B" w:rsidP="002F5C5B">
      <w:pPr>
        <w:pStyle w:val="HChG"/>
        <w:rPr>
          <w:lang w:val="fr-FR"/>
        </w:rPr>
      </w:pPr>
      <w:r w:rsidRPr="0050519A">
        <w:rPr>
          <w:lang w:val="fr-FR"/>
        </w:rPr>
        <w:tab/>
      </w:r>
      <w:r w:rsidRPr="0050519A">
        <w:rPr>
          <w:lang w:val="fr-FR"/>
        </w:rPr>
        <w:tab/>
      </w:r>
      <w:r>
        <w:rPr>
          <w:lang w:val="fr-FR"/>
        </w:rPr>
        <w:t>Liste de décisions</w:t>
      </w:r>
    </w:p>
    <w:p w14:paraId="497125F6" w14:textId="7841A1E4" w:rsidR="009D36F7" w:rsidRDefault="009D36F7" w:rsidP="007F688C">
      <w:pPr>
        <w:pStyle w:val="SingleTxtG"/>
        <w:rPr>
          <w:lang w:val="fr-FR"/>
        </w:rPr>
      </w:pPr>
      <w:r w:rsidRPr="00F95CEA">
        <w:rPr>
          <w:lang w:val="fr-FR"/>
        </w:rPr>
        <w:t>Décision 1 : Le Groupe de travail a entériné le projet d’amendements adopté par la Réunion commune à sa session d’automne 2020 (ECE/TRANS/WP.15/AC.1/158</w:t>
      </w:r>
      <w:r>
        <w:rPr>
          <w:lang w:val="fr-FR"/>
        </w:rPr>
        <w:t>, annexe II</w:t>
      </w:r>
      <w:r w:rsidRPr="00F95CEA">
        <w:rPr>
          <w:lang w:val="fr-FR"/>
        </w:rPr>
        <w:t xml:space="preserve">) à l’exception des amendements au chapitre 1.2 </w:t>
      </w:r>
      <w:r>
        <w:rPr>
          <w:lang w:val="fr-FR"/>
        </w:rPr>
        <w:t xml:space="preserve">et de l’amendement visant à ajouter une référence non contraignante aux </w:t>
      </w:r>
      <w:r w:rsidRPr="000A3DAE">
        <w:rPr>
          <w:lang w:val="fr-FR"/>
        </w:rPr>
        <w:t>lignes directrices multimodales (Inland TDG Risk Management Framework)</w:t>
      </w:r>
      <w:r>
        <w:rPr>
          <w:lang w:val="fr-FR"/>
        </w:rPr>
        <w:t xml:space="preserve"> de l’Union européenne au 1.9.4 qui seront de nouveau discutés à la prochaine session.</w:t>
      </w:r>
    </w:p>
    <w:p w14:paraId="6DB9F6F7" w14:textId="7AF12179" w:rsidR="00C6089D" w:rsidRDefault="00C6089D" w:rsidP="007F688C">
      <w:pPr>
        <w:pStyle w:val="SingleTxtG"/>
        <w:rPr>
          <w:lang w:val="fr-FR"/>
        </w:rPr>
      </w:pPr>
      <w:r>
        <w:rPr>
          <w:lang w:val="fr-FR"/>
        </w:rPr>
        <w:t>Décision 2 : Le Groupe de travail a adopté la proposition 2 du document ECE/TRANS/WP.15/2020/1 telle que modifiée dans le document informel INF.11.</w:t>
      </w:r>
    </w:p>
    <w:p w14:paraId="6DF91E96" w14:textId="4026D954" w:rsidR="004A1CF5" w:rsidRDefault="004A1CF5" w:rsidP="007F688C">
      <w:pPr>
        <w:pStyle w:val="SingleTxtG"/>
        <w:rPr>
          <w:lang w:val="fr-FR"/>
        </w:rPr>
      </w:pPr>
      <w:r>
        <w:rPr>
          <w:lang w:val="fr-FR"/>
        </w:rPr>
        <w:t>Décision 3 : Le Groupe de travail a adopté la proposition d’amendement au 5.4.1.1.1 (k) figurant dans document informel INF.23.</w:t>
      </w:r>
    </w:p>
    <w:p w14:paraId="1D528D31" w14:textId="2DD8A3CB" w:rsidR="000C5EFF" w:rsidRDefault="000C5EFF" w:rsidP="007F688C">
      <w:pPr>
        <w:pStyle w:val="SingleTxtG"/>
        <w:rPr>
          <w:lang w:val="fr-FR"/>
        </w:rPr>
      </w:pPr>
      <w:r>
        <w:rPr>
          <w:lang w:val="fr-FR"/>
        </w:rPr>
        <w:t>Décision 4 : Le Groupe de travail a adopté la proposition 2 d’amendement au 9.1.3.4 figurant dans le document ECE/TRANS/WP.15/2020/11.</w:t>
      </w:r>
    </w:p>
    <w:p w14:paraId="2D5AEB18" w14:textId="6EF3616B" w:rsidR="000C5EFF" w:rsidRDefault="000C5EFF" w:rsidP="007F688C">
      <w:pPr>
        <w:pStyle w:val="SingleTxtG"/>
        <w:rPr>
          <w:lang w:val="fr-FR"/>
        </w:rPr>
      </w:pPr>
      <w:r>
        <w:rPr>
          <w:lang w:val="fr-FR"/>
        </w:rPr>
        <w:t>Décision 5 : Le Groupe de travail a adopté la proposition d’amendement de la disposition spéciale V6 figurant dans le document ECE/TRANS/WP.15/2020/13.</w:t>
      </w:r>
    </w:p>
    <w:p w14:paraId="4BAE669C" w14:textId="6A61C9CA" w:rsidR="004A1CF5" w:rsidRDefault="004A1CF5" w:rsidP="007F688C">
      <w:pPr>
        <w:pStyle w:val="SingleTxtG"/>
        <w:rPr>
          <w:lang w:val="fr-FR"/>
        </w:rPr>
      </w:pPr>
      <w:r>
        <w:rPr>
          <w:lang w:val="fr-FR"/>
        </w:rPr>
        <w:t>Décision 6 : Le Groupe de travail a adopté un amendement visant à ajouter le No ONU 3291 pour la catégorie de transport 2 dans le tableau du 1.1.3.6.3 de l’ADR.</w:t>
      </w:r>
    </w:p>
    <w:p w14:paraId="64AD0B39" w14:textId="1536CED0" w:rsidR="009C013B" w:rsidRPr="001C1B24" w:rsidRDefault="009C013B" w:rsidP="007F688C">
      <w:pPr>
        <w:pStyle w:val="SingleTxtG"/>
        <w:rPr>
          <w:lang w:val="fr-FR"/>
        </w:rPr>
      </w:pPr>
      <w:r w:rsidRPr="007C7A01">
        <w:rPr>
          <w:lang w:val="fr-FR"/>
        </w:rPr>
        <w:t xml:space="preserve">Décision </w:t>
      </w:r>
      <w:r>
        <w:rPr>
          <w:lang w:val="fr-FR"/>
        </w:rPr>
        <w:t>7 </w:t>
      </w:r>
      <w:r w:rsidRPr="007C7A01">
        <w:rPr>
          <w:lang w:val="fr-FR"/>
        </w:rPr>
        <w:t xml:space="preserve">: Le Groupe de travail a </w:t>
      </w:r>
      <w:r w:rsidRPr="001C1B24">
        <w:rPr>
          <w:lang w:val="fr-FR"/>
        </w:rPr>
        <w:t>élu Mme Ariane Roumier (France) Présidente et M. Alfonso Simoni (Italie) Vice-Président pour l’année 2021</w:t>
      </w:r>
      <w:r w:rsidRPr="007C7A01">
        <w:rPr>
          <w:lang w:val="fr-FR"/>
        </w:rPr>
        <w:t>.</w:t>
      </w:r>
    </w:p>
    <w:p w14:paraId="295CAA97" w14:textId="72A8C931" w:rsidR="00CD4AFF" w:rsidRPr="007F688C" w:rsidRDefault="007F688C" w:rsidP="007F688C">
      <w:pPr>
        <w:spacing w:before="240"/>
        <w:jc w:val="center"/>
        <w:rPr>
          <w:u w:val="single"/>
          <w:lang w:val="fr-FR"/>
        </w:rPr>
      </w:pPr>
      <w:r>
        <w:rPr>
          <w:u w:val="single"/>
          <w:lang w:val="fr-FR"/>
        </w:rPr>
        <w:tab/>
      </w:r>
      <w:r>
        <w:rPr>
          <w:u w:val="single"/>
          <w:lang w:val="fr-FR"/>
        </w:rPr>
        <w:tab/>
      </w:r>
      <w:r>
        <w:rPr>
          <w:u w:val="single"/>
          <w:lang w:val="fr-FR"/>
        </w:rPr>
        <w:tab/>
      </w:r>
    </w:p>
    <w:sectPr w:rsidR="00CD4AFF" w:rsidRPr="007F688C" w:rsidSect="00453A35">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E3B0" w14:textId="77777777" w:rsidR="006048B2" w:rsidRDefault="006048B2" w:rsidP="00F95C08">
      <w:pPr>
        <w:spacing w:line="240" w:lineRule="auto"/>
      </w:pPr>
    </w:p>
  </w:endnote>
  <w:endnote w:type="continuationSeparator" w:id="0">
    <w:p w14:paraId="1B5CF43E" w14:textId="77777777" w:rsidR="006048B2" w:rsidRPr="00AC3823" w:rsidRDefault="006048B2" w:rsidP="00AC3823">
      <w:pPr>
        <w:pStyle w:val="Footer"/>
      </w:pPr>
    </w:p>
  </w:endnote>
  <w:endnote w:type="continuationNotice" w:id="1">
    <w:p w14:paraId="600872B6" w14:textId="77777777" w:rsidR="006048B2" w:rsidRDefault="006048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2865" w14:textId="77777777" w:rsidR="00453A35" w:rsidRPr="00453A35" w:rsidRDefault="00453A35" w:rsidP="00453A35">
    <w:pPr>
      <w:pStyle w:val="Footer"/>
      <w:tabs>
        <w:tab w:val="right" w:pos="9638"/>
      </w:tabs>
      <w:rPr>
        <w:sz w:val="18"/>
      </w:rPr>
    </w:pPr>
    <w:r w:rsidRPr="00453A35">
      <w:rPr>
        <w:b/>
        <w:sz w:val="18"/>
      </w:rPr>
      <w:fldChar w:fldCharType="begin"/>
    </w:r>
    <w:r w:rsidRPr="00453A35">
      <w:rPr>
        <w:b/>
        <w:sz w:val="18"/>
      </w:rPr>
      <w:instrText xml:space="preserve"> PAGE  \* MERGEFORMAT </w:instrText>
    </w:r>
    <w:r w:rsidRPr="00453A35">
      <w:rPr>
        <w:b/>
        <w:sz w:val="18"/>
      </w:rPr>
      <w:fldChar w:fldCharType="separate"/>
    </w:r>
    <w:r w:rsidRPr="00453A35">
      <w:rPr>
        <w:b/>
        <w:noProof/>
        <w:sz w:val="18"/>
      </w:rPr>
      <w:t>2</w:t>
    </w:r>
    <w:r w:rsidRPr="00453A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1694" w14:textId="77777777" w:rsidR="00453A35" w:rsidRPr="00453A35" w:rsidRDefault="00453A35" w:rsidP="00453A35">
    <w:pPr>
      <w:pStyle w:val="Footer"/>
      <w:tabs>
        <w:tab w:val="right" w:pos="9638"/>
      </w:tabs>
      <w:rPr>
        <w:b/>
        <w:sz w:val="18"/>
      </w:rPr>
    </w:pPr>
    <w:r>
      <w:tab/>
    </w:r>
    <w:r w:rsidRPr="00453A35">
      <w:rPr>
        <w:b/>
        <w:sz w:val="18"/>
      </w:rPr>
      <w:fldChar w:fldCharType="begin"/>
    </w:r>
    <w:r w:rsidRPr="00453A35">
      <w:rPr>
        <w:b/>
        <w:sz w:val="18"/>
      </w:rPr>
      <w:instrText xml:space="preserve"> PAGE  \* MERGEFORMAT </w:instrText>
    </w:r>
    <w:r w:rsidRPr="00453A35">
      <w:rPr>
        <w:b/>
        <w:sz w:val="18"/>
      </w:rPr>
      <w:fldChar w:fldCharType="separate"/>
    </w:r>
    <w:r w:rsidRPr="00453A35">
      <w:rPr>
        <w:b/>
        <w:noProof/>
        <w:sz w:val="18"/>
      </w:rPr>
      <w:t>3</w:t>
    </w:r>
    <w:r w:rsidRPr="00453A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8E4C" w14:textId="0FA2BF2A" w:rsidR="000D3EE9" w:rsidRPr="00453A35"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7487B" w14:textId="77777777" w:rsidR="006048B2" w:rsidRPr="00AC3823" w:rsidRDefault="006048B2" w:rsidP="00AC3823">
      <w:pPr>
        <w:pStyle w:val="Footer"/>
        <w:tabs>
          <w:tab w:val="right" w:pos="2155"/>
        </w:tabs>
        <w:spacing w:after="80" w:line="240" w:lineRule="atLeast"/>
        <w:ind w:left="680"/>
        <w:rPr>
          <w:u w:val="single"/>
        </w:rPr>
      </w:pPr>
      <w:r>
        <w:rPr>
          <w:u w:val="single"/>
        </w:rPr>
        <w:tab/>
      </w:r>
    </w:p>
  </w:footnote>
  <w:footnote w:type="continuationSeparator" w:id="0">
    <w:p w14:paraId="3A8D8BF3" w14:textId="77777777" w:rsidR="006048B2" w:rsidRPr="00AC3823" w:rsidRDefault="006048B2" w:rsidP="00AC3823">
      <w:pPr>
        <w:pStyle w:val="Footer"/>
        <w:tabs>
          <w:tab w:val="right" w:pos="2155"/>
        </w:tabs>
        <w:spacing w:after="80" w:line="240" w:lineRule="atLeast"/>
        <w:ind w:left="680"/>
        <w:rPr>
          <w:u w:val="single"/>
        </w:rPr>
      </w:pPr>
      <w:r>
        <w:rPr>
          <w:u w:val="single"/>
        </w:rPr>
        <w:tab/>
      </w:r>
    </w:p>
  </w:footnote>
  <w:footnote w:type="continuationNotice" w:id="1">
    <w:p w14:paraId="7965CC5A" w14:textId="77777777" w:rsidR="006048B2" w:rsidRPr="00AC3823" w:rsidRDefault="006048B2">
      <w:pPr>
        <w:spacing w:line="240" w:lineRule="auto"/>
        <w:rPr>
          <w:sz w:val="2"/>
          <w:szCs w:val="2"/>
        </w:rPr>
      </w:pPr>
    </w:p>
  </w:footnote>
  <w:footnote w:id="2">
    <w:p w14:paraId="72F72AB0" w14:textId="77777777" w:rsidR="009917F5" w:rsidRPr="00524895" w:rsidRDefault="009917F5" w:rsidP="009917F5">
      <w:pPr>
        <w:pStyle w:val="FootnoteText"/>
        <w:widowControl w:val="0"/>
        <w:tabs>
          <w:tab w:val="clear" w:pos="1021"/>
          <w:tab w:val="right" w:pos="1020"/>
        </w:tabs>
        <w:rPr>
          <w:szCs w:val="18"/>
        </w:rPr>
      </w:pPr>
      <w:r>
        <w:tab/>
      </w:r>
      <w:r>
        <w:rPr>
          <w:rStyle w:val="FootnoteReference"/>
        </w:rPr>
        <w:footnoteRef/>
      </w:r>
      <w:r>
        <w:tab/>
      </w:r>
      <w:r w:rsidRPr="00524895">
        <w:rPr>
          <w:szCs w:val="18"/>
        </w:rPr>
        <w:t xml:space="preserve">Voir </w:t>
      </w:r>
      <w:hyperlink r:id="rId1" w:history="1">
        <w:r w:rsidRPr="00524895">
          <w:rPr>
            <w:szCs w:val="18"/>
            <w:lang w:val="en-GB" w:eastAsia="en-US"/>
          </w:rPr>
          <w:t>https://www.unece.org/fr/trans/main/dgdb/dgsubc3/c3inf57.html</w:t>
        </w:r>
      </w:hyperlink>
      <w:r w:rsidRPr="00524895">
        <w:rPr>
          <w:szCs w:val="18"/>
          <w:lang w:val="en-GB" w:eastAsia="en-US"/>
        </w:rPr>
        <w:t xml:space="preserve">, </w:t>
      </w:r>
      <w:r w:rsidRPr="00524895">
        <w:rPr>
          <w:szCs w:val="18"/>
          <w:lang w:val="fr-FR"/>
        </w:rPr>
        <w:t>document informel INF.30.</w:t>
      </w:r>
    </w:p>
  </w:footnote>
  <w:footnote w:id="3">
    <w:p w14:paraId="0F2D9C60" w14:textId="77777777" w:rsidR="009917F5" w:rsidRDefault="009917F5" w:rsidP="009917F5">
      <w:pPr>
        <w:pStyle w:val="FootnoteText"/>
        <w:widowControl w:val="0"/>
        <w:tabs>
          <w:tab w:val="clear" w:pos="1021"/>
          <w:tab w:val="right" w:pos="1020"/>
        </w:tabs>
      </w:pPr>
      <w:r>
        <w:tab/>
      </w:r>
      <w:r>
        <w:rPr>
          <w:rStyle w:val="FootnoteReference"/>
        </w:rPr>
        <w:footnoteRef/>
      </w:r>
      <w:r>
        <w:tab/>
      </w:r>
      <w:r w:rsidRPr="009F4252">
        <w:t>https://www.euro-controle-route.eu/legislation-info/info/multilingual-lexicon/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5C1A" w14:textId="77777777" w:rsidR="00453A35" w:rsidRPr="00453A35" w:rsidRDefault="00FC46D2">
    <w:pPr>
      <w:pStyle w:val="Header"/>
    </w:pPr>
    <w:fldSimple w:instr=" TITLE  \* MERGEFORMAT ">
      <w:r w:rsidR="00453A35">
        <w:t>ECE/TRANS/WP.15/251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1AC7" w14:textId="77777777" w:rsidR="00453A35" w:rsidRPr="00453A35" w:rsidRDefault="00FC46D2" w:rsidP="00453A35">
    <w:pPr>
      <w:pStyle w:val="Header"/>
      <w:jc w:val="right"/>
    </w:pPr>
    <w:fldSimple w:instr=" TITLE  \* MERGEFORMAT ">
      <w:r w:rsidR="00453A35">
        <w:t>ECE/TRANS/WP.15/251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53A35"/>
    <w:rsid w:val="00003856"/>
    <w:rsid w:val="0001207F"/>
    <w:rsid w:val="00017F94"/>
    <w:rsid w:val="00023842"/>
    <w:rsid w:val="000334F9"/>
    <w:rsid w:val="0004639C"/>
    <w:rsid w:val="0004761F"/>
    <w:rsid w:val="0007796D"/>
    <w:rsid w:val="000805DA"/>
    <w:rsid w:val="000942EE"/>
    <w:rsid w:val="00095B4B"/>
    <w:rsid w:val="000A52BF"/>
    <w:rsid w:val="000A6372"/>
    <w:rsid w:val="000B0BE4"/>
    <w:rsid w:val="000B7790"/>
    <w:rsid w:val="000C5EFF"/>
    <w:rsid w:val="000D3EE9"/>
    <w:rsid w:val="000D62F3"/>
    <w:rsid w:val="000E471B"/>
    <w:rsid w:val="000F084F"/>
    <w:rsid w:val="00111F2F"/>
    <w:rsid w:val="001239B5"/>
    <w:rsid w:val="001433FD"/>
    <w:rsid w:val="0014365E"/>
    <w:rsid w:val="001541D3"/>
    <w:rsid w:val="00156B77"/>
    <w:rsid w:val="00176178"/>
    <w:rsid w:val="00177140"/>
    <w:rsid w:val="001B595A"/>
    <w:rsid w:val="001D400F"/>
    <w:rsid w:val="001E74E9"/>
    <w:rsid w:val="001F525A"/>
    <w:rsid w:val="00204914"/>
    <w:rsid w:val="00215A16"/>
    <w:rsid w:val="00223272"/>
    <w:rsid w:val="00240333"/>
    <w:rsid w:val="0024779E"/>
    <w:rsid w:val="00255959"/>
    <w:rsid w:val="00264ADF"/>
    <w:rsid w:val="002832AC"/>
    <w:rsid w:val="00285D5F"/>
    <w:rsid w:val="002B62D7"/>
    <w:rsid w:val="002C53DA"/>
    <w:rsid w:val="002D7A89"/>
    <w:rsid w:val="002D7C93"/>
    <w:rsid w:val="002F5A3F"/>
    <w:rsid w:val="002F5C5B"/>
    <w:rsid w:val="00312994"/>
    <w:rsid w:val="00366692"/>
    <w:rsid w:val="00367D0C"/>
    <w:rsid w:val="0037241C"/>
    <w:rsid w:val="00372A21"/>
    <w:rsid w:val="003755B3"/>
    <w:rsid w:val="003815F4"/>
    <w:rsid w:val="003819FF"/>
    <w:rsid w:val="0038245A"/>
    <w:rsid w:val="003847B3"/>
    <w:rsid w:val="00386464"/>
    <w:rsid w:val="00387859"/>
    <w:rsid w:val="00393E02"/>
    <w:rsid w:val="003D3C7B"/>
    <w:rsid w:val="00400099"/>
    <w:rsid w:val="004054BC"/>
    <w:rsid w:val="00413887"/>
    <w:rsid w:val="00433EF4"/>
    <w:rsid w:val="0043791A"/>
    <w:rsid w:val="00441C3B"/>
    <w:rsid w:val="00446B0A"/>
    <w:rsid w:val="00446FE5"/>
    <w:rsid w:val="00450A47"/>
    <w:rsid w:val="00452396"/>
    <w:rsid w:val="00453A35"/>
    <w:rsid w:val="00470BF4"/>
    <w:rsid w:val="00471288"/>
    <w:rsid w:val="0048007F"/>
    <w:rsid w:val="00483505"/>
    <w:rsid w:val="00493B0E"/>
    <w:rsid w:val="0049687C"/>
    <w:rsid w:val="004A1CF5"/>
    <w:rsid w:val="004A6E92"/>
    <w:rsid w:val="004C4CD9"/>
    <w:rsid w:val="004D381C"/>
    <w:rsid w:val="004E1C58"/>
    <w:rsid w:val="004E468C"/>
    <w:rsid w:val="005316B0"/>
    <w:rsid w:val="005505B7"/>
    <w:rsid w:val="00561057"/>
    <w:rsid w:val="0056700C"/>
    <w:rsid w:val="00567389"/>
    <w:rsid w:val="00573BE5"/>
    <w:rsid w:val="00586ED3"/>
    <w:rsid w:val="0059186F"/>
    <w:rsid w:val="00596AA9"/>
    <w:rsid w:val="005B4D0F"/>
    <w:rsid w:val="005D210D"/>
    <w:rsid w:val="005D328E"/>
    <w:rsid w:val="005D52AC"/>
    <w:rsid w:val="005E3A9B"/>
    <w:rsid w:val="00600C72"/>
    <w:rsid w:val="00602104"/>
    <w:rsid w:val="006048B2"/>
    <w:rsid w:val="006054F2"/>
    <w:rsid w:val="00605C69"/>
    <w:rsid w:val="00625804"/>
    <w:rsid w:val="00630DDE"/>
    <w:rsid w:val="00641A37"/>
    <w:rsid w:val="00673D41"/>
    <w:rsid w:val="00694045"/>
    <w:rsid w:val="00695568"/>
    <w:rsid w:val="006A428B"/>
    <w:rsid w:val="006F2FDD"/>
    <w:rsid w:val="006F7BB6"/>
    <w:rsid w:val="00703D0F"/>
    <w:rsid w:val="00705E24"/>
    <w:rsid w:val="00706363"/>
    <w:rsid w:val="00713445"/>
    <w:rsid w:val="007158BB"/>
    <w:rsid w:val="0071601D"/>
    <w:rsid w:val="0075410D"/>
    <w:rsid w:val="00787A1F"/>
    <w:rsid w:val="007A62E6"/>
    <w:rsid w:val="007B1247"/>
    <w:rsid w:val="007F688C"/>
    <w:rsid w:val="00801B8F"/>
    <w:rsid w:val="0080684C"/>
    <w:rsid w:val="0081277B"/>
    <w:rsid w:val="008204DA"/>
    <w:rsid w:val="00835130"/>
    <w:rsid w:val="008535AD"/>
    <w:rsid w:val="008565AC"/>
    <w:rsid w:val="00871C75"/>
    <w:rsid w:val="008767E8"/>
    <w:rsid w:val="008776DC"/>
    <w:rsid w:val="00880CB0"/>
    <w:rsid w:val="008830A5"/>
    <w:rsid w:val="00883605"/>
    <w:rsid w:val="008916DD"/>
    <w:rsid w:val="00897CE1"/>
    <w:rsid w:val="008A3480"/>
    <w:rsid w:val="008C2F3B"/>
    <w:rsid w:val="008C7C3E"/>
    <w:rsid w:val="008D20CB"/>
    <w:rsid w:val="008D43DB"/>
    <w:rsid w:val="008D5429"/>
    <w:rsid w:val="008E6043"/>
    <w:rsid w:val="009073B5"/>
    <w:rsid w:val="00910102"/>
    <w:rsid w:val="00942240"/>
    <w:rsid w:val="00951063"/>
    <w:rsid w:val="0095476A"/>
    <w:rsid w:val="00961DDB"/>
    <w:rsid w:val="00961E7B"/>
    <w:rsid w:val="009705C8"/>
    <w:rsid w:val="00984E09"/>
    <w:rsid w:val="009917F5"/>
    <w:rsid w:val="00993D5D"/>
    <w:rsid w:val="009C013B"/>
    <w:rsid w:val="009C1CF4"/>
    <w:rsid w:val="009D0AC5"/>
    <w:rsid w:val="009D36F7"/>
    <w:rsid w:val="009F02C9"/>
    <w:rsid w:val="00A13A8D"/>
    <w:rsid w:val="00A16D2D"/>
    <w:rsid w:val="00A30353"/>
    <w:rsid w:val="00A36039"/>
    <w:rsid w:val="00A41011"/>
    <w:rsid w:val="00A47E7A"/>
    <w:rsid w:val="00A62D91"/>
    <w:rsid w:val="00A8725F"/>
    <w:rsid w:val="00A90D54"/>
    <w:rsid w:val="00AA113A"/>
    <w:rsid w:val="00AA1A0A"/>
    <w:rsid w:val="00AA5AD5"/>
    <w:rsid w:val="00AB60E1"/>
    <w:rsid w:val="00AC3823"/>
    <w:rsid w:val="00AD1CA6"/>
    <w:rsid w:val="00AE319B"/>
    <w:rsid w:val="00AE323C"/>
    <w:rsid w:val="00AF774C"/>
    <w:rsid w:val="00B00181"/>
    <w:rsid w:val="00B00B0D"/>
    <w:rsid w:val="00B06E87"/>
    <w:rsid w:val="00B119D0"/>
    <w:rsid w:val="00B24891"/>
    <w:rsid w:val="00B248BA"/>
    <w:rsid w:val="00B40927"/>
    <w:rsid w:val="00B50E25"/>
    <w:rsid w:val="00B51BF6"/>
    <w:rsid w:val="00B575AB"/>
    <w:rsid w:val="00B64918"/>
    <w:rsid w:val="00B70B24"/>
    <w:rsid w:val="00B765F7"/>
    <w:rsid w:val="00B777B7"/>
    <w:rsid w:val="00B9690D"/>
    <w:rsid w:val="00BA0CA9"/>
    <w:rsid w:val="00BB1E24"/>
    <w:rsid w:val="00BD1725"/>
    <w:rsid w:val="00BF5382"/>
    <w:rsid w:val="00C02897"/>
    <w:rsid w:val="00C1626B"/>
    <w:rsid w:val="00C1634C"/>
    <w:rsid w:val="00C47814"/>
    <w:rsid w:val="00C51946"/>
    <w:rsid w:val="00C6089D"/>
    <w:rsid w:val="00C66A47"/>
    <w:rsid w:val="00C7616F"/>
    <w:rsid w:val="00C82BE4"/>
    <w:rsid w:val="00CB16B5"/>
    <w:rsid w:val="00CC60C8"/>
    <w:rsid w:val="00CD4AFF"/>
    <w:rsid w:val="00CE0608"/>
    <w:rsid w:val="00CE0F32"/>
    <w:rsid w:val="00CF4A77"/>
    <w:rsid w:val="00D064D4"/>
    <w:rsid w:val="00D10615"/>
    <w:rsid w:val="00D3093F"/>
    <w:rsid w:val="00D3439C"/>
    <w:rsid w:val="00D34E52"/>
    <w:rsid w:val="00D44CF3"/>
    <w:rsid w:val="00D46C8C"/>
    <w:rsid w:val="00D614BF"/>
    <w:rsid w:val="00DA07F9"/>
    <w:rsid w:val="00DA4D33"/>
    <w:rsid w:val="00DB1831"/>
    <w:rsid w:val="00DD3BFD"/>
    <w:rsid w:val="00DE239D"/>
    <w:rsid w:val="00DF431C"/>
    <w:rsid w:val="00DF6678"/>
    <w:rsid w:val="00E06B5E"/>
    <w:rsid w:val="00E07A78"/>
    <w:rsid w:val="00E13241"/>
    <w:rsid w:val="00E2017F"/>
    <w:rsid w:val="00E20322"/>
    <w:rsid w:val="00E428C8"/>
    <w:rsid w:val="00E74840"/>
    <w:rsid w:val="00EA0394"/>
    <w:rsid w:val="00EB4274"/>
    <w:rsid w:val="00EC0A02"/>
    <w:rsid w:val="00ED32AB"/>
    <w:rsid w:val="00EF2E22"/>
    <w:rsid w:val="00EF51F9"/>
    <w:rsid w:val="00F037E0"/>
    <w:rsid w:val="00F0592C"/>
    <w:rsid w:val="00F06ED4"/>
    <w:rsid w:val="00F12596"/>
    <w:rsid w:val="00F43289"/>
    <w:rsid w:val="00F51ECD"/>
    <w:rsid w:val="00F60C76"/>
    <w:rsid w:val="00F660DF"/>
    <w:rsid w:val="00F861EC"/>
    <w:rsid w:val="00F861F3"/>
    <w:rsid w:val="00F95C08"/>
    <w:rsid w:val="00FA4710"/>
    <w:rsid w:val="00FB7861"/>
    <w:rsid w:val="00FC0445"/>
    <w:rsid w:val="00FC46D2"/>
    <w:rsid w:val="00FD1581"/>
    <w:rsid w:val="00FF3D5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53F88"/>
  <w15:docId w15:val="{12EB02EC-B67E-4A17-9232-A61CC08E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qFormat/>
    <w:rsid w:val="0001207F"/>
    <w:rPr>
      <w:rFonts w:ascii="Times New Roman" w:hAnsi="Times New Roman" w:cs="Times New Roman"/>
      <w:b/>
      <w:sz w:val="28"/>
      <w:szCs w:val="20"/>
      <w:lang w:eastAsia="en-US"/>
    </w:rPr>
  </w:style>
  <w:style w:type="character" w:customStyle="1" w:styleId="H1GChar">
    <w:name w:val="_ H_1_G Char"/>
    <w:link w:val="H1G"/>
    <w:rsid w:val="002B62D7"/>
    <w:rPr>
      <w:b/>
      <w:sz w:val="24"/>
    </w:rPr>
  </w:style>
  <w:style w:type="character" w:styleId="CommentReference">
    <w:name w:val="annotation reference"/>
    <w:basedOn w:val="DefaultParagraphFont"/>
    <w:uiPriority w:val="99"/>
    <w:semiHidden/>
    <w:unhideWhenUsed/>
    <w:rsid w:val="00713445"/>
    <w:rPr>
      <w:sz w:val="16"/>
      <w:szCs w:val="16"/>
    </w:rPr>
  </w:style>
  <w:style w:type="paragraph" w:styleId="CommentText">
    <w:name w:val="annotation text"/>
    <w:basedOn w:val="Normal"/>
    <w:link w:val="CommentTextChar"/>
    <w:uiPriority w:val="99"/>
    <w:semiHidden/>
    <w:unhideWhenUsed/>
    <w:rsid w:val="00713445"/>
    <w:pPr>
      <w:spacing w:line="240" w:lineRule="auto"/>
    </w:pPr>
  </w:style>
  <w:style w:type="character" w:customStyle="1" w:styleId="CommentTextChar">
    <w:name w:val="Comment Text Char"/>
    <w:basedOn w:val="DefaultParagraphFont"/>
    <w:link w:val="CommentText"/>
    <w:uiPriority w:val="99"/>
    <w:semiHidden/>
    <w:rsid w:val="00713445"/>
  </w:style>
  <w:style w:type="paragraph" w:styleId="CommentSubject">
    <w:name w:val="annotation subject"/>
    <w:basedOn w:val="CommentText"/>
    <w:next w:val="CommentText"/>
    <w:link w:val="CommentSubjectChar"/>
    <w:uiPriority w:val="99"/>
    <w:semiHidden/>
    <w:unhideWhenUsed/>
    <w:rsid w:val="00713445"/>
    <w:rPr>
      <w:b/>
      <w:bCs/>
    </w:rPr>
  </w:style>
  <w:style w:type="character" w:customStyle="1" w:styleId="CommentSubjectChar">
    <w:name w:val="Comment Subject Char"/>
    <w:basedOn w:val="CommentTextChar"/>
    <w:link w:val="CommentSubject"/>
    <w:uiPriority w:val="99"/>
    <w:semiHidden/>
    <w:rsid w:val="00713445"/>
    <w:rPr>
      <w:b/>
      <w:bCs/>
    </w:rPr>
  </w:style>
  <w:style w:type="character" w:customStyle="1" w:styleId="H23GChar">
    <w:name w:val="_ H_2/3_G Char"/>
    <w:link w:val="H23G"/>
    <w:locked/>
    <w:rsid w:val="00B70B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071">
      <w:bodyDiv w:val="1"/>
      <w:marLeft w:val="0"/>
      <w:marRight w:val="0"/>
      <w:marTop w:val="0"/>
      <w:marBottom w:val="0"/>
      <w:divBdr>
        <w:top w:val="none" w:sz="0" w:space="0" w:color="auto"/>
        <w:left w:val="none" w:sz="0" w:space="0" w:color="auto"/>
        <w:bottom w:val="none" w:sz="0" w:space="0" w:color="auto"/>
        <w:right w:val="none" w:sz="0" w:space="0" w:color="auto"/>
      </w:divBdr>
    </w:div>
    <w:div w:id="499468417">
      <w:bodyDiv w:val="1"/>
      <w:marLeft w:val="0"/>
      <w:marRight w:val="0"/>
      <w:marTop w:val="0"/>
      <w:marBottom w:val="0"/>
      <w:divBdr>
        <w:top w:val="none" w:sz="0" w:space="0" w:color="auto"/>
        <w:left w:val="none" w:sz="0" w:space="0" w:color="auto"/>
        <w:bottom w:val="none" w:sz="0" w:space="0" w:color="auto"/>
        <w:right w:val="none" w:sz="0" w:space="0" w:color="auto"/>
      </w:divBdr>
    </w:div>
    <w:div w:id="662664994">
      <w:bodyDiv w:val="1"/>
      <w:marLeft w:val="0"/>
      <w:marRight w:val="0"/>
      <w:marTop w:val="0"/>
      <w:marBottom w:val="0"/>
      <w:divBdr>
        <w:top w:val="none" w:sz="0" w:space="0" w:color="auto"/>
        <w:left w:val="none" w:sz="0" w:space="0" w:color="auto"/>
        <w:bottom w:val="none" w:sz="0" w:space="0" w:color="auto"/>
        <w:right w:val="none" w:sz="0" w:space="0" w:color="auto"/>
      </w:divBdr>
    </w:div>
    <w:div w:id="986325051">
      <w:bodyDiv w:val="1"/>
      <w:marLeft w:val="0"/>
      <w:marRight w:val="0"/>
      <w:marTop w:val="0"/>
      <w:marBottom w:val="0"/>
      <w:divBdr>
        <w:top w:val="none" w:sz="0" w:space="0" w:color="auto"/>
        <w:left w:val="none" w:sz="0" w:space="0" w:color="auto"/>
        <w:bottom w:val="none" w:sz="0" w:space="0" w:color="auto"/>
        <w:right w:val="none" w:sz="0" w:space="0" w:color="auto"/>
      </w:divBdr>
    </w:div>
    <w:div w:id="1322077136">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8206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fr/trans/main/dgdb/dgsubc3/c3inf5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69436-B8D1-4E7A-B650-A3BBD4040DBF}">
  <ds:schemaRefs>
    <ds:schemaRef ds:uri="http://schemas.microsoft.com/sharepoint/v3/contenttype/forms"/>
  </ds:schemaRefs>
</ds:datastoreItem>
</file>

<file path=customXml/itemProps2.xml><?xml version="1.0" encoding="utf-8"?>
<ds:datastoreItem xmlns:ds="http://schemas.openxmlformats.org/officeDocument/2006/customXml" ds:itemID="{2FF40D55-29B7-4CCA-8F7B-EAD6EAE39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E001B-4339-4A2F-BA36-600AFB9D2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TRANS_WP1_24_F.dotm</Template>
  <TotalTime>39</TotalTime>
  <Pages>18</Pages>
  <Words>7045</Words>
  <Characters>40158</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ECE/TRANS/WP.15/251</vt:lpstr>
      <vt:lpstr>ECE/EX/22</vt:lpstr>
    </vt:vector>
  </TitlesOfParts>
  <Company>DCM</Company>
  <LinksUpToDate>false</LinksUpToDate>
  <CharactersWithSpaces>47109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ECE/TRANS/WP.15/251</dc:title>
  <dc:subject>FINAL</dc:subject>
  <dc:creator>Sabrina Mansion</dc:creator>
  <cp:keywords/>
  <dc:description/>
  <cp:lastModifiedBy>Christine Barrio-Champeau</cp:lastModifiedBy>
  <cp:revision>69</cp:revision>
  <cp:lastPrinted>2014-05-14T10:59:00Z</cp:lastPrinted>
  <dcterms:created xsi:type="dcterms:W3CDTF">2020-11-26T09:39:00Z</dcterms:created>
  <dcterms:modified xsi:type="dcterms:W3CDTF">2020-12-03T13:09:00Z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