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880F9A" w14:paraId="354321FC" w14:textId="77777777" w:rsidTr="005316B0">
        <w:trPr>
          <w:trHeight w:hRule="exact" w:val="851"/>
        </w:trPr>
        <w:tc>
          <w:tcPr>
            <w:tcW w:w="1276" w:type="dxa"/>
            <w:tcBorders>
              <w:bottom w:val="single" w:sz="4" w:space="0" w:color="auto"/>
            </w:tcBorders>
          </w:tcPr>
          <w:p w14:paraId="1D149306" w14:textId="77777777" w:rsidR="001433FD" w:rsidRPr="00880F9A" w:rsidRDefault="001433FD" w:rsidP="0001207F">
            <w:pPr>
              <w:rPr>
                <w:lang w:val="fr-FR"/>
              </w:rPr>
            </w:pPr>
          </w:p>
        </w:tc>
        <w:tc>
          <w:tcPr>
            <w:tcW w:w="2268" w:type="dxa"/>
            <w:tcBorders>
              <w:bottom w:val="single" w:sz="4" w:space="0" w:color="auto"/>
            </w:tcBorders>
            <w:vAlign w:val="bottom"/>
          </w:tcPr>
          <w:p w14:paraId="395920BA" w14:textId="77777777" w:rsidR="001433FD" w:rsidRPr="00880F9A" w:rsidRDefault="001433FD" w:rsidP="007D3236">
            <w:pPr>
              <w:spacing w:after="80" w:line="300" w:lineRule="exact"/>
              <w:rPr>
                <w:sz w:val="28"/>
                <w:lang w:val="fr-FR"/>
              </w:rPr>
            </w:pPr>
            <w:r w:rsidRPr="00880F9A">
              <w:rPr>
                <w:sz w:val="28"/>
                <w:lang w:val="fr-FR"/>
              </w:rPr>
              <w:t>Nations Unies</w:t>
            </w:r>
          </w:p>
        </w:tc>
        <w:tc>
          <w:tcPr>
            <w:tcW w:w="6095" w:type="dxa"/>
            <w:gridSpan w:val="2"/>
            <w:tcBorders>
              <w:bottom w:val="single" w:sz="4" w:space="0" w:color="auto"/>
            </w:tcBorders>
            <w:vAlign w:val="bottom"/>
          </w:tcPr>
          <w:p w14:paraId="2B49475A" w14:textId="77777777" w:rsidR="001433FD" w:rsidRPr="00880F9A" w:rsidRDefault="00356DB6" w:rsidP="00356DB6">
            <w:pPr>
              <w:jc w:val="right"/>
              <w:rPr>
                <w:lang w:val="fr-FR"/>
              </w:rPr>
            </w:pPr>
            <w:r w:rsidRPr="00880F9A">
              <w:rPr>
                <w:sz w:val="40"/>
                <w:lang w:val="fr-FR"/>
              </w:rPr>
              <w:t>ECE</w:t>
            </w:r>
            <w:r w:rsidRPr="00880F9A">
              <w:rPr>
                <w:lang w:val="fr-FR"/>
              </w:rPr>
              <w:t>/TRANS/WP.15/249/Add.1</w:t>
            </w:r>
          </w:p>
        </w:tc>
      </w:tr>
      <w:tr w:rsidR="001433FD" w:rsidRPr="00880F9A" w14:paraId="5FDCD3A5" w14:textId="77777777" w:rsidTr="007D3236">
        <w:trPr>
          <w:trHeight w:hRule="exact" w:val="2835"/>
        </w:trPr>
        <w:tc>
          <w:tcPr>
            <w:tcW w:w="1276" w:type="dxa"/>
            <w:tcBorders>
              <w:top w:val="single" w:sz="4" w:space="0" w:color="auto"/>
              <w:bottom w:val="single" w:sz="12" w:space="0" w:color="auto"/>
            </w:tcBorders>
          </w:tcPr>
          <w:p w14:paraId="6B7B95AA" w14:textId="77777777" w:rsidR="001433FD" w:rsidRPr="00880F9A" w:rsidRDefault="001433FD" w:rsidP="007D3236">
            <w:pPr>
              <w:spacing w:before="120"/>
              <w:jc w:val="center"/>
              <w:rPr>
                <w:lang w:val="fr-FR"/>
              </w:rPr>
            </w:pPr>
            <w:r w:rsidRPr="00880F9A">
              <w:rPr>
                <w:noProof/>
                <w:lang w:val="fr-FR" w:eastAsia="fr-CH"/>
              </w:rPr>
              <w:drawing>
                <wp:inline distT="0" distB="0" distL="0" distR="0" wp14:anchorId="4CEABADC" wp14:editId="640F713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2981C8" w14:textId="77777777" w:rsidR="001433FD" w:rsidRPr="00880F9A" w:rsidRDefault="001433FD" w:rsidP="007D3236">
            <w:pPr>
              <w:spacing w:before="120" w:line="420" w:lineRule="exact"/>
              <w:rPr>
                <w:b/>
                <w:sz w:val="40"/>
                <w:szCs w:val="40"/>
                <w:lang w:val="fr-FR"/>
              </w:rPr>
            </w:pPr>
            <w:r w:rsidRPr="00880F9A">
              <w:rPr>
                <w:b/>
                <w:sz w:val="40"/>
                <w:szCs w:val="40"/>
                <w:lang w:val="fr-FR"/>
              </w:rPr>
              <w:t>Conseil économique et social</w:t>
            </w:r>
          </w:p>
        </w:tc>
        <w:tc>
          <w:tcPr>
            <w:tcW w:w="2835" w:type="dxa"/>
            <w:tcBorders>
              <w:top w:val="single" w:sz="4" w:space="0" w:color="auto"/>
              <w:bottom w:val="single" w:sz="12" w:space="0" w:color="auto"/>
            </w:tcBorders>
          </w:tcPr>
          <w:p w14:paraId="7664CC91" w14:textId="77777777" w:rsidR="0001207F" w:rsidRPr="00880F9A" w:rsidRDefault="00356DB6" w:rsidP="00356DB6">
            <w:pPr>
              <w:spacing w:before="240" w:line="240" w:lineRule="exact"/>
              <w:rPr>
                <w:lang w:val="fr-FR"/>
              </w:rPr>
            </w:pPr>
            <w:proofErr w:type="spellStart"/>
            <w:r w:rsidRPr="00880F9A">
              <w:rPr>
                <w:lang w:val="fr-FR"/>
              </w:rPr>
              <w:t>Distr</w:t>
            </w:r>
            <w:proofErr w:type="spellEnd"/>
            <w:r w:rsidRPr="00880F9A">
              <w:rPr>
                <w:lang w:val="fr-FR"/>
              </w:rPr>
              <w:t xml:space="preserve">. </w:t>
            </w:r>
            <w:proofErr w:type="gramStart"/>
            <w:r w:rsidRPr="00880F9A">
              <w:rPr>
                <w:lang w:val="fr-FR"/>
              </w:rPr>
              <w:t>générale</w:t>
            </w:r>
            <w:proofErr w:type="gramEnd"/>
          </w:p>
          <w:p w14:paraId="1408BAB5" w14:textId="19B21C35" w:rsidR="00356DB6" w:rsidRPr="00880F9A" w:rsidRDefault="00091E38" w:rsidP="00356DB6">
            <w:pPr>
              <w:spacing w:line="240" w:lineRule="exact"/>
              <w:rPr>
                <w:lang w:val="fr-FR"/>
              </w:rPr>
            </w:pPr>
            <w:r>
              <w:rPr>
                <w:lang w:val="fr-FR"/>
              </w:rPr>
              <w:t>2 juin</w:t>
            </w:r>
            <w:r w:rsidR="00356DB6" w:rsidRPr="00880F9A">
              <w:rPr>
                <w:lang w:val="fr-FR"/>
              </w:rPr>
              <w:t xml:space="preserve"> 2020</w:t>
            </w:r>
          </w:p>
          <w:p w14:paraId="2DEF781D" w14:textId="77777777" w:rsidR="00356DB6" w:rsidRPr="00880F9A" w:rsidRDefault="00356DB6" w:rsidP="00356DB6">
            <w:pPr>
              <w:spacing w:line="240" w:lineRule="exact"/>
              <w:rPr>
                <w:lang w:val="fr-FR"/>
              </w:rPr>
            </w:pPr>
            <w:r w:rsidRPr="00880F9A">
              <w:rPr>
                <w:lang w:val="fr-FR"/>
              </w:rPr>
              <w:t>Français</w:t>
            </w:r>
          </w:p>
          <w:p w14:paraId="56DFB984" w14:textId="115669AE" w:rsidR="00BE2960" w:rsidRPr="00091E38" w:rsidRDefault="00356DB6" w:rsidP="00091E38">
            <w:pPr>
              <w:spacing w:line="240" w:lineRule="exact"/>
              <w:rPr>
                <w:lang w:val="fr-FR"/>
              </w:rPr>
            </w:pPr>
            <w:r w:rsidRPr="00880F9A">
              <w:rPr>
                <w:lang w:val="fr-FR"/>
              </w:rPr>
              <w:t>Original : anglais et français</w:t>
            </w:r>
          </w:p>
        </w:tc>
      </w:tr>
    </w:tbl>
    <w:p w14:paraId="35B040DA" w14:textId="77777777" w:rsidR="003276AB" w:rsidRPr="00880F9A" w:rsidRDefault="003276AB" w:rsidP="00FD1581">
      <w:pPr>
        <w:spacing w:before="120"/>
        <w:rPr>
          <w:b/>
          <w:sz w:val="28"/>
          <w:szCs w:val="28"/>
          <w:lang w:val="fr-FR"/>
        </w:rPr>
      </w:pPr>
      <w:r w:rsidRPr="00880F9A">
        <w:rPr>
          <w:b/>
          <w:sz w:val="28"/>
          <w:szCs w:val="28"/>
          <w:lang w:val="fr-FR"/>
        </w:rPr>
        <w:t>Commission économique pour l’Europe</w:t>
      </w:r>
    </w:p>
    <w:p w14:paraId="45B4B1DA" w14:textId="77777777" w:rsidR="003276AB" w:rsidRPr="00880F9A" w:rsidRDefault="003276AB" w:rsidP="00FD1581">
      <w:pPr>
        <w:spacing w:before="120"/>
        <w:rPr>
          <w:sz w:val="28"/>
          <w:szCs w:val="28"/>
          <w:lang w:val="fr-FR"/>
        </w:rPr>
      </w:pPr>
      <w:r w:rsidRPr="00880F9A">
        <w:rPr>
          <w:sz w:val="28"/>
          <w:szCs w:val="28"/>
          <w:lang w:val="fr-FR"/>
        </w:rPr>
        <w:t>Comité des transports intérieurs</w:t>
      </w:r>
    </w:p>
    <w:p w14:paraId="4017DD0D" w14:textId="77777777" w:rsidR="003276AB" w:rsidRPr="00880F9A" w:rsidRDefault="003276AB" w:rsidP="00FD1581">
      <w:pPr>
        <w:spacing w:before="120"/>
        <w:rPr>
          <w:b/>
          <w:sz w:val="24"/>
          <w:szCs w:val="24"/>
          <w:lang w:val="fr-FR"/>
        </w:rPr>
      </w:pPr>
      <w:r w:rsidRPr="00880F9A">
        <w:rPr>
          <w:b/>
          <w:sz w:val="24"/>
          <w:szCs w:val="24"/>
          <w:lang w:val="fr-FR"/>
        </w:rPr>
        <w:t xml:space="preserve">Groupe de travail des transports </w:t>
      </w:r>
      <w:r w:rsidRPr="00880F9A">
        <w:rPr>
          <w:b/>
          <w:sz w:val="24"/>
          <w:szCs w:val="24"/>
          <w:lang w:val="fr-FR"/>
        </w:rPr>
        <w:br/>
        <w:t>de marchandises dangereuses</w:t>
      </w:r>
    </w:p>
    <w:p w14:paraId="6E8801EE" w14:textId="77777777" w:rsidR="00AE751F" w:rsidRPr="00880F9A" w:rsidRDefault="00AE751F" w:rsidP="00AE751F">
      <w:pPr>
        <w:pStyle w:val="HChG"/>
        <w:rPr>
          <w:lang w:val="fr-FR"/>
        </w:rPr>
      </w:pPr>
      <w:r w:rsidRPr="00880F9A">
        <w:rPr>
          <w:lang w:val="fr-FR"/>
        </w:rPr>
        <w:tab/>
      </w:r>
      <w:r w:rsidRPr="00880F9A">
        <w:rPr>
          <w:lang w:val="fr-FR"/>
        </w:rPr>
        <w:tab/>
        <w:t>Accord européen relatif au transport international des marchandises dangereuses par route (ADR)</w:t>
      </w:r>
    </w:p>
    <w:p w14:paraId="72BEE8DD" w14:textId="77777777" w:rsidR="00AE751F" w:rsidRPr="00880F9A" w:rsidRDefault="00AE751F" w:rsidP="00AE751F">
      <w:pPr>
        <w:pStyle w:val="H1G"/>
        <w:outlineLvl w:val="0"/>
        <w:rPr>
          <w:lang w:val="fr-FR"/>
        </w:rPr>
      </w:pPr>
      <w:r w:rsidRPr="00880F9A">
        <w:rPr>
          <w:lang w:val="fr-FR"/>
        </w:rPr>
        <w:tab/>
      </w:r>
      <w:r w:rsidRPr="00880F9A">
        <w:rPr>
          <w:lang w:val="fr-FR"/>
        </w:rPr>
        <w:tab/>
        <w:t>Projet d'amendements aux annexes A et B de l'ADR</w:t>
      </w:r>
    </w:p>
    <w:p w14:paraId="20F86B96" w14:textId="77777777" w:rsidR="00AE751F" w:rsidRPr="00880F9A" w:rsidRDefault="00AE751F" w:rsidP="00AE751F">
      <w:pPr>
        <w:pStyle w:val="H23G"/>
        <w:rPr>
          <w:lang w:val="fr-FR"/>
        </w:rPr>
      </w:pPr>
      <w:r w:rsidRPr="00880F9A">
        <w:rPr>
          <w:lang w:val="fr-FR"/>
        </w:rPr>
        <w:tab/>
      </w:r>
      <w:r w:rsidRPr="00880F9A">
        <w:rPr>
          <w:lang w:val="fr-FR"/>
        </w:rPr>
        <w:tab/>
        <w:t>Additif</w:t>
      </w:r>
    </w:p>
    <w:p w14:paraId="7544125C" w14:textId="77777777" w:rsidR="00AE751F" w:rsidRPr="00880F9A" w:rsidRDefault="00AE751F" w:rsidP="00AE751F">
      <w:pPr>
        <w:pStyle w:val="SingleTxtG"/>
        <w:rPr>
          <w:lang w:val="fr-FR"/>
        </w:rPr>
      </w:pPr>
      <w:r w:rsidRPr="00880F9A">
        <w:rPr>
          <w:lang w:val="fr-FR"/>
        </w:rPr>
        <w:tab/>
      </w:r>
      <w:r w:rsidRPr="00880F9A">
        <w:rPr>
          <w:lang w:val="fr-FR"/>
        </w:rPr>
        <w:tab/>
        <w:t>La présidente et le vice-président du Groupe de travail des transports de marchandises dangereuses ont prié le secrétariat de diffuser une liste supplémentaire d'amendements dont l'entrée en vigueur est prévue pour le 1er janvier 2021 sous la forme d'un additif au document ECE/TRANS/WP.15/249, que la présidente transmettra aux Parties contractantes par l’intermédiaire de son gouvernement pour acceptation conformément à la procédure énoncée à l’article 14 de l’ADR (voir ECE/TRANS/WP.15/248, paragraphe 80) à condition que ces amendements soient également adoptés par les États parties au RID.</w:t>
      </w:r>
    </w:p>
    <w:p w14:paraId="4F814E74" w14:textId="207B351D" w:rsidR="00AE751F" w:rsidRPr="00880F9A" w:rsidRDefault="00AE751F" w:rsidP="00AE751F">
      <w:pPr>
        <w:pStyle w:val="SingleTxtG"/>
        <w:rPr>
          <w:lang w:val="fr-FR"/>
        </w:rPr>
      </w:pPr>
      <w:r w:rsidRPr="00880F9A">
        <w:rPr>
          <w:lang w:val="fr-FR"/>
        </w:rPr>
        <w:tab/>
      </w:r>
      <w:r w:rsidRPr="00880F9A">
        <w:rPr>
          <w:lang w:val="fr-FR"/>
        </w:rPr>
        <w:tab/>
        <w:t xml:space="preserve">En raison de la pandémie de coronavirus (COVID-19), la 108e session du Groupe de travail a été reportée au 9-13 novembre 2020. Par conséquent, ces amendements ont été communiqués par écrit aux participants au Groupe de travail qui n'ont pas soulevé d'objection. Ce document contient </w:t>
      </w:r>
      <w:r w:rsidR="00091E38" w:rsidRPr="00A0539F">
        <w:rPr>
          <w:lang w:val="fr-FR"/>
        </w:rPr>
        <w:t>en annexe</w:t>
      </w:r>
      <w:r w:rsidR="00091E38">
        <w:rPr>
          <w:lang w:val="fr-FR"/>
        </w:rPr>
        <w:t xml:space="preserve"> </w:t>
      </w:r>
      <w:r w:rsidRPr="00880F9A">
        <w:rPr>
          <w:lang w:val="fr-FR"/>
        </w:rPr>
        <w:t>la liste supplémentaire d'amendements demandée</w:t>
      </w:r>
      <w:r w:rsidR="003F6F1C">
        <w:rPr>
          <w:lang w:val="fr-FR"/>
        </w:rPr>
        <w:t> :</w:t>
      </w:r>
    </w:p>
    <w:p w14:paraId="2EAB9BDF" w14:textId="775AD69A" w:rsidR="00AE751F" w:rsidRPr="00880F9A" w:rsidRDefault="00AE751F" w:rsidP="004F398B">
      <w:pPr>
        <w:pStyle w:val="Bullet1G"/>
        <w:rPr>
          <w:lang w:val="fr-FR"/>
        </w:rPr>
      </w:pPr>
      <w:r w:rsidRPr="00880F9A">
        <w:rPr>
          <w:lang w:val="fr-FR"/>
        </w:rPr>
        <w:tab/>
        <w:t xml:space="preserve">La partie I énumère les amendements nécessaires pour assurer l'harmonisation de l'ADR avec les recommandations des Nations Unies sur le transport des marchandises dangereuses ou nécessaires en tant qu'amendements </w:t>
      </w:r>
      <w:r w:rsidR="004F398B">
        <w:rPr>
          <w:lang w:val="fr-FR"/>
        </w:rPr>
        <w:t>de conséquence</w:t>
      </w:r>
      <w:r w:rsidRPr="00880F9A">
        <w:rPr>
          <w:lang w:val="fr-FR"/>
        </w:rPr>
        <w:t xml:space="preserve"> ou pour mettre à jour certaines mesures transitoires.</w:t>
      </w:r>
    </w:p>
    <w:p w14:paraId="1CCCAD8D" w14:textId="4D8A6D7E" w:rsidR="0034612B" w:rsidRPr="00880F9A" w:rsidRDefault="0034612B" w:rsidP="004F398B">
      <w:pPr>
        <w:pStyle w:val="Bullet1G"/>
        <w:rPr>
          <w:lang w:val="fr-FR"/>
        </w:rPr>
      </w:pPr>
      <w:r w:rsidRPr="00880F9A">
        <w:rPr>
          <w:lang w:val="fr-FR"/>
        </w:rPr>
        <w:tab/>
        <w:t>La partie II énumère les amendements supplémentaires adoptés par le Groupe de travail des citernes de la Réunion commune.</w:t>
      </w:r>
    </w:p>
    <w:p w14:paraId="08878ACA" w14:textId="52975C1B" w:rsidR="00AE751F" w:rsidRPr="00880F9A" w:rsidRDefault="00AE751F" w:rsidP="004F398B">
      <w:pPr>
        <w:pStyle w:val="Bullet1G"/>
        <w:rPr>
          <w:lang w:val="fr-FR"/>
        </w:rPr>
      </w:pPr>
      <w:r w:rsidRPr="00880F9A">
        <w:rPr>
          <w:lang w:val="fr-FR"/>
        </w:rPr>
        <w:tab/>
        <w:t>La partie I</w:t>
      </w:r>
      <w:r w:rsidR="0034612B">
        <w:rPr>
          <w:lang w:val="fr-FR"/>
        </w:rPr>
        <w:t>I</w:t>
      </w:r>
      <w:r w:rsidRPr="00880F9A">
        <w:rPr>
          <w:lang w:val="fr-FR"/>
        </w:rPr>
        <w:t>I énumère des amendements supplémentaires, adoptés par le Groupe de travail sur les normes de la Réunion commune, pour tenir compte de la mise à jour de certaines normes référencées dans le RID et l'ADR.</w:t>
      </w:r>
    </w:p>
    <w:p w14:paraId="5B79C819" w14:textId="77777777" w:rsidR="00C72142" w:rsidRDefault="00C72142" w:rsidP="00AE751F">
      <w:pPr>
        <w:pStyle w:val="HChG"/>
        <w:rPr>
          <w:lang w:val="fr-FR"/>
        </w:rPr>
      </w:pPr>
      <w:r>
        <w:rPr>
          <w:lang w:val="fr-FR"/>
        </w:rPr>
        <w:br w:type="page"/>
      </w:r>
      <w:bookmarkStart w:id="0" w:name="_GoBack"/>
      <w:bookmarkEnd w:id="0"/>
    </w:p>
    <w:p w14:paraId="774F6401" w14:textId="6D226496" w:rsidR="00091E38" w:rsidRDefault="00091E38" w:rsidP="00AE751F">
      <w:pPr>
        <w:pStyle w:val="HChG"/>
        <w:rPr>
          <w:lang w:val="fr-FR"/>
        </w:rPr>
      </w:pPr>
      <w:r>
        <w:rPr>
          <w:lang w:val="fr-FR"/>
        </w:rPr>
        <w:lastRenderedPageBreak/>
        <w:t>Annex</w:t>
      </w:r>
    </w:p>
    <w:p w14:paraId="3957E4BE" w14:textId="7F0D47B7" w:rsidR="00C72142" w:rsidRPr="00C72142" w:rsidRDefault="00C72142" w:rsidP="00C72142">
      <w:pPr>
        <w:jc w:val="right"/>
        <w:rPr>
          <w:lang w:val="fr-FR" w:eastAsia="ru-RU"/>
        </w:rPr>
      </w:pPr>
      <w:r w:rsidRPr="00C72142">
        <w:rPr>
          <w:lang w:val="fr-FR" w:eastAsia="ru-RU"/>
        </w:rPr>
        <w:t xml:space="preserve">[Original : </w:t>
      </w:r>
      <w:r w:rsidRPr="00880F9A">
        <w:rPr>
          <w:lang w:val="fr-FR"/>
        </w:rPr>
        <w:t>anglais</w:t>
      </w:r>
      <w:r>
        <w:rPr>
          <w:lang w:val="fr-FR"/>
        </w:rPr>
        <w:t xml:space="preserve">, </w:t>
      </w:r>
      <w:r w:rsidRPr="00880F9A">
        <w:rPr>
          <w:lang w:val="fr-FR"/>
        </w:rPr>
        <w:t>français</w:t>
      </w:r>
      <w:r>
        <w:rPr>
          <w:lang w:val="fr-FR"/>
        </w:rPr>
        <w:t xml:space="preserve"> et russe</w:t>
      </w:r>
      <w:r w:rsidRPr="00C72142">
        <w:rPr>
          <w:lang w:val="fr-FR" w:eastAsia="ru-RU"/>
        </w:rPr>
        <w:t>]</w:t>
      </w:r>
    </w:p>
    <w:p w14:paraId="71F18652" w14:textId="3B20E073" w:rsidR="00AE751F" w:rsidRPr="00880F9A" w:rsidRDefault="00AE751F" w:rsidP="00091E38">
      <w:pPr>
        <w:pStyle w:val="H1G"/>
        <w:rPr>
          <w:lang w:val="fr-FR"/>
        </w:rPr>
      </w:pPr>
      <w:r w:rsidRPr="00880F9A">
        <w:rPr>
          <w:lang w:val="fr-FR"/>
        </w:rPr>
        <w:tab/>
        <w:t>I.</w:t>
      </w:r>
      <w:r w:rsidRPr="00880F9A">
        <w:rPr>
          <w:lang w:val="fr-FR"/>
        </w:rPr>
        <w:tab/>
      </w:r>
      <w:r w:rsidR="00C626B2" w:rsidRPr="00880F9A">
        <w:rPr>
          <w:lang w:val="fr-FR"/>
        </w:rPr>
        <w:t>Projet d’a</w:t>
      </w:r>
      <w:r w:rsidR="00301D8C" w:rsidRPr="00880F9A">
        <w:rPr>
          <w:lang w:val="fr-FR"/>
        </w:rPr>
        <w:t xml:space="preserve">mendements nécessaires pour assurer l'harmonisation de l'ADR avec les recommandations des Nations Unies sur le transport des marchandises dangereuses ou nécessaires en tant qu'amendements </w:t>
      </w:r>
      <w:r w:rsidR="004F398B">
        <w:rPr>
          <w:lang w:val="fr-FR"/>
        </w:rPr>
        <w:t>de conséquence</w:t>
      </w:r>
      <w:r w:rsidR="00301D8C" w:rsidRPr="00880F9A">
        <w:rPr>
          <w:lang w:val="fr-FR"/>
        </w:rPr>
        <w:t>, corrections ou pour mettre à jour certaines mesures transitoires</w:t>
      </w:r>
    </w:p>
    <w:p w14:paraId="59BAEE06" w14:textId="77777777" w:rsidR="00AE751F" w:rsidRPr="00880F9A" w:rsidRDefault="00AE751F" w:rsidP="00091E38">
      <w:pPr>
        <w:pStyle w:val="H23G"/>
        <w:rPr>
          <w:rFonts w:eastAsia="MS Mincho"/>
          <w:lang w:val="fr-FR"/>
        </w:rPr>
      </w:pPr>
      <w:r w:rsidRPr="00880F9A">
        <w:rPr>
          <w:rFonts w:eastAsia="MS Mincho"/>
          <w:lang w:val="fr-FR"/>
        </w:rPr>
        <w:tab/>
      </w:r>
      <w:r w:rsidRPr="00880F9A">
        <w:rPr>
          <w:rFonts w:eastAsia="MS Mincho"/>
          <w:lang w:val="fr-FR"/>
        </w:rPr>
        <w:tab/>
      </w:r>
      <w:r w:rsidR="00033EC8" w:rsidRPr="00880F9A">
        <w:rPr>
          <w:rFonts w:eastAsia="MS Mincho"/>
          <w:lang w:val="fr-FR"/>
        </w:rPr>
        <w:t>Chapitre</w:t>
      </w:r>
      <w:r w:rsidRPr="00880F9A">
        <w:rPr>
          <w:rFonts w:eastAsia="MS Mincho"/>
          <w:lang w:val="fr-FR"/>
        </w:rPr>
        <w:t xml:space="preserve"> 1.6</w:t>
      </w:r>
    </w:p>
    <w:p w14:paraId="734A4E4B" w14:textId="1678587B" w:rsidR="00AE751F" w:rsidRPr="00880F9A" w:rsidRDefault="00AE751F" w:rsidP="00AE751F">
      <w:pPr>
        <w:pStyle w:val="SingleTxtG"/>
        <w:rPr>
          <w:lang w:val="fr-FR"/>
        </w:rPr>
      </w:pPr>
      <w:r w:rsidRPr="00880F9A">
        <w:rPr>
          <w:lang w:val="fr-FR"/>
        </w:rPr>
        <w:t>1.6.1</w:t>
      </w:r>
      <w:r w:rsidRPr="00880F9A">
        <w:rPr>
          <w:lang w:val="fr-FR"/>
        </w:rPr>
        <w:tab/>
      </w:r>
      <w:r w:rsidR="006C49F7">
        <w:rPr>
          <w:lang w:val="fr-FR"/>
        </w:rPr>
        <w:tab/>
      </w:r>
      <w:r w:rsidR="00033EC8" w:rsidRPr="00880F9A">
        <w:rPr>
          <w:lang w:val="fr-FR"/>
        </w:rPr>
        <w:t>Ajouter le nouveau</w:t>
      </w:r>
      <w:r w:rsidRPr="00880F9A">
        <w:rPr>
          <w:lang w:val="fr-FR"/>
        </w:rPr>
        <w:t xml:space="preserve"> 1.6.1.48</w:t>
      </w:r>
      <w:r w:rsidR="00033EC8" w:rsidRPr="00880F9A">
        <w:rPr>
          <w:lang w:val="fr-FR"/>
        </w:rPr>
        <w:t xml:space="preserve"> suivant </w:t>
      </w:r>
      <w:r w:rsidRPr="00880F9A">
        <w:rPr>
          <w:lang w:val="fr-FR"/>
        </w:rPr>
        <w:t>:</w:t>
      </w:r>
    </w:p>
    <w:p w14:paraId="04AA8597" w14:textId="77777777" w:rsidR="00033EC8" w:rsidRPr="00880F9A" w:rsidRDefault="00033EC8" w:rsidP="006C49F7">
      <w:pPr>
        <w:pStyle w:val="SingleTxtG"/>
        <w:ind w:left="2268" w:hanging="1134"/>
        <w:rPr>
          <w:lang w:val="fr-FR"/>
        </w:rPr>
      </w:pPr>
      <w:r w:rsidRPr="00880F9A">
        <w:rPr>
          <w:lang w:val="fr-FR"/>
        </w:rPr>
        <w:t>« 1.6.1.48</w:t>
      </w:r>
      <w:r w:rsidRPr="00880F9A">
        <w:rPr>
          <w:lang w:val="fr-FR"/>
        </w:rPr>
        <w:tab/>
      </w:r>
      <w:bookmarkStart w:id="1" w:name="_Hlk41560084"/>
      <w:r w:rsidRPr="00880F9A">
        <w:rPr>
          <w:lang w:val="fr-FR"/>
        </w:rPr>
        <w:t>Les certificats d’agrément pour les véhicules transportant certaines marchandises dangereuses conformes au modèle du 9.1.3.5 applicable jusqu'au 31 décembre 2020, délivrés avant le 1er juillet 2021, peuvent encore être utilisés.</w:t>
      </w:r>
      <w:bookmarkEnd w:id="1"/>
      <w:r w:rsidRPr="00880F9A">
        <w:rPr>
          <w:lang w:val="fr-FR"/>
        </w:rPr>
        <w:t> »</w:t>
      </w:r>
    </w:p>
    <w:p w14:paraId="404E421C" w14:textId="32DA1329" w:rsidR="005933CE" w:rsidRPr="00880F9A" w:rsidRDefault="005933CE" w:rsidP="005933CE">
      <w:pPr>
        <w:pStyle w:val="SingleTxtG"/>
        <w:rPr>
          <w:lang w:val="fr-FR"/>
        </w:rPr>
      </w:pPr>
      <w:r w:rsidRPr="00880F9A">
        <w:rPr>
          <w:lang w:val="fr-FR"/>
        </w:rPr>
        <w:t>1.6.</w:t>
      </w:r>
      <w:r>
        <w:rPr>
          <w:lang w:val="fr-FR"/>
        </w:rPr>
        <w:t>5.4</w:t>
      </w:r>
      <w:r w:rsidRPr="00880F9A">
        <w:rPr>
          <w:lang w:val="fr-FR"/>
        </w:rPr>
        <w:tab/>
      </w:r>
      <w:r>
        <w:rPr>
          <w:lang w:val="fr-FR"/>
        </w:rPr>
        <w:tab/>
        <w:t>Remplacer le texte par « </w:t>
      </w:r>
      <w:r w:rsidR="00E77783" w:rsidRPr="00C72142">
        <w:rPr>
          <w:i/>
          <w:iCs/>
          <w:lang w:val="fr-FR"/>
        </w:rPr>
        <w:t>(</w:t>
      </w:r>
      <w:r w:rsidRPr="00C72142">
        <w:rPr>
          <w:i/>
          <w:iCs/>
          <w:lang w:val="fr-FR"/>
        </w:rPr>
        <w:t>Réservé</w:t>
      </w:r>
      <w:r w:rsidR="00E77783" w:rsidRPr="00C72142">
        <w:rPr>
          <w:i/>
          <w:iCs/>
          <w:lang w:val="fr-FR"/>
        </w:rPr>
        <w:t>)</w:t>
      </w:r>
      <w:r>
        <w:rPr>
          <w:lang w:val="fr-FR"/>
        </w:rPr>
        <w:t> ».</w:t>
      </w:r>
    </w:p>
    <w:p w14:paraId="7F8E7322" w14:textId="77777777" w:rsidR="00AE751F" w:rsidRPr="00880F9A" w:rsidRDefault="00AE751F" w:rsidP="00091E38">
      <w:pPr>
        <w:pStyle w:val="H23G"/>
        <w:rPr>
          <w:rFonts w:eastAsia="MS Mincho"/>
          <w:lang w:val="fr-FR"/>
        </w:rPr>
      </w:pPr>
      <w:r w:rsidRPr="00880F9A">
        <w:rPr>
          <w:rFonts w:eastAsia="MS Mincho"/>
          <w:lang w:val="fr-FR"/>
        </w:rPr>
        <w:tab/>
      </w:r>
      <w:r w:rsidRPr="00880F9A">
        <w:rPr>
          <w:rFonts w:eastAsia="MS Mincho"/>
          <w:lang w:val="fr-FR"/>
        </w:rPr>
        <w:tab/>
      </w:r>
      <w:r w:rsidR="00033EC8" w:rsidRPr="00880F9A">
        <w:rPr>
          <w:rFonts w:eastAsia="MS Mincho"/>
          <w:lang w:val="fr-FR"/>
        </w:rPr>
        <w:t>Chapitre</w:t>
      </w:r>
      <w:r w:rsidRPr="00880F9A">
        <w:rPr>
          <w:rFonts w:eastAsia="MS Mincho"/>
          <w:lang w:val="fr-FR"/>
        </w:rPr>
        <w:t xml:space="preserve"> 2.2</w:t>
      </w:r>
    </w:p>
    <w:p w14:paraId="16E3D31E" w14:textId="77777777" w:rsidR="00AE751F" w:rsidRPr="00880F9A" w:rsidRDefault="00AE751F" w:rsidP="00AE751F">
      <w:pPr>
        <w:pStyle w:val="SingleTxtG"/>
        <w:rPr>
          <w:lang w:val="fr-FR"/>
        </w:rPr>
      </w:pPr>
      <w:r w:rsidRPr="00880F9A">
        <w:rPr>
          <w:lang w:val="fr-FR"/>
        </w:rPr>
        <w:t>2.2.41.1.10</w:t>
      </w:r>
      <w:r w:rsidRPr="00880F9A">
        <w:rPr>
          <w:lang w:val="fr-FR"/>
        </w:rPr>
        <w:tab/>
        <w:t>Remplacer « azides organiques » par « </w:t>
      </w:r>
      <w:bookmarkStart w:id="2" w:name="_Hlk41560255"/>
      <w:r w:rsidRPr="00880F9A">
        <w:rPr>
          <w:lang w:val="fr-FR"/>
        </w:rPr>
        <w:t>azotures organiques</w:t>
      </w:r>
      <w:bookmarkEnd w:id="2"/>
      <w:r w:rsidRPr="00880F9A">
        <w:rPr>
          <w:lang w:val="fr-FR"/>
        </w:rPr>
        <w:t> ».</w:t>
      </w:r>
    </w:p>
    <w:p w14:paraId="1A171F64" w14:textId="77777777" w:rsidR="00AE751F" w:rsidRPr="00880F9A" w:rsidRDefault="00AE751F" w:rsidP="00091E38">
      <w:pPr>
        <w:pStyle w:val="H23G"/>
        <w:rPr>
          <w:rFonts w:eastAsia="MS Mincho"/>
          <w:lang w:val="fr-FR"/>
        </w:rPr>
      </w:pPr>
      <w:r w:rsidRPr="00880F9A">
        <w:rPr>
          <w:rFonts w:eastAsia="MS Mincho"/>
          <w:lang w:val="fr-FR"/>
        </w:rPr>
        <w:tab/>
      </w:r>
      <w:r w:rsidRPr="00880F9A">
        <w:rPr>
          <w:rFonts w:eastAsia="MS Mincho"/>
          <w:lang w:val="fr-FR"/>
        </w:rPr>
        <w:tab/>
      </w:r>
      <w:r w:rsidR="00033EC8" w:rsidRPr="00880F9A">
        <w:rPr>
          <w:rFonts w:eastAsia="MS Mincho"/>
          <w:lang w:val="fr-FR"/>
        </w:rPr>
        <w:t>Chapitre</w:t>
      </w:r>
      <w:r w:rsidRPr="00880F9A">
        <w:rPr>
          <w:rFonts w:eastAsia="MS Mincho"/>
          <w:lang w:val="fr-FR"/>
        </w:rPr>
        <w:t xml:space="preserve"> 3.3</w:t>
      </w:r>
    </w:p>
    <w:p w14:paraId="10C7A549" w14:textId="77777777" w:rsidR="006C49F7" w:rsidRDefault="00E32061" w:rsidP="00E32061">
      <w:pPr>
        <w:pStyle w:val="SingleTxtG"/>
        <w:rPr>
          <w:rFonts w:eastAsia="SimSun"/>
          <w:lang w:val="fr-FR"/>
        </w:rPr>
      </w:pPr>
      <w:r w:rsidRPr="00880F9A">
        <w:rPr>
          <w:rFonts w:eastAsia="MS Mincho"/>
          <w:lang w:val="fr-FR"/>
        </w:rPr>
        <w:t>Disposition spéciale</w:t>
      </w:r>
      <w:r w:rsidR="00AE751F" w:rsidRPr="00880F9A">
        <w:rPr>
          <w:rFonts w:eastAsia="MS Mincho"/>
          <w:lang w:val="fr-FR"/>
        </w:rPr>
        <w:t xml:space="preserve"> </w:t>
      </w:r>
      <w:r w:rsidR="00AE751F" w:rsidRPr="00880F9A">
        <w:rPr>
          <w:rFonts w:eastAsia="SimSun"/>
          <w:lang w:val="fr-FR"/>
        </w:rPr>
        <w:t>241</w:t>
      </w:r>
    </w:p>
    <w:p w14:paraId="041BF19C" w14:textId="1121B89D" w:rsidR="00AE751F" w:rsidRPr="00377944" w:rsidRDefault="00AE751F" w:rsidP="006C49F7">
      <w:pPr>
        <w:pStyle w:val="SingleTxtG"/>
        <w:ind w:left="2268"/>
        <w:rPr>
          <w:rFonts w:eastAsia="SimSun"/>
          <w:lang w:val="fr-FR"/>
        </w:rPr>
      </w:pPr>
      <w:r w:rsidRPr="00880F9A">
        <w:rPr>
          <w:rFonts w:eastAsia="SimSun"/>
          <w:lang w:val="fr-FR"/>
        </w:rPr>
        <w:t xml:space="preserve">Dans la </w:t>
      </w:r>
      <w:r w:rsidR="00E205F8" w:rsidRPr="005A5395">
        <w:rPr>
          <w:rFonts w:eastAsia="SimSun"/>
          <w:lang w:val="fr-FR"/>
        </w:rPr>
        <w:t>deuxième</w:t>
      </w:r>
      <w:r w:rsidR="00E205F8" w:rsidRPr="00880F9A">
        <w:rPr>
          <w:rFonts w:eastAsia="SimSun"/>
          <w:lang w:val="fr-FR"/>
        </w:rPr>
        <w:t xml:space="preserve"> </w:t>
      </w:r>
      <w:r w:rsidRPr="00880F9A">
        <w:rPr>
          <w:rFonts w:eastAsia="SimSun"/>
          <w:lang w:val="fr-FR"/>
        </w:rPr>
        <w:t>phrase, remplacer « </w:t>
      </w:r>
      <w:r w:rsidRPr="00880F9A">
        <w:rPr>
          <w:lang w:val="fr-FR"/>
        </w:rPr>
        <w:t>un comportement de matière inflammable lorsqu’elles sont soumises à l’épreuve No 1 » par « </w:t>
      </w:r>
      <w:bookmarkStart w:id="3" w:name="_Hlk41560426"/>
      <w:r w:rsidRPr="00880F9A">
        <w:rPr>
          <w:lang w:val="fr-FR"/>
        </w:rPr>
        <w:t xml:space="preserve">un comportement de matières </w:t>
      </w:r>
      <w:r w:rsidRPr="00377944">
        <w:rPr>
          <w:lang w:val="fr-FR"/>
        </w:rPr>
        <w:t>solides</w:t>
      </w:r>
      <w:r w:rsidRPr="00880F9A">
        <w:rPr>
          <w:lang w:val="fr-FR"/>
        </w:rPr>
        <w:t xml:space="preserve"> inflammables lorsqu’elles sont soumises à l’épreuve </w:t>
      </w:r>
      <w:r w:rsidRPr="00377944">
        <w:rPr>
          <w:lang w:val="fr-FR"/>
        </w:rPr>
        <w:t>N.1</w:t>
      </w:r>
      <w:bookmarkEnd w:id="3"/>
      <w:r w:rsidRPr="00377944">
        <w:rPr>
          <w:lang w:val="fr-FR"/>
        </w:rPr>
        <w:t xml:space="preserve"> ». </w:t>
      </w:r>
    </w:p>
    <w:p w14:paraId="2562C511" w14:textId="77777777" w:rsidR="006C49F7" w:rsidRDefault="00E32061" w:rsidP="00AE751F">
      <w:pPr>
        <w:pStyle w:val="SingleTxtG"/>
        <w:rPr>
          <w:rFonts w:eastAsia="MS Mincho"/>
          <w:lang w:val="fr-FR"/>
        </w:rPr>
      </w:pPr>
      <w:r w:rsidRPr="00880F9A">
        <w:rPr>
          <w:rFonts w:eastAsia="MS Mincho"/>
          <w:lang w:val="fr-FR"/>
        </w:rPr>
        <w:t xml:space="preserve">Disposition spéciale </w:t>
      </w:r>
      <w:r w:rsidR="00AE751F" w:rsidRPr="00880F9A">
        <w:rPr>
          <w:rFonts w:eastAsia="MS Mincho"/>
          <w:lang w:val="fr-FR"/>
        </w:rPr>
        <w:t>310</w:t>
      </w:r>
    </w:p>
    <w:p w14:paraId="3F109C94" w14:textId="2380F5CF" w:rsidR="00AE751F" w:rsidRPr="00880F9A" w:rsidRDefault="00F24F20" w:rsidP="006C49F7">
      <w:pPr>
        <w:pStyle w:val="SingleTxtG"/>
        <w:ind w:left="2268"/>
        <w:rPr>
          <w:rFonts w:eastAsia="MS Mincho"/>
          <w:lang w:val="fr-FR"/>
        </w:rPr>
      </w:pPr>
      <w:r w:rsidRPr="00880F9A">
        <w:rPr>
          <w:rFonts w:eastAsia="MS Mincho"/>
          <w:lang w:val="fr-FR"/>
        </w:rPr>
        <w:t>Dans l’avant-dernier paragraphe</w:t>
      </w:r>
      <w:r w:rsidR="00AE751F" w:rsidRPr="00880F9A">
        <w:rPr>
          <w:rFonts w:eastAsia="MS Mincho"/>
          <w:lang w:val="fr-FR"/>
        </w:rPr>
        <w:t xml:space="preserve">, </w:t>
      </w:r>
      <w:r w:rsidRPr="00880F9A">
        <w:rPr>
          <w:rFonts w:eastAsia="MS Mincho"/>
          <w:lang w:val="fr-FR"/>
        </w:rPr>
        <w:t>supprimer « et emballées conformément aux instructions d’emballage P908 du 4.1.4.1 ou LP904 du 4.1.4.3, selon les cas ».</w:t>
      </w:r>
    </w:p>
    <w:p w14:paraId="4D10A2CD" w14:textId="77777777" w:rsidR="006C49F7" w:rsidRDefault="00E32061" w:rsidP="00AE751F">
      <w:pPr>
        <w:pStyle w:val="SingleTxtG"/>
        <w:rPr>
          <w:rFonts w:eastAsia="MS Mincho"/>
          <w:lang w:val="fr-FR"/>
        </w:rPr>
      </w:pPr>
      <w:r w:rsidRPr="00880F9A">
        <w:rPr>
          <w:rFonts w:eastAsia="MS Mincho"/>
          <w:lang w:val="fr-FR"/>
        </w:rPr>
        <w:t xml:space="preserve">Disposition spéciale </w:t>
      </w:r>
      <w:r w:rsidR="00AE751F" w:rsidRPr="00880F9A">
        <w:rPr>
          <w:rFonts w:eastAsia="MS Mincho"/>
          <w:lang w:val="fr-FR"/>
        </w:rPr>
        <w:t>377</w:t>
      </w:r>
    </w:p>
    <w:p w14:paraId="7B53A85D" w14:textId="764EEE15" w:rsidR="00AE751F" w:rsidRPr="00880F9A" w:rsidRDefault="00F24F20" w:rsidP="006C49F7">
      <w:pPr>
        <w:pStyle w:val="SingleTxtG"/>
        <w:ind w:left="2268"/>
        <w:rPr>
          <w:rFonts w:eastAsia="MS Mincho"/>
          <w:lang w:val="fr-FR"/>
        </w:rPr>
      </w:pPr>
      <w:r w:rsidRPr="00880F9A">
        <w:rPr>
          <w:rFonts w:eastAsia="MS Mincho"/>
          <w:lang w:val="fr-FR"/>
        </w:rPr>
        <w:t>Dans le dernier paragraphe, supprimer « et emballées conformément aux instructions d’emballage P908 du 4.1.4.1 ou LP904 du 4.1.4.3, selon les cas ».</w:t>
      </w:r>
    </w:p>
    <w:p w14:paraId="40A8FA03" w14:textId="7974CBE9" w:rsidR="00601D78" w:rsidRDefault="00601D78" w:rsidP="00601D78">
      <w:pPr>
        <w:pStyle w:val="SingleTxtG"/>
        <w:rPr>
          <w:rFonts w:eastAsia="MS Mincho"/>
          <w:lang w:val="fr-FR"/>
        </w:rPr>
      </w:pPr>
      <w:r w:rsidRPr="00880F9A">
        <w:rPr>
          <w:rFonts w:eastAsia="MS Mincho"/>
          <w:lang w:val="fr-FR"/>
        </w:rPr>
        <w:t>Disposition spéciale 6</w:t>
      </w:r>
      <w:r>
        <w:rPr>
          <w:rFonts w:eastAsia="MS Mincho"/>
          <w:lang w:val="fr-FR"/>
        </w:rPr>
        <w:t>72</w:t>
      </w:r>
    </w:p>
    <w:p w14:paraId="2D8C2AEB" w14:textId="1B5111D4" w:rsidR="00601D78" w:rsidRPr="00880F9A" w:rsidRDefault="00601D78" w:rsidP="00601D78">
      <w:pPr>
        <w:pStyle w:val="SingleTxtG"/>
        <w:ind w:left="2268"/>
        <w:rPr>
          <w:szCs w:val="24"/>
          <w:lang w:val="fr-FR"/>
        </w:rPr>
      </w:pPr>
      <w:r>
        <w:rPr>
          <w:szCs w:val="24"/>
          <w:lang w:val="fr-FR"/>
        </w:rPr>
        <w:t>Au début, remplacer « </w:t>
      </w:r>
      <w:r>
        <w:rPr>
          <w:iCs/>
        </w:rPr>
        <w:t xml:space="preserve">Les machines et appareils » </w:t>
      </w:r>
      <w:r>
        <w:rPr>
          <w:szCs w:val="24"/>
          <w:lang w:val="fr-FR"/>
        </w:rPr>
        <w:t>par « </w:t>
      </w:r>
      <w:bookmarkStart w:id="4" w:name="_Hlk41560681"/>
      <w:r w:rsidRPr="00601D78">
        <w:rPr>
          <w:szCs w:val="24"/>
          <w:lang w:val="fr-FR"/>
        </w:rPr>
        <w:t>Les objets tels que machines, appareils ou dispositifs</w:t>
      </w:r>
      <w:bookmarkEnd w:id="4"/>
      <w:r>
        <w:rPr>
          <w:szCs w:val="24"/>
          <w:lang w:val="fr-FR"/>
        </w:rPr>
        <w:t xml:space="preserve"> ». Au deuxième tiret </w:t>
      </w:r>
      <w:r w:rsidR="00DD1935">
        <w:rPr>
          <w:szCs w:val="24"/>
          <w:lang w:val="fr-FR"/>
        </w:rPr>
        <w:t xml:space="preserve">remplacer </w:t>
      </w:r>
      <w:r>
        <w:rPr>
          <w:szCs w:val="24"/>
          <w:lang w:val="fr-FR"/>
        </w:rPr>
        <w:t>« la machine ou l’appareil » par « l’objet ».</w:t>
      </w:r>
    </w:p>
    <w:p w14:paraId="0456E1D9" w14:textId="475BAD78" w:rsidR="00BA2EB5" w:rsidRPr="00880F9A" w:rsidRDefault="00BA2EB5" w:rsidP="00091E38">
      <w:pPr>
        <w:pStyle w:val="H23G"/>
        <w:rPr>
          <w:rFonts w:eastAsia="MS Mincho"/>
          <w:lang w:val="fr-FR"/>
        </w:rPr>
      </w:pPr>
      <w:r w:rsidRPr="00880F9A">
        <w:rPr>
          <w:rFonts w:eastAsia="MS Mincho"/>
          <w:lang w:val="fr-FR"/>
        </w:rPr>
        <w:tab/>
      </w:r>
      <w:r w:rsidRPr="00880F9A">
        <w:rPr>
          <w:rFonts w:eastAsia="MS Mincho"/>
          <w:lang w:val="fr-FR"/>
        </w:rPr>
        <w:tab/>
        <w:t xml:space="preserve">Chapitre </w:t>
      </w:r>
      <w:r>
        <w:rPr>
          <w:rFonts w:eastAsia="MS Mincho"/>
          <w:lang w:val="fr-FR"/>
        </w:rPr>
        <w:t>4.3</w:t>
      </w:r>
    </w:p>
    <w:p w14:paraId="1422E247" w14:textId="1E6B186F" w:rsidR="00BA2EB5" w:rsidRDefault="00BA2EB5" w:rsidP="00BA2EB5">
      <w:pPr>
        <w:pStyle w:val="SingleTxtG"/>
        <w:rPr>
          <w:rFonts w:eastAsia="MS Mincho"/>
          <w:lang w:val="fr-FR"/>
        </w:rPr>
      </w:pPr>
      <w:r>
        <w:rPr>
          <w:rFonts w:eastAsia="MS Mincho"/>
          <w:lang w:val="fr-FR"/>
        </w:rPr>
        <w:t>4.3.4.2.2</w:t>
      </w:r>
      <w:r>
        <w:rPr>
          <w:rFonts w:eastAsia="MS Mincho"/>
          <w:lang w:val="fr-FR"/>
        </w:rPr>
        <w:tab/>
        <w:t xml:space="preserve"> </w:t>
      </w:r>
      <w:r w:rsidR="008D49DA" w:rsidRPr="00880F9A">
        <w:rPr>
          <w:szCs w:val="24"/>
          <w:lang w:val="fr-FR"/>
        </w:rPr>
        <w:t>L’amendement est sans objet en français.</w:t>
      </w:r>
    </w:p>
    <w:p w14:paraId="74C32493" w14:textId="77777777" w:rsidR="00AE751F" w:rsidRPr="00880F9A" w:rsidRDefault="00AE751F" w:rsidP="00091E38">
      <w:pPr>
        <w:pStyle w:val="H23G"/>
        <w:rPr>
          <w:rFonts w:eastAsia="MS Mincho"/>
          <w:lang w:val="fr-FR"/>
        </w:rPr>
      </w:pPr>
      <w:r w:rsidRPr="00880F9A">
        <w:rPr>
          <w:rFonts w:eastAsia="MS Mincho"/>
          <w:lang w:val="fr-FR"/>
        </w:rPr>
        <w:tab/>
      </w:r>
      <w:r w:rsidRPr="00880F9A">
        <w:rPr>
          <w:rFonts w:eastAsia="MS Mincho"/>
          <w:lang w:val="fr-FR"/>
        </w:rPr>
        <w:tab/>
      </w:r>
      <w:r w:rsidR="00033EC8" w:rsidRPr="00880F9A">
        <w:rPr>
          <w:rFonts w:eastAsia="MS Mincho"/>
          <w:lang w:val="fr-FR"/>
        </w:rPr>
        <w:t>Chapitre</w:t>
      </w:r>
      <w:r w:rsidRPr="00880F9A">
        <w:rPr>
          <w:rFonts w:eastAsia="MS Mincho"/>
          <w:lang w:val="fr-FR"/>
        </w:rPr>
        <w:t xml:space="preserve"> 6.3</w:t>
      </w:r>
    </w:p>
    <w:p w14:paraId="0EBE3A52" w14:textId="77777777" w:rsidR="00810B1C" w:rsidRDefault="00810B1C" w:rsidP="006C49F7">
      <w:pPr>
        <w:pStyle w:val="SingleTxtG"/>
        <w:ind w:left="2268" w:hanging="1134"/>
        <w:rPr>
          <w:rFonts w:eastAsia="MS Mincho"/>
          <w:lang w:val="fr-FR"/>
        </w:rPr>
      </w:pPr>
      <w:r>
        <w:rPr>
          <w:rFonts w:eastAsia="MS Mincho"/>
          <w:lang w:val="fr-FR"/>
        </w:rPr>
        <w:t xml:space="preserve">6.3.5.3.3 (renuméroté </w:t>
      </w:r>
      <w:r w:rsidR="005B2515" w:rsidRPr="00880F9A">
        <w:rPr>
          <w:rFonts w:eastAsia="MS Mincho"/>
          <w:lang w:val="fr-FR"/>
        </w:rPr>
        <w:t>6.3.5.3.2.2</w:t>
      </w:r>
      <w:r>
        <w:rPr>
          <w:rFonts w:eastAsia="MS Mincho"/>
          <w:lang w:val="fr-FR"/>
        </w:rPr>
        <w:t>)</w:t>
      </w:r>
    </w:p>
    <w:p w14:paraId="7D5F0F03" w14:textId="649DA48A" w:rsidR="00AE751F" w:rsidRPr="00880F9A" w:rsidRDefault="005B2515" w:rsidP="006C49F7">
      <w:pPr>
        <w:pStyle w:val="SingleTxtG"/>
        <w:ind w:left="2268" w:hanging="1134"/>
        <w:rPr>
          <w:rFonts w:eastAsia="MS Mincho"/>
          <w:lang w:val="fr-FR"/>
        </w:rPr>
      </w:pPr>
      <w:r w:rsidRPr="00880F9A">
        <w:rPr>
          <w:rFonts w:eastAsia="MS Mincho"/>
          <w:lang w:val="fr-FR"/>
        </w:rPr>
        <w:tab/>
        <w:t>Dans la phrase d’introduction, après « la forme d’un fût », insérer « </w:t>
      </w:r>
      <w:bookmarkStart w:id="5" w:name="_Hlk41560828"/>
      <w:r w:rsidRPr="00880F9A">
        <w:rPr>
          <w:rFonts w:eastAsia="MS Mincho"/>
          <w:lang w:val="fr-FR"/>
        </w:rPr>
        <w:t>ou d’un bidon (jerricane)</w:t>
      </w:r>
      <w:bookmarkEnd w:id="5"/>
      <w:r w:rsidRPr="00880F9A">
        <w:rPr>
          <w:rFonts w:eastAsia="MS Mincho"/>
          <w:lang w:val="fr-FR"/>
        </w:rPr>
        <w:t> ». Dans les alinéas a) et b), remplacer « rebord » par « bord ». Dans l’alinéa c), remplacer « sur le côté » par « </w:t>
      </w:r>
      <w:bookmarkStart w:id="6" w:name="_Hlk41560857"/>
      <w:r w:rsidRPr="00880F9A">
        <w:rPr>
          <w:rFonts w:eastAsia="MS Mincho"/>
          <w:lang w:val="fr-FR"/>
        </w:rPr>
        <w:t>sur la virole ou sur le côté</w:t>
      </w:r>
      <w:bookmarkEnd w:id="6"/>
      <w:r w:rsidRPr="00880F9A">
        <w:rPr>
          <w:rFonts w:eastAsia="MS Mincho"/>
          <w:lang w:val="fr-FR"/>
        </w:rPr>
        <w:t> ».</w:t>
      </w:r>
    </w:p>
    <w:p w14:paraId="3E550AE3" w14:textId="77777777" w:rsidR="00AE751F" w:rsidRPr="00880F9A" w:rsidRDefault="00AE751F" w:rsidP="00091E38">
      <w:pPr>
        <w:pStyle w:val="H23G"/>
        <w:rPr>
          <w:rFonts w:eastAsia="MS Mincho"/>
          <w:lang w:val="fr-FR"/>
        </w:rPr>
      </w:pPr>
      <w:r w:rsidRPr="00880F9A">
        <w:rPr>
          <w:rFonts w:eastAsia="MS Mincho"/>
          <w:lang w:val="fr-FR"/>
        </w:rPr>
        <w:lastRenderedPageBreak/>
        <w:tab/>
      </w:r>
      <w:r w:rsidRPr="00880F9A">
        <w:rPr>
          <w:rFonts w:eastAsia="MS Mincho"/>
          <w:lang w:val="fr-FR"/>
        </w:rPr>
        <w:tab/>
      </w:r>
      <w:r w:rsidR="00033EC8" w:rsidRPr="00880F9A">
        <w:rPr>
          <w:rFonts w:eastAsia="MS Mincho"/>
          <w:lang w:val="fr-FR"/>
        </w:rPr>
        <w:t>Chapitre</w:t>
      </w:r>
      <w:r w:rsidRPr="00880F9A">
        <w:rPr>
          <w:rFonts w:eastAsia="MS Mincho"/>
          <w:lang w:val="fr-FR"/>
        </w:rPr>
        <w:t xml:space="preserve"> 6.4</w:t>
      </w:r>
    </w:p>
    <w:p w14:paraId="5F8F8553" w14:textId="77777777" w:rsidR="00AE751F" w:rsidRPr="00880F9A" w:rsidRDefault="00AE751F" w:rsidP="006C49F7">
      <w:pPr>
        <w:pStyle w:val="SingleTxtG"/>
        <w:ind w:left="2268" w:hanging="1134"/>
        <w:rPr>
          <w:lang w:val="fr-FR"/>
        </w:rPr>
      </w:pPr>
      <w:r w:rsidRPr="00880F9A">
        <w:rPr>
          <w:lang w:val="fr-FR"/>
        </w:rPr>
        <w:t>6.4.23.12 a)</w:t>
      </w:r>
      <w:r w:rsidRPr="00880F9A">
        <w:rPr>
          <w:lang w:val="fr-FR"/>
        </w:rPr>
        <w:tab/>
      </w:r>
      <w:r w:rsidR="00945580" w:rsidRPr="00880F9A">
        <w:rPr>
          <w:lang w:val="fr-FR"/>
        </w:rPr>
        <w:t>Remplacer</w:t>
      </w:r>
      <w:r w:rsidRPr="00880F9A">
        <w:rPr>
          <w:lang w:val="fr-FR"/>
        </w:rPr>
        <w:t xml:space="preserve"> </w:t>
      </w:r>
      <w:r w:rsidR="00945580" w:rsidRPr="00880F9A">
        <w:rPr>
          <w:lang w:val="fr-FR"/>
        </w:rPr>
        <w:t>« </w:t>
      </w:r>
      <w:r w:rsidRPr="00880F9A">
        <w:rPr>
          <w:lang w:val="fr-FR"/>
        </w:rPr>
        <w:t>A/132/B(M)F-96</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7" w:name="_Hlk41561011"/>
      <w:r w:rsidRPr="00880F9A">
        <w:rPr>
          <w:lang w:val="fr-FR"/>
        </w:rPr>
        <w:t>A/132/B(M)F</w:t>
      </w:r>
      <w:bookmarkEnd w:id="7"/>
      <w:r w:rsidR="00945580" w:rsidRPr="00880F9A">
        <w:rPr>
          <w:lang w:val="fr-FR"/>
        </w:rPr>
        <w:t> »</w:t>
      </w:r>
      <w:r w:rsidRPr="00880F9A">
        <w:rPr>
          <w:lang w:val="fr-FR"/>
        </w:rPr>
        <w:t xml:space="preserve">. </w:t>
      </w:r>
      <w:r w:rsidR="00945580" w:rsidRPr="00880F9A">
        <w:rPr>
          <w:lang w:val="fr-FR"/>
        </w:rPr>
        <w:t>Remplacer</w:t>
      </w:r>
      <w:r w:rsidRPr="00880F9A">
        <w:rPr>
          <w:lang w:val="fr-FR"/>
        </w:rPr>
        <w:t xml:space="preserve"> </w:t>
      </w:r>
      <w:r w:rsidR="00945580" w:rsidRPr="00880F9A">
        <w:rPr>
          <w:lang w:val="fr-FR"/>
        </w:rPr>
        <w:t>« </w:t>
      </w:r>
      <w:r w:rsidRPr="00880F9A">
        <w:rPr>
          <w:lang w:val="fr-FR"/>
        </w:rPr>
        <w:t>A/132/B(M)F-96T</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8" w:name="_Hlk41561025"/>
      <w:r w:rsidRPr="00880F9A">
        <w:rPr>
          <w:lang w:val="fr-FR"/>
        </w:rPr>
        <w:t>A/132/B(M)FT</w:t>
      </w:r>
      <w:bookmarkEnd w:id="8"/>
      <w:r w:rsidR="00945580" w:rsidRPr="00880F9A">
        <w:rPr>
          <w:lang w:val="fr-FR"/>
        </w:rPr>
        <w:t> »</w:t>
      </w:r>
      <w:r w:rsidRPr="00880F9A">
        <w:rPr>
          <w:lang w:val="fr-FR"/>
        </w:rPr>
        <w:t xml:space="preserve">. </w:t>
      </w:r>
      <w:r w:rsidR="00945580" w:rsidRPr="00880F9A">
        <w:rPr>
          <w:lang w:val="fr-FR"/>
        </w:rPr>
        <w:t>Remplacer</w:t>
      </w:r>
      <w:r w:rsidRPr="00880F9A">
        <w:rPr>
          <w:lang w:val="fr-FR"/>
        </w:rPr>
        <w:t xml:space="preserve"> </w:t>
      </w:r>
      <w:r w:rsidR="00945580" w:rsidRPr="00880F9A">
        <w:rPr>
          <w:lang w:val="fr-FR"/>
        </w:rPr>
        <w:t>« </w:t>
      </w:r>
      <w:r w:rsidRPr="00880F9A">
        <w:rPr>
          <w:lang w:val="fr-FR"/>
        </w:rPr>
        <w:t>A/139/IF-96</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9" w:name="_Hlk41561040"/>
      <w:r w:rsidRPr="00880F9A">
        <w:rPr>
          <w:lang w:val="fr-FR"/>
        </w:rPr>
        <w:t>A/139/IF</w:t>
      </w:r>
      <w:bookmarkEnd w:id="9"/>
      <w:r w:rsidR="00945580" w:rsidRPr="00880F9A">
        <w:rPr>
          <w:lang w:val="fr-FR"/>
        </w:rPr>
        <w:t> »</w:t>
      </w:r>
      <w:r w:rsidRPr="00880F9A">
        <w:rPr>
          <w:lang w:val="fr-FR"/>
        </w:rPr>
        <w:t xml:space="preserve">. </w:t>
      </w:r>
      <w:r w:rsidR="00945580" w:rsidRPr="00880F9A">
        <w:rPr>
          <w:lang w:val="fr-FR"/>
        </w:rPr>
        <w:t>Remplacer</w:t>
      </w:r>
      <w:r w:rsidRPr="00880F9A">
        <w:rPr>
          <w:lang w:val="fr-FR"/>
        </w:rPr>
        <w:t xml:space="preserve"> </w:t>
      </w:r>
      <w:r w:rsidR="00945580" w:rsidRPr="00880F9A">
        <w:rPr>
          <w:lang w:val="fr-FR"/>
        </w:rPr>
        <w:t>« </w:t>
      </w:r>
      <w:r w:rsidRPr="00880F9A">
        <w:rPr>
          <w:lang w:val="fr-FR"/>
        </w:rPr>
        <w:t>A/145/H(U)-96</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10" w:name="_Hlk41561053"/>
      <w:r w:rsidRPr="00880F9A">
        <w:rPr>
          <w:lang w:val="fr-FR"/>
        </w:rPr>
        <w:t>A/145/H(U)</w:t>
      </w:r>
      <w:bookmarkEnd w:id="10"/>
      <w:r w:rsidR="00945580" w:rsidRPr="00880F9A">
        <w:rPr>
          <w:lang w:val="fr-FR"/>
        </w:rPr>
        <w:t> »</w:t>
      </w:r>
      <w:r w:rsidRPr="00880F9A">
        <w:rPr>
          <w:lang w:val="fr-FR"/>
        </w:rPr>
        <w:t xml:space="preserve">. </w:t>
      </w:r>
    </w:p>
    <w:p w14:paraId="1FFA9958" w14:textId="77777777" w:rsidR="00AE751F" w:rsidRPr="00880F9A" w:rsidRDefault="00AE751F" w:rsidP="006C49F7">
      <w:pPr>
        <w:pStyle w:val="SingleTxtG"/>
        <w:ind w:left="2268" w:hanging="1134"/>
        <w:rPr>
          <w:lang w:val="fr-FR"/>
        </w:rPr>
      </w:pPr>
      <w:r w:rsidRPr="00880F9A">
        <w:rPr>
          <w:lang w:val="fr-FR"/>
        </w:rPr>
        <w:t>6.4.23.12 b)</w:t>
      </w:r>
      <w:r w:rsidRPr="00880F9A">
        <w:rPr>
          <w:lang w:val="fr-FR"/>
        </w:rPr>
        <w:tab/>
      </w:r>
      <w:r w:rsidR="00945580" w:rsidRPr="00880F9A">
        <w:rPr>
          <w:lang w:val="fr-FR"/>
        </w:rPr>
        <w:t>Remplacer</w:t>
      </w:r>
      <w:r w:rsidRPr="00880F9A">
        <w:rPr>
          <w:lang w:val="fr-FR"/>
        </w:rPr>
        <w:t xml:space="preserve"> </w:t>
      </w:r>
      <w:r w:rsidR="00945580" w:rsidRPr="00880F9A">
        <w:rPr>
          <w:lang w:val="fr-FR"/>
        </w:rPr>
        <w:t>« </w:t>
      </w:r>
      <w:r w:rsidRPr="00880F9A">
        <w:rPr>
          <w:lang w:val="fr-FR"/>
        </w:rPr>
        <w:t>A/132/B(M)F-96</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11" w:name="_Hlk41561068"/>
      <w:r w:rsidRPr="00880F9A">
        <w:rPr>
          <w:lang w:val="fr-FR"/>
        </w:rPr>
        <w:t>A/132/B(M)F</w:t>
      </w:r>
      <w:bookmarkEnd w:id="11"/>
      <w:r w:rsidR="00945580" w:rsidRPr="00880F9A">
        <w:rPr>
          <w:lang w:val="fr-FR"/>
        </w:rPr>
        <w:t> »</w:t>
      </w:r>
      <w:r w:rsidRPr="00880F9A">
        <w:rPr>
          <w:lang w:val="fr-FR"/>
        </w:rPr>
        <w:t xml:space="preserve"> </w:t>
      </w:r>
      <w:r w:rsidR="00945580" w:rsidRPr="00880F9A">
        <w:rPr>
          <w:lang w:val="fr-FR"/>
        </w:rPr>
        <w:t>et remplacer</w:t>
      </w:r>
      <w:r w:rsidRPr="00880F9A">
        <w:rPr>
          <w:lang w:val="fr-FR"/>
        </w:rPr>
        <w:t xml:space="preserve"> </w:t>
      </w:r>
      <w:r w:rsidR="00945580" w:rsidRPr="00880F9A">
        <w:rPr>
          <w:lang w:val="fr-FR"/>
        </w:rPr>
        <w:t>« </w:t>
      </w:r>
      <w:r w:rsidRPr="00880F9A">
        <w:rPr>
          <w:lang w:val="fr-FR"/>
        </w:rPr>
        <w:t>CH/28/B(M)F-96</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12" w:name="_Hlk41561079"/>
      <w:r w:rsidRPr="00880F9A">
        <w:rPr>
          <w:lang w:val="fr-FR"/>
        </w:rPr>
        <w:t>CH/28/B(M)F</w:t>
      </w:r>
      <w:bookmarkEnd w:id="12"/>
      <w:r w:rsidR="00945580" w:rsidRPr="00880F9A">
        <w:rPr>
          <w:lang w:val="fr-FR"/>
        </w:rPr>
        <w:t> »</w:t>
      </w:r>
      <w:r w:rsidRPr="00880F9A">
        <w:rPr>
          <w:lang w:val="fr-FR"/>
        </w:rPr>
        <w:t>.</w:t>
      </w:r>
    </w:p>
    <w:p w14:paraId="6BD996CA" w14:textId="77777777" w:rsidR="00AE751F" w:rsidRPr="00880F9A" w:rsidRDefault="00AE751F" w:rsidP="006C49F7">
      <w:pPr>
        <w:pStyle w:val="SingleTxtG"/>
        <w:ind w:left="2268" w:hanging="1134"/>
        <w:rPr>
          <w:lang w:val="fr-FR"/>
        </w:rPr>
      </w:pPr>
      <w:r w:rsidRPr="00880F9A">
        <w:rPr>
          <w:lang w:val="fr-FR"/>
        </w:rPr>
        <w:t>6.4.23.12 c)</w:t>
      </w:r>
      <w:r w:rsidRPr="00880F9A">
        <w:rPr>
          <w:lang w:val="fr-FR"/>
        </w:rPr>
        <w:tab/>
      </w:r>
      <w:r w:rsidR="00945580" w:rsidRPr="00880F9A">
        <w:rPr>
          <w:lang w:val="fr-FR"/>
        </w:rPr>
        <w:t>Remplacer</w:t>
      </w:r>
      <w:r w:rsidRPr="00880F9A">
        <w:rPr>
          <w:lang w:val="fr-FR"/>
        </w:rPr>
        <w:t xml:space="preserve"> </w:t>
      </w:r>
      <w:r w:rsidR="001159AF" w:rsidRPr="00880F9A">
        <w:rPr>
          <w:lang w:val="fr-FR"/>
        </w:rPr>
        <w:t>« </w:t>
      </w:r>
      <w:r w:rsidRPr="00880F9A">
        <w:rPr>
          <w:lang w:val="fr-FR"/>
        </w:rPr>
        <w:t>A/132/B(M)F-96(Rev.2)</w:t>
      </w:r>
      <w:r w:rsidR="001159AF" w:rsidRPr="00880F9A">
        <w:rPr>
          <w:lang w:val="fr-FR"/>
        </w:rPr>
        <w:t> »</w:t>
      </w:r>
      <w:r w:rsidRPr="00880F9A">
        <w:rPr>
          <w:lang w:val="fr-FR"/>
        </w:rPr>
        <w:t xml:space="preserve"> </w:t>
      </w:r>
      <w:r w:rsidR="00945580" w:rsidRPr="00880F9A">
        <w:rPr>
          <w:lang w:val="fr-FR"/>
        </w:rPr>
        <w:t>par</w:t>
      </w:r>
      <w:r w:rsidRPr="00880F9A">
        <w:rPr>
          <w:lang w:val="fr-FR"/>
        </w:rPr>
        <w:t xml:space="preserve"> </w:t>
      </w:r>
      <w:r w:rsidR="001159AF" w:rsidRPr="00880F9A">
        <w:rPr>
          <w:lang w:val="fr-FR"/>
        </w:rPr>
        <w:t>« </w:t>
      </w:r>
      <w:bookmarkStart w:id="13" w:name="_Hlk41561095"/>
      <w:r w:rsidRPr="00880F9A">
        <w:rPr>
          <w:lang w:val="fr-FR"/>
        </w:rPr>
        <w:t>A/132/B(M)F (Rev.2)</w:t>
      </w:r>
      <w:bookmarkEnd w:id="13"/>
      <w:r w:rsidR="001159AF" w:rsidRPr="00880F9A">
        <w:rPr>
          <w:lang w:val="fr-FR"/>
        </w:rPr>
        <w:t> »</w:t>
      </w:r>
      <w:r w:rsidRPr="00880F9A">
        <w:rPr>
          <w:lang w:val="fr-FR"/>
        </w:rPr>
        <w:t xml:space="preserve"> </w:t>
      </w:r>
      <w:r w:rsidR="00945580" w:rsidRPr="00880F9A">
        <w:rPr>
          <w:lang w:val="fr-FR"/>
        </w:rPr>
        <w:t>et remplacer</w:t>
      </w:r>
      <w:r w:rsidRPr="00880F9A">
        <w:rPr>
          <w:lang w:val="fr-FR"/>
        </w:rPr>
        <w:t xml:space="preserve"> </w:t>
      </w:r>
      <w:r w:rsidR="00945580" w:rsidRPr="00880F9A">
        <w:rPr>
          <w:lang w:val="fr-FR"/>
        </w:rPr>
        <w:t>« </w:t>
      </w:r>
      <w:r w:rsidRPr="00880F9A">
        <w:rPr>
          <w:lang w:val="fr-FR"/>
        </w:rPr>
        <w:t>A/132/B(M)F-96(Rev.0)</w:t>
      </w:r>
      <w:r w:rsidR="00945580" w:rsidRPr="00880F9A">
        <w:rPr>
          <w:lang w:val="fr-FR"/>
        </w:rPr>
        <w:t> »</w:t>
      </w:r>
      <w:r w:rsidRPr="00880F9A">
        <w:rPr>
          <w:lang w:val="fr-FR"/>
        </w:rPr>
        <w:t xml:space="preserve"> </w:t>
      </w:r>
      <w:r w:rsidR="00945580" w:rsidRPr="00880F9A">
        <w:rPr>
          <w:lang w:val="fr-FR"/>
        </w:rPr>
        <w:t>par</w:t>
      </w:r>
      <w:r w:rsidRPr="00880F9A">
        <w:rPr>
          <w:lang w:val="fr-FR"/>
        </w:rPr>
        <w:t xml:space="preserve"> </w:t>
      </w:r>
      <w:r w:rsidR="00945580" w:rsidRPr="00880F9A">
        <w:rPr>
          <w:lang w:val="fr-FR"/>
        </w:rPr>
        <w:t>« </w:t>
      </w:r>
      <w:bookmarkStart w:id="14" w:name="_Hlk41561109"/>
      <w:r w:rsidRPr="00880F9A">
        <w:rPr>
          <w:lang w:val="fr-FR"/>
        </w:rPr>
        <w:t>A/132/B(M)F (Rev.0)</w:t>
      </w:r>
      <w:bookmarkEnd w:id="14"/>
      <w:r w:rsidR="00945580" w:rsidRPr="00880F9A">
        <w:rPr>
          <w:lang w:val="fr-FR"/>
        </w:rPr>
        <w:t> »</w:t>
      </w:r>
      <w:r w:rsidRPr="00880F9A">
        <w:rPr>
          <w:lang w:val="fr-FR"/>
        </w:rPr>
        <w:t>.</w:t>
      </w:r>
    </w:p>
    <w:p w14:paraId="157AAAB6" w14:textId="77777777" w:rsidR="00AE751F" w:rsidRPr="00880F9A" w:rsidRDefault="00AE751F" w:rsidP="00AE751F">
      <w:pPr>
        <w:pStyle w:val="SingleTxtG"/>
        <w:rPr>
          <w:lang w:val="fr-FR"/>
        </w:rPr>
      </w:pPr>
      <w:r w:rsidRPr="00880F9A">
        <w:rPr>
          <w:lang w:val="fr-FR"/>
        </w:rPr>
        <w:t>6.4.23.12 d)</w:t>
      </w:r>
      <w:r w:rsidRPr="00880F9A">
        <w:rPr>
          <w:lang w:val="fr-FR"/>
        </w:rPr>
        <w:tab/>
      </w:r>
      <w:r w:rsidR="00945580" w:rsidRPr="00880F9A">
        <w:rPr>
          <w:lang w:val="fr-FR"/>
        </w:rPr>
        <w:t>Remplacer</w:t>
      </w:r>
      <w:r w:rsidRPr="00880F9A">
        <w:rPr>
          <w:lang w:val="fr-FR"/>
        </w:rPr>
        <w:t xml:space="preserve"> </w:t>
      </w:r>
      <w:r w:rsidR="00945580" w:rsidRPr="00880F9A">
        <w:rPr>
          <w:lang w:val="fr-FR"/>
        </w:rPr>
        <w:t>« </w:t>
      </w:r>
      <w:r w:rsidRPr="00880F9A">
        <w:rPr>
          <w:lang w:val="fr-FR"/>
        </w:rPr>
        <w:t>A/132/B(M)F-96(SP503)</w:t>
      </w:r>
      <w:r w:rsidR="00945580" w:rsidRPr="00880F9A">
        <w:rPr>
          <w:lang w:val="fr-FR"/>
        </w:rPr>
        <w:t> » par</w:t>
      </w:r>
      <w:r w:rsidRPr="00880F9A">
        <w:rPr>
          <w:lang w:val="fr-FR"/>
        </w:rPr>
        <w:t xml:space="preserve"> </w:t>
      </w:r>
      <w:r w:rsidR="00945580" w:rsidRPr="00880F9A">
        <w:rPr>
          <w:lang w:val="fr-FR"/>
        </w:rPr>
        <w:t>« </w:t>
      </w:r>
      <w:bookmarkStart w:id="15" w:name="_Hlk41561128"/>
      <w:r w:rsidRPr="00880F9A">
        <w:rPr>
          <w:lang w:val="fr-FR"/>
        </w:rPr>
        <w:t>A/132/B(M)F (SP503)</w:t>
      </w:r>
      <w:bookmarkEnd w:id="15"/>
      <w:r w:rsidR="00945580" w:rsidRPr="00880F9A">
        <w:rPr>
          <w:lang w:val="fr-FR"/>
        </w:rPr>
        <w:t> »</w:t>
      </w:r>
      <w:r w:rsidRPr="00880F9A">
        <w:rPr>
          <w:lang w:val="fr-FR"/>
        </w:rPr>
        <w:t>.</w:t>
      </w:r>
    </w:p>
    <w:p w14:paraId="2D3967D2" w14:textId="77777777" w:rsidR="00AE751F" w:rsidRPr="00880F9A" w:rsidRDefault="00AE751F" w:rsidP="00091E38">
      <w:pPr>
        <w:pStyle w:val="H23G"/>
        <w:rPr>
          <w:rFonts w:eastAsia="MS Mincho"/>
          <w:lang w:val="fr-FR"/>
        </w:rPr>
      </w:pPr>
      <w:r w:rsidRPr="00880F9A">
        <w:rPr>
          <w:rFonts w:eastAsia="MS Mincho"/>
          <w:lang w:val="fr-FR"/>
        </w:rPr>
        <w:tab/>
      </w:r>
      <w:r w:rsidRPr="00880F9A">
        <w:rPr>
          <w:rFonts w:eastAsia="MS Mincho"/>
          <w:lang w:val="fr-FR"/>
        </w:rPr>
        <w:tab/>
      </w:r>
      <w:r w:rsidR="00033EC8" w:rsidRPr="00880F9A">
        <w:rPr>
          <w:rFonts w:eastAsia="MS Mincho"/>
          <w:lang w:val="fr-FR"/>
        </w:rPr>
        <w:t>Chapitre</w:t>
      </w:r>
      <w:r w:rsidRPr="00880F9A">
        <w:rPr>
          <w:rFonts w:eastAsia="MS Mincho"/>
          <w:lang w:val="fr-FR"/>
        </w:rPr>
        <w:t xml:space="preserve"> 9.1</w:t>
      </w:r>
    </w:p>
    <w:p w14:paraId="0E50A41B" w14:textId="77777777" w:rsidR="00AE751F" w:rsidRPr="00880F9A" w:rsidRDefault="00AE751F" w:rsidP="006C49F7">
      <w:pPr>
        <w:pStyle w:val="SingleTxtG"/>
        <w:ind w:left="2268" w:hanging="1134"/>
        <w:rPr>
          <w:rFonts w:asciiTheme="majorBidi" w:eastAsia="BatangChe" w:hAnsiTheme="majorBidi" w:cstheme="majorBidi"/>
          <w:lang w:val="fr-FR"/>
        </w:rPr>
      </w:pPr>
      <w:r w:rsidRPr="00880F9A">
        <w:rPr>
          <w:rFonts w:eastAsia="MS Mincho"/>
          <w:lang w:val="fr-FR"/>
        </w:rPr>
        <w:t>9.1.3.4</w:t>
      </w:r>
      <w:r w:rsidRPr="00880F9A">
        <w:rPr>
          <w:rFonts w:eastAsia="MS Mincho"/>
          <w:lang w:val="fr-FR"/>
        </w:rPr>
        <w:tab/>
      </w:r>
      <w:r w:rsidRPr="00880F9A">
        <w:rPr>
          <w:rFonts w:eastAsia="MS Mincho"/>
          <w:lang w:val="fr-FR"/>
        </w:rPr>
        <w:tab/>
      </w:r>
      <w:r w:rsidR="001159AF" w:rsidRPr="00880F9A">
        <w:rPr>
          <w:rFonts w:eastAsia="MS Mincho"/>
          <w:lang w:val="fr-FR"/>
        </w:rPr>
        <w:t>Dans le dernier paragraphe</w:t>
      </w:r>
      <w:r w:rsidRPr="00880F9A">
        <w:rPr>
          <w:rFonts w:eastAsia="MS Mincho"/>
          <w:lang w:val="fr-FR"/>
        </w:rPr>
        <w:t xml:space="preserve">, </w:t>
      </w:r>
      <w:r w:rsidR="00945580" w:rsidRPr="00880F9A">
        <w:rPr>
          <w:rFonts w:eastAsia="MS Mincho"/>
          <w:lang w:val="fr-FR"/>
        </w:rPr>
        <w:t>Remplacer</w:t>
      </w:r>
      <w:r w:rsidRPr="00880F9A">
        <w:rPr>
          <w:rFonts w:eastAsia="MS Mincho"/>
          <w:lang w:val="fr-FR"/>
        </w:rPr>
        <w:t xml:space="preserve"> </w:t>
      </w:r>
      <w:r w:rsidR="001159AF" w:rsidRPr="00880F9A">
        <w:rPr>
          <w:rFonts w:eastAsia="MS Mincho"/>
          <w:lang w:val="fr-FR"/>
        </w:rPr>
        <w:t>« Cette prescription ne saurait » par « </w:t>
      </w:r>
      <w:bookmarkStart w:id="16" w:name="_Hlk41561194"/>
      <w:r w:rsidR="001159AF" w:rsidRPr="00880F9A">
        <w:rPr>
          <w:rFonts w:eastAsia="MS Mincho"/>
          <w:lang w:val="fr-FR"/>
        </w:rPr>
        <w:t>Ces dispositions ne sauraient</w:t>
      </w:r>
      <w:bookmarkEnd w:id="16"/>
      <w:r w:rsidR="001159AF" w:rsidRPr="00880F9A">
        <w:rPr>
          <w:rFonts w:eastAsia="MS Mincho"/>
          <w:lang w:val="fr-FR"/>
        </w:rPr>
        <w:t> ».</w:t>
      </w:r>
    </w:p>
    <w:p w14:paraId="53A2320D" w14:textId="72D5DD24" w:rsidR="00074303" w:rsidRPr="00880F9A" w:rsidRDefault="00074303" w:rsidP="00074303">
      <w:pPr>
        <w:pStyle w:val="SingleTxtG"/>
        <w:ind w:left="2268" w:hanging="1134"/>
        <w:rPr>
          <w:lang w:val="fr-FR"/>
        </w:rPr>
      </w:pPr>
      <w:r>
        <w:rPr>
          <w:lang w:val="fr-FR"/>
        </w:rPr>
        <w:t>9.1.3.5</w:t>
      </w:r>
      <w:r w:rsidRPr="00880F9A">
        <w:rPr>
          <w:lang w:val="fr-FR"/>
        </w:rPr>
        <w:tab/>
      </w:r>
      <w:r>
        <w:rPr>
          <w:lang w:val="fr-FR"/>
        </w:rPr>
        <w:t xml:space="preserve">Dans le </w:t>
      </w:r>
      <w:r w:rsidRPr="00074303">
        <w:rPr>
          <w:lang w:val="fr-FR"/>
        </w:rPr>
        <w:t>Modèle de certificat d'agrément pour les véhicules transportant certaines marchandises dangereuses</w:t>
      </w:r>
      <w:r>
        <w:rPr>
          <w:lang w:val="fr-FR"/>
        </w:rPr>
        <w:t>, dans la phrase sous le titre du certificat, supprimer « </w:t>
      </w:r>
      <w:r w:rsidRPr="00D91111">
        <w:t>européen</w:t>
      </w:r>
      <w:r>
        <w:t> ».</w:t>
      </w:r>
    </w:p>
    <w:p w14:paraId="0F9B414E" w14:textId="2C9B1271" w:rsidR="00C626B2" w:rsidRPr="00880F9A" w:rsidRDefault="00C626B2" w:rsidP="00091E38">
      <w:pPr>
        <w:pStyle w:val="H1G"/>
        <w:rPr>
          <w:lang w:val="fr-FR"/>
        </w:rPr>
      </w:pPr>
      <w:r w:rsidRPr="00880F9A">
        <w:rPr>
          <w:lang w:val="fr-FR"/>
        </w:rPr>
        <w:tab/>
        <w:t>II.</w:t>
      </w:r>
      <w:r w:rsidRPr="00880F9A">
        <w:rPr>
          <w:lang w:val="fr-FR"/>
        </w:rPr>
        <w:tab/>
        <w:t>Projet d’amendements proposé</w:t>
      </w:r>
      <w:r w:rsidR="00B937EA">
        <w:rPr>
          <w:lang w:val="fr-FR"/>
        </w:rPr>
        <w:t>s</w:t>
      </w:r>
      <w:r w:rsidRPr="00880F9A">
        <w:rPr>
          <w:lang w:val="fr-FR"/>
        </w:rPr>
        <w:t xml:space="preserve"> par le Groupe de travail sur les citernes</w:t>
      </w:r>
    </w:p>
    <w:p w14:paraId="52251185" w14:textId="0AB9E930" w:rsidR="00C626B2" w:rsidRPr="00091E38" w:rsidRDefault="00091E38" w:rsidP="00091E38">
      <w:pPr>
        <w:pStyle w:val="H23G"/>
        <w:rPr>
          <w:rFonts w:eastAsia="MS Mincho"/>
          <w:lang w:val="fr-FR"/>
        </w:rPr>
      </w:pPr>
      <w:r>
        <w:rPr>
          <w:rFonts w:eastAsia="MS Mincho"/>
          <w:lang w:val="fr-FR"/>
        </w:rPr>
        <w:tab/>
      </w:r>
      <w:r>
        <w:rPr>
          <w:rFonts w:eastAsia="MS Mincho"/>
          <w:lang w:val="fr-FR"/>
        </w:rPr>
        <w:tab/>
      </w:r>
      <w:r w:rsidR="00C626B2" w:rsidRPr="00091E38">
        <w:rPr>
          <w:rFonts w:eastAsia="MS Mincho"/>
          <w:lang w:val="fr-FR"/>
        </w:rPr>
        <w:t>Chapitre 1.4</w:t>
      </w:r>
    </w:p>
    <w:p w14:paraId="731E0064" w14:textId="3ED30F81" w:rsidR="00C626B2" w:rsidRPr="00880F9A" w:rsidRDefault="00C626B2" w:rsidP="00C626B2">
      <w:pPr>
        <w:spacing w:after="120"/>
        <w:ind w:left="2268" w:right="561" w:hanging="1134"/>
        <w:jc w:val="both"/>
        <w:rPr>
          <w:lang w:val="fr-FR"/>
        </w:rPr>
      </w:pPr>
      <w:r w:rsidRPr="00880F9A">
        <w:rPr>
          <w:lang w:val="fr-FR"/>
        </w:rPr>
        <w:t xml:space="preserve">1.4.2.2.1 d) </w:t>
      </w:r>
      <w:r w:rsidRPr="00880F9A">
        <w:rPr>
          <w:lang w:val="fr-FR"/>
        </w:rPr>
        <w:tab/>
      </w:r>
      <w:r w:rsidR="00A67B5E" w:rsidRPr="00880F9A">
        <w:rPr>
          <w:lang w:val="fr-FR"/>
        </w:rPr>
        <w:t>Remplacer « la prochaine épreuve » par « </w:t>
      </w:r>
      <w:bookmarkStart w:id="17" w:name="_Hlk41567970"/>
      <w:r w:rsidR="00A67B5E" w:rsidRPr="00880F9A">
        <w:rPr>
          <w:lang w:val="fr-FR"/>
        </w:rPr>
        <w:t>le prochain contrôle</w:t>
      </w:r>
      <w:bookmarkEnd w:id="17"/>
      <w:r w:rsidR="00A67B5E" w:rsidRPr="00880F9A">
        <w:rPr>
          <w:lang w:val="fr-FR"/>
        </w:rPr>
        <w:t> ».</w:t>
      </w:r>
    </w:p>
    <w:p w14:paraId="6101FDCD" w14:textId="4DF69A04" w:rsidR="00C626B2" w:rsidRPr="00880F9A" w:rsidRDefault="00C626B2" w:rsidP="00C626B2">
      <w:pPr>
        <w:spacing w:after="120"/>
        <w:ind w:left="2268" w:right="561" w:hanging="1134"/>
        <w:jc w:val="both"/>
        <w:rPr>
          <w:lang w:val="fr-FR"/>
        </w:rPr>
      </w:pPr>
      <w:r w:rsidRPr="00880F9A">
        <w:rPr>
          <w:lang w:val="fr-FR"/>
        </w:rPr>
        <w:t xml:space="preserve">1.4.3.3 b) </w:t>
      </w:r>
      <w:r w:rsidRPr="00880F9A">
        <w:rPr>
          <w:lang w:val="fr-FR"/>
        </w:rPr>
        <w:tab/>
      </w:r>
      <w:r w:rsidR="00A67B5E" w:rsidRPr="00880F9A">
        <w:rPr>
          <w:lang w:val="fr-FR"/>
        </w:rPr>
        <w:t>Remplacer « </w:t>
      </w:r>
      <w:r w:rsidR="002C7710">
        <w:rPr>
          <w:lang w:val="fr-FR"/>
        </w:rPr>
        <w:t xml:space="preserve">de </w:t>
      </w:r>
      <w:r w:rsidR="00A67B5E" w:rsidRPr="00880F9A">
        <w:rPr>
          <w:lang w:val="fr-FR"/>
        </w:rPr>
        <w:t>la prochaine épreuve » par « </w:t>
      </w:r>
      <w:bookmarkStart w:id="18" w:name="_Hlk41567993"/>
      <w:r w:rsidR="002C7710">
        <w:rPr>
          <w:lang w:val="fr-FR"/>
        </w:rPr>
        <w:t>du</w:t>
      </w:r>
      <w:r w:rsidR="002C7710" w:rsidRPr="00880F9A">
        <w:rPr>
          <w:lang w:val="fr-FR"/>
        </w:rPr>
        <w:t xml:space="preserve"> </w:t>
      </w:r>
      <w:r w:rsidR="00A67B5E" w:rsidRPr="00880F9A">
        <w:rPr>
          <w:lang w:val="fr-FR"/>
        </w:rPr>
        <w:t>prochain contrôle</w:t>
      </w:r>
      <w:bookmarkEnd w:id="18"/>
      <w:r w:rsidR="00A67B5E" w:rsidRPr="00880F9A">
        <w:rPr>
          <w:lang w:val="fr-FR"/>
        </w:rPr>
        <w:t> ».</w:t>
      </w:r>
    </w:p>
    <w:p w14:paraId="24729CE2" w14:textId="7C425D7C" w:rsidR="00C626B2" w:rsidRPr="00880F9A" w:rsidRDefault="00C626B2" w:rsidP="00C626B2">
      <w:pPr>
        <w:spacing w:after="120"/>
        <w:ind w:left="2268" w:right="561" w:hanging="1134"/>
        <w:jc w:val="both"/>
        <w:rPr>
          <w:lang w:val="fr-FR"/>
        </w:rPr>
      </w:pPr>
      <w:r w:rsidRPr="00880F9A">
        <w:rPr>
          <w:lang w:val="fr-FR"/>
        </w:rPr>
        <w:t xml:space="preserve">1.4.3.4 a) </w:t>
      </w:r>
      <w:r w:rsidRPr="00880F9A">
        <w:rPr>
          <w:lang w:val="fr-FR"/>
        </w:rPr>
        <w:tab/>
      </w:r>
      <w:r w:rsidR="00A67B5E" w:rsidRPr="00880F9A">
        <w:rPr>
          <w:lang w:val="fr-FR"/>
        </w:rPr>
        <w:t>Remplacer « épreuves » par « </w:t>
      </w:r>
      <w:bookmarkStart w:id="19" w:name="_Hlk41568019"/>
      <w:r w:rsidR="00A67B5E" w:rsidRPr="00880F9A">
        <w:rPr>
          <w:lang w:val="fr-FR"/>
        </w:rPr>
        <w:t>contrôles et épreuves</w:t>
      </w:r>
      <w:bookmarkEnd w:id="19"/>
      <w:r w:rsidR="00A67B5E" w:rsidRPr="00880F9A">
        <w:rPr>
          <w:lang w:val="fr-FR"/>
        </w:rPr>
        <w:t> ».</w:t>
      </w:r>
      <w:r w:rsidRPr="00880F9A">
        <w:rPr>
          <w:lang w:val="fr-FR"/>
        </w:rPr>
        <w:t xml:space="preserve"> </w:t>
      </w:r>
    </w:p>
    <w:p w14:paraId="5BF943CC" w14:textId="67F2ECEA" w:rsidR="00C626B2" w:rsidRPr="00880F9A" w:rsidRDefault="00C626B2" w:rsidP="00C626B2">
      <w:pPr>
        <w:spacing w:after="120"/>
        <w:ind w:left="2268" w:right="561" w:hanging="1134"/>
        <w:jc w:val="both"/>
        <w:rPr>
          <w:lang w:val="fr-FR"/>
        </w:rPr>
      </w:pPr>
      <w:r w:rsidRPr="00880F9A">
        <w:rPr>
          <w:lang w:val="fr-FR"/>
        </w:rPr>
        <w:t xml:space="preserve">1.4.3.4 b) </w:t>
      </w:r>
      <w:r w:rsidRPr="00880F9A">
        <w:rPr>
          <w:lang w:val="fr-FR"/>
        </w:rPr>
        <w:tab/>
      </w:r>
      <w:r w:rsidR="00A67B5E" w:rsidRPr="00880F9A">
        <w:rPr>
          <w:lang w:val="fr-FR"/>
        </w:rPr>
        <w:t>Remplacer « jusqu'à la prochaine épreuve » par « </w:t>
      </w:r>
      <w:bookmarkStart w:id="20" w:name="_Hlk41568039"/>
      <w:r w:rsidR="00A67B5E" w:rsidRPr="00880F9A">
        <w:rPr>
          <w:lang w:val="fr-FR"/>
        </w:rPr>
        <w:t>jusqu'au prochain contrôle</w:t>
      </w:r>
      <w:bookmarkEnd w:id="20"/>
      <w:r w:rsidR="00A67B5E" w:rsidRPr="00880F9A">
        <w:rPr>
          <w:lang w:val="fr-FR"/>
        </w:rPr>
        <w:t> ».</w:t>
      </w:r>
    </w:p>
    <w:p w14:paraId="013BF428" w14:textId="6C55241D" w:rsidR="00C626B2" w:rsidRPr="00091E38" w:rsidRDefault="00091E38" w:rsidP="00091E38">
      <w:pPr>
        <w:pStyle w:val="H23G"/>
        <w:rPr>
          <w:rFonts w:eastAsia="MS Mincho"/>
          <w:lang w:val="fr-FR"/>
        </w:rPr>
      </w:pPr>
      <w:r>
        <w:rPr>
          <w:rFonts w:eastAsia="MS Mincho"/>
          <w:lang w:val="fr-FR"/>
        </w:rPr>
        <w:tab/>
      </w:r>
      <w:r>
        <w:rPr>
          <w:rFonts w:eastAsia="MS Mincho"/>
          <w:lang w:val="fr-FR"/>
        </w:rPr>
        <w:tab/>
      </w:r>
      <w:r w:rsidR="00C626B2" w:rsidRPr="00091E38">
        <w:rPr>
          <w:rFonts w:eastAsia="MS Mincho"/>
          <w:lang w:val="fr-FR"/>
        </w:rPr>
        <w:t>Chapitre 1.6</w:t>
      </w:r>
    </w:p>
    <w:p w14:paraId="7ED09884" w14:textId="1A248741" w:rsidR="00C626B2" w:rsidRPr="00880F9A" w:rsidRDefault="00C626B2" w:rsidP="00C626B2">
      <w:pPr>
        <w:spacing w:after="120"/>
        <w:ind w:left="2268" w:right="561" w:hanging="1134"/>
        <w:jc w:val="both"/>
        <w:rPr>
          <w:lang w:val="fr-FR"/>
        </w:rPr>
      </w:pPr>
      <w:r w:rsidRPr="00880F9A">
        <w:rPr>
          <w:lang w:val="fr-FR"/>
        </w:rPr>
        <w:t>1.6.3.2</w:t>
      </w:r>
      <w:r w:rsidRPr="00880F9A">
        <w:rPr>
          <w:lang w:val="fr-FR"/>
        </w:rPr>
        <w:tab/>
      </w:r>
      <w:r w:rsidR="00832A90" w:rsidRPr="00880F9A">
        <w:rPr>
          <w:lang w:val="fr-FR"/>
        </w:rPr>
        <w:t>Remplacer « épreuves » par « </w:t>
      </w:r>
      <w:bookmarkStart w:id="21" w:name="_Hlk41568065"/>
      <w:r w:rsidR="00832A90" w:rsidRPr="00880F9A">
        <w:rPr>
          <w:lang w:val="fr-FR"/>
        </w:rPr>
        <w:t>contrôles</w:t>
      </w:r>
      <w:bookmarkEnd w:id="21"/>
      <w:r w:rsidR="00832A90" w:rsidRPr="00880F9A">
        <w:rPr>
          <w:lang w:val="fr-FR"/>
        </w:rPr>
        <w:t> » et « exécutées » par « exécutés ».</w:t>
      </w:r>
    </w:p>
    <w:p w14:paraId="4B0C0FF3" w14:textId="124B5112" w:rsidR="00880F9A" w:rsidRPr="00880F9A" w:rsidRDefault="00C626B2" w:rsidP="00880F9A">
      <w:pPr>
        <w:spacing w:after="120"/>
        <w:ind w:left="2268" w:right="561" w:hanging="1134"/>
        <w:jc w:val="both"/>
        <w:rPr>
          <w:lang w:val="fr-FR"/>
        </w:rPr>
      </w:pPr>
      <w:r w:rsidRPr="00880F9A">
        <w:rPr>
          <w:lang w:val="fr-FR"/>
        </w:rPr>
        <w:t>1.6.3.8</w:t>
      </w:r>
      <w:r w:rsidRPr="00880F9A">
        <w:rPr>
          <w:lang w:val="fr-FR"/>
        </w:rPr>
        <w:tab/>
      </w:r>
      <w:r w:rsidR="00880F9A" w:rsidRPr="00880F9A">
        <w:rPr>
          <w:lang w:val="fr-FR"/>
        </w:rPr>
        <w:t>Remplacer «</w:t>
      </w:r>
      <w:r w:rsidR="00880F9A">
        <w:rPr>
          <w:lang w:val="fr-FR"/>
        </w:rPr>
        <w:t> </w:t>
      </w:r>
      <w:r w:rsidR="00880F9A" w:rsidRPr="00880F9A">
        <w:rPr>
          <w:lang w:val="fr-FR"/>
        </w:rPr>
        <w:t>de la première épreuve</w:t>
      </w:r>
      <w:r w:rsidR="00880F9A">
        <w:rPr>
          <w:lang w:val="fr-FR"/>
        </w:rPr>
        <w:t> </w:t>
      </w:r>
      <w:r w:rsidR="00880F9A" w:rsidRPr="00880F9A">
        <w:rPr>
          <w:lang w:val="fr-FR"/>
        </w:rPr>
        <w:t>» par «</w:t>
      </w:r>
      <w:r w:rsidR="00880F9A">
        <w:rPr>
          <w:lang w:val="fr-FR"/>
        </w:rPr>
        <w:t> </w:t>
      </w:r>
      <w:bookmarkStart w:id="22" w:name="_Hlk41568104"/>
      <w:r w:rsidR="00880F9A" w:rsidRPr="00880F9A">
        <w:rPr>
          <w:lang w:val="fr-FR"/>
        </w:rPr>
        <w:t>du premier contrôle</w:t>
      </w:r>
      <w:bookmarkEnd w:id="22"/>
      <w:r w:rsidR="00880F9A">
        <w:rPr>
          <w:lang w:val="fr-FR"/>
        </w:rPr>
        <w:t> </w:t>
      </w:r>
      <w:r w:rsidR="00880F9A" w:rsidRPr="00880F9A">
        <w:rPr>
          <w:lang w:val="fr-FR"/>
        </w:rPr>
        <w:t>».</w:t>
      </w:r>
    </w:p>
    <w:p w14:paraId="4E0C8BE1" w14:textId="34BB2BD7" w:rsidR="00C626B2" w:rsidRPr="00880F9A" w:rsidRDefault="00C626B2" w:rsidP="00880F9A">
      <w:pPr>
        <w:spacing w:after="120"/>
        <w:ind w:left="2268" w:right="561" w:hanging="1134"/>
        <w:jc w:val="both"/>
        <w:rPr>
          <w:lang w:val="fr-FR"/>
        </w:rPr>
      </w:pPr>
      <w:r w:rsidRPr="00880F9A">
        <w:rPr>
          <w:lang w:val="fr-FR"/>
        </w:rPr>
        <w:t>1.6.3.16</w:t>
      </w:r>
      <w:r w:rsidRPr="00880F9A">
        <w:rPr>
          <w:lang w:val="fr-FR"/>
        </w:rPr>
        <w:tab/>
      </w:r>
      <w:r w:rsidR="00880F9A" w:rsidRPr="003F4F9D">
        <w:rPr>
          <w:lang w:val="fr-FR"/>
        </w:rPr>
        <w:t>Modifier pour lire comme suit</w:t>
      </w:r>
      <w:r w:rsidR="00880F9A">
        <w:rPr>
          <w:lang w:val="fr-FR"/>
        </w:rPr>
        <w:t> </w:t>
      </w:r>
      <w:r w:rsidR="00880F9A" w:rsidRPr="003F4F9D">
        <w:rPr>
          <w:lang w:val="fr-FR"/>
        </w:rPr>
        <w:t>:</w:t>
      </w:r>
    </w:p>
    <w:p w14:paraId="525F246F" w14:textId="72C9EF18" w:rsidR="00C626B2" w:rsidRPr="00880F9A" w:rsidRDefault="00880F9A" w:rsidP="00C626B2">
      <w:pPr>
        <w:pStyle w:val="SingleTxtG"/>
        <w:tabs>
          <w:tab w:val="left" w:pos="3119"/>
        </w:tabs>
        <w:ind w:left="2268" w:right="561"/>
        <w:rPr>
          <w:sz w:val="24"/>
          <w:szCs w:val="24"/>
          <w:lang w:val="fr-FR"/>
        </w:rPr>
      </w:pPr>
      <w:r w:rsidRPr="003F4F9D">
        <w:rPr>
          <w:lang w:val="fr-FR"/>
        </w:rPr>
        <w:t>«</w:t>
      </w:r>
      <w:r>
        <w:rPr>
          <w:lang w:val="fr-FR"/>
        </w:rPr>
        <w:t> </w:t>
      </w:r>
      <w:r w:rsidRPr="003F4F9D">
        <w:rPr>
          <w:lang w:val="fr-FR"/>
        </w:rPr>
        <w:t>1.6.3.16</w:t>
      </w:r>
      <w:r w:rsidRPr="003F4F9D">
        <w:rPr>
          <w:lang w:val="fr-FR"/>
        </w:rPr>
        <w:tab/>
      </w:r>
      <w:bookmarkStart w:id="23" w:name="_Hlk41568132"/>
      <w:r w:rsidRPr="003F4F9D">
        <w:rPr>
          <w:lang w:val="fr-FR"/>
        </w:rPr>
        <w:t>Pour les citernes fixes (véhicules-citernes), citernes démontables et véhicules-batteries qui ont été construits avant le 1er janvier 2007 mais qui ne satisfont cependant pas aux prescriptions des 4.3.2, 6.8.2.3, 6.8.2.4 et 6.8.3.4 concernant le dossier de citerne, la conservation des fichiers pour le dossier de citerne doit commencer au plus tard au premier contrôle périodique effectué après le 30 juin 2007.</w:t>
      </w:r>
      <w:bookmarkEnd w:id="23"/>
      <w:r>
        <w:rPr>
          <w:lang w:val="fr-FR"/>
        </w:rPr>
        <w:t> </w:t>
      </w:r>
      <w:r w:rsidRPr="003F4F9D">
        <w:rPr>
          <w:lang w:val="fr-FR"/>
        </w:rPr>
        <w:t>»</w:t>
      </w:r>
    </w:p>
    <w:p w14:paraId="1B05721B" w14:textId="468B9564" w:rsidR="00C626B2" w:rsidRPr="00880F9A" w:rsidRDefault="00C626B2" w:rsidP="00C626B2">
      <w:pPr>
        <w:spacing w:after="120"/>
        <w:ind w:left="2268" w:right="561" w:hanging="1134"/>
        <w:jc w:val="both"/>
        <w:rPr>
          <w:lang w:val="fr-FR"/>
        </w:rPr>
      </w:pPr>
      <w:r w:rsidRPr="00880F9A">
        <w:rPr>
          <w:lang w:val="fr-FR"/>
        </w:rPr>
        <w:t>1.6.3.33</w:t>
      </w:r>
      <w:r w:rsidRPr="00880F9A">
        <w:rPr>
          <w:lang w:val="fr-FR"/>
        </w:rPr>
        <w:tab/>
      </w:r>
      <w:r w:rsidR="00880F9A" w:rsidRPr="003F4F9D">
        <w:rPr>
          <w:lang w:val="fr-FR"/>
        </w:rPr>
        <w:t>Remplacer «</w:t>
      </w:r>
      <w:r w:rsidR="00880F9A">
        <w:rPr>
          <w:lang w:val="fr-FR"/>
        </w:rPr>
        <w:t> </w:t>
      </w:r>
      <w:r w:rsidR="00880F9A" w:rsidRPr="003F4F9D">
        <w:rPr>
          <w:lang w:val="fr-FR"/>
        </w:rPr>
        <w:t>la prochaine épreuve</w:t>
      </w:r>
      <w:r w:rsidR="00880F9A">
        <w:rPr>
          <w:lang w:val="fr-FR"/>
        </w:rPr>
        <w:t> </w:t>
      </w:r>
      <w:r w:rsidR="00880F9A" w:rsidRPr="003F4F9D">
        <w:rPr>
          <w:lang w:val="fr-FR"/>
        </w:rPr>
        <w:t>» par «</w:t>
      </w:r>
      <w:r w:rsidR="00880F9A">
        <w:rPr>
          <w:lang w:val="fr-FR"/>
        </w:rPr>
        <w:t> </w:t>
      </w:r>
      <w:bookmarkStart w:id="24" w:name="_Hlk41568184"/>
      <w:r w:rsidR="00880F9A" w:rsidRPr="003F4F9D">
        <w:rPr>
          <w:lang w:val="fr-FR"/>
        </w:rPr>
        <w:t>le prochain contrôle</w:t>
      </w:r>
      <w:bookmarkEnd w:id="24"/>
      <w:r w:rsidR="00880F9A">
        <w:rPr>
          <w:lang w:val="fr-FR"/>
        </w:rPr>
        <w:t> </w:t>
      </w:r>
      <w:r w:rsidR="00880F9A" w:rsidRPr="003F4F9D">
        <w:rPr>
          <w:lang w:val="fr-FR"/>
        </w:rPr>
        <w:t>» et «</w:t>
      </w:r>
      <w:r w:rsidR="00880F9A">
        <w:rPr>
          <w:lang w:val="fr-FR"/>
        </w:rPr>
        <w:t> </w:t>
      </w:r>
      <w:r w:rsidR="00880F9A" w:rsidRPr="003F4F9D">
        <w:rPr>
          <w:lang w:val="fr-FR"/>
        </w:rPr>
        <w:t>effectuée</w:t>
      </w:r>
      <w:r w:rsidR="00880F9A">
        <w:rPr>
          <w:lang w:val="fr-FR"/>
        </w:rPr>
        <w:t> </w:t>
      </w:r>
      <w:r w:rsidR="00880F9A" w:rsidRPr="003F4F9D">
        <w:rPr>
          <w:lang w:val="fr-FR"/>
        </w:rPr>
        <w:t>» par «</w:t>
      </w:r>
      <w:r w:rsidR="00880F9A">
        <w:rPr>
          <w:lang w:val="fr-FR"/>
        </w:rPr>
        <w:t> </w:t>
      </w:r>
      <w:r w:rsidR="00880F9A" w:rsidRPr="003F4F9D">
        <w:rPr>
          <w:lang w:val="fr-FR"/>
        </w:rPr>
        <w:t>effectué</w:t>
      </w:r>
      <w:r w:rsidR="00880F9A">
        <w:rPr>
          <w:lang w:val="fr-FR"/>
        </w:rPr>
        <w:t> </w:t>
      </w:r>
      <w:r w:rsidR="00880F9A" w:rsidRPr="003F4F9D">
        <w:rPr>
          <w:lang w:val="fr-FR"/>
        </w:rPr>
        <w:t>».</w:t>
      </w:r>
    </w:p>
    <w:p w14:paraId="3AF73439" w14:textId="48F856EB" w:rsidR="00C626B2" w:rsidRPr="00880F9A" w:rsidRDefault="00C626B2" w:rsidP="00C626B2">
      <w:pPr>
        <w:spacing w:after="120"/>
        <w:ind w:left="2268" w:right="561" w:hanging="1134"/>
        <w:jc w:val="both"/>
        <w:rPr>
          <w:lang w:val="fr-FR"/>
        </w:rPr>
      </w:pPr>
      <w:r w:rsidRPr="00880F9A">
        <w:rPr>
          <w:lang w:val="fr-FR"/>
        </w:rPr>
        <w:t>1.6.4.5</w:t>
      </w:r>
      <w:r w:rsidRPr="00880F9A">
        <w:rPr>
          <w:lang w:val="fr-FR"/>
        </w:rPr>
        <w:tab/>
      </w:r>
      <w:r w:rsidR="00880F9A" w:rsidRPr="003F4F9D">
        <w:rPr>
          <w:lang w:val="fr-FR"/>
        </w:rPr>
        <w:t>Remplacer «</w:t>
      </w:r>
      <w:r w:rsidR="00880F9A">
        <w:rPr>
          <w:lang w:val="fr-FR"/>
        </w:rPr>
        <w:t> </w:t>
      </w:r>
      <w:r w:rsidR="00880F9A" w:rsidRPr="003F4F9D">
        <w:rPr>
          <w:lang w:val="fr-FR"/>
        </w:rPr>
        <w:t>de la première épreuve</w:t>
      </w:r>
      <w:r w:rsidR="00880F9A">
        <w:rPr>
          <w:lang w:val="fr-FR"/>
        </w:rPr>
        <w:t> </w:t>
      </w:r>
      <w:r w:rsidR="00880F9A" w:rsidRPr="003F4F9D">
        <w:rPr>
          <w:lang w:val="fr-FR"/>
        </w:rPr>
        <w:t>» par «</w:t>
      </w:r>
      <w:r w:rsidR="00880F9A">
        <w:rPr>
          <w:lang w:val="fr-FR"/>
        </w:rPr>
        <w:t> </w:t>
      </w:r>
      <w:bookmarkStart w:id="25" w:name="_Hlk41568281"/>
      <w:r w:rsidR="00880F9A" w:rsidRPr="003F4F9D">
        <w:rPr>
          <w:lang w:val="fr-FR"/>
        </w:rPr>
        <w:t>du premier contrôle</w:t>
      </w:r>
      <w:bookmarkEnd w:id="25"/>
      <w:r w:rsidR="00880F9A">
        <w:rPr>
          <w:lang w:val="fr-FR"/>
        </w:rPr>
        <w:t> </w:t>
      </w:r>
      <w:r w:rsidR="00880F9A" w:rsidRPr="003F4F9D">
        <w:rPr>
          <w:lang w:val="fr-FR"/>
        </w:rPr>
        <w:t>».</w:t>
      </w:r>
    </w:p>
    <w:p w14:paraId="1C0FD3B8" w14:textId="77777777" w:rsidR="00880F9A" w:rsidRPr="00880F9A" w:rsidRDefault="00C626B2" w:rsidP="00880F9A">
      <w:pPr>
        <w:spacing w:after="120"/>
        <w:ind w:left="2268" w:right="561" w:hanging="1134"/>
        <w:jc w:val="both"/>
        <w:rPr>
          <w:lang w:val="fr-FR"/>
        </w:rPr>
      </w:pPr>
      <w:r w:rsidRPr="00880F9A">
        <w:rPr>
          <w:lang w:val="fr-FR"/>
        </w:rPr>
        <w:t>1.6.4.18</w:t>
      </w:r>
      <w:r w:rsidRPr="00880F9A">
        <w:rPr>
          <w:lang w:val="fr-FR"/>
        </w:rPr>
        <w:tab/>
      </w:r>
      <w:r w:rsidR="00880F9A" w:rsidRPr="003F4F9D">
        <w:rPr>
          <w:lang w:val="fr-FR"/>
        </w:rPr>
        <w:t>Modifier pour lire comme suit</w:t>
      </w:r>
      <w:r w:rsidR="00880F9A">
        <w:rPr>
          <w:lang w:val="fr-FR"/>
        </w:rPr>
        <w:t> </w:t>
      </w:r>
      <w:r w:rsidR="00880F9A" w:rsidRPr="003F4F9D">
        <w:rPr>
          <w:lang w:val="fr-FR"/>
        </w:rPr>
        <w:t>:</w:t>
      </w:r>
    </w:p>
    <w:p w14:paraId="39FE403A" w14:textId="4A4C727D" w:rsidR="00C626B2" w:rsidRPr="00880F9A" w:rsidRDefault="00880F9A" w:rsidP="00C626B2">
      <w:pPr>
        <w:pStyle w:val="SingleTxtG"/>
        <w:tabs>
          <w:tab w:val="left" w:pos="3119"/>
        </w:tabs>
        <w:ind w:left="2268" w:right="561"/>
        <w:rPr>
          <w:lang w:val="fr-FR"/>
        </w:rPr>
      </w:pPr>
      <w:r w:rsidRPr="003F4F9D">
        <w:rPr>
          <w:lang w:val="fr-FR"/>
        </w:rPr>
        <w:t>«</w:t>
      </w:r>
      <w:r w:rsidR="00377944">
        <w:rPr>
          <w:lang w:val="fr-FR"/>
        </w:rPr>
        <w:t> 1</w:t>
      </w:r>
      <w:r w:rsidRPr="003F4F9D">
        <w:rPr>
          <w:lang w:val="fr-FR"/>
        </w:rPr>
        <w:t>.6.4.18</w:t>
      </w:r>
      <w:r w:rsidRPr="003F4F9D">
        <w:rPr>
          <w:lang w:val="fr-FR"/>
        </w:rPr>
        <w:tab/>
      </w:r>
      <w:bookmarkStart w:id="26" w:name="_Hlk41568307"/>
      <w:r w:rsidRPr="003F4F9D">
        <w:rPr>
          <w:lang w:val="fr-FR"/>
        </w:rPr>
        <w:t>Pour les conteneurs-citernes et CGEM construits avant le 1er janvier 2007 mais qui ne satisfont cependant pas aux prescriptions des 4.3.2, 6.8.2.3, 6.8.2.4 et 6.8.3.4 concernant le dossier de citerne, la conservation des fichiers pour le dossier de citerne doit commencer au plus tard au premier contrôle périodique effectué après le 30 juin 2007.</w:t>
      </w:r>
      <w:bookmarkEnd w:id="26"/>
      <w:r w:rsidR="00377944">
        <w:rPr>
          <w:lang w:val="fr-FR"/>
        </w:rPr>
        <w:t> </w:t>
      </w:r>
      <w:r w:rsidRPr="003F4F9D">
        <w:rPr>
          <w:lang w:val="fr-FR"/>
        </w:rPr>
        <w:t>»</w:t>
      </w:r>
    </w:p>
    <w:p w14:paraId="69F2CFA1" w14:textId="6B51F176" w:rsidR="00C626B2" w:rsidRPr="00880F9A" w:rsidRDefault="00C626B2" w:rsidP="00C626B2">
      <w:pPr>
        <w:spacing w:after="120"/>
        <w:ind w:left="2268" w:right="561" w:hanging="1134"/>
        <w:jc w:val="both"/>
        <w:rPr>
          <w:lang w:val="fr-FR"/>
        </w:rPr>
      </w:pPr>
      <w:r w:rsidRPr="00880F9A">
        <w:rPr>
          <w:lang w:val="fr-FR"/>
        </w:rPr>
        <w:t>1.6.4.32</w:t>
      </w:r>
      <w:r w:rsidRPr="00880F9A">
        <w:rPr>
          <w:lang w:val="fr-FR"/>
        </w:rPr>
        <w:tab/>
      </w:r>
      <w:r w:rsidR="00880F9A" w:rsidRPr="003F4F9D">
        <w:rPr>
          <w:lang w:val="fr-FR"/>
        </w:rPr>
        <w:t>Remplacer «</w:t>
      </w:r>
      <w:r w:rsidR="00377944">
        <w:rPr>
          <w:lang w:val="fr-FR"/>
        </w:rPr>
        <w:t> </w:t>
      </w:r>
      <w:r w:rsidR="00880F9A" w:rsidRPr="003F4F9D">
        <w:rPr>
          <w:lang w:val="fr-FR"/>
        </w:rPr>
        <w:t>la prochaine épreuve</w:t>
      </w:r>
      <w:r w:rsidR="00377944">
        <w:rPr>
          <w:lang w:val="fr-FR"/>
        </w:rPr>
        <w:t> </w:t>
      </w:r>
      <w:r w:rsidR="00880F9A" w:rsidRPr="003F4F9D">
        <w:rPr>
          <w:lang w:val="fr-FR"/>
        </w:rPr>
        <w:t>» par «</w:t>
      </w:r>
      <w:r w:rsidR="00377944">
        <w:rPr>
          <w:lang w:val="fr-FR"/>
        </w:rPr>
        <w:t> </w:t>
      </w:r>
      <w:bookmarkStart w:id="27" w:name="_Hlk41568335"/>
      <w:r w:rsidR="00880F9A" w:rsidRPr="003F4F9D">
        <w:rPr>
          <w:lang w:val="fr-FR"/>
        </w:rPr>
        <w:t>le prochain contrôle</w:t>
      </w:r>
      <w:bookmarkEnd w:id="27"/>
      <w:r w:rsidR="00377944">
        <w:rPr>
          <w:lang w:val="fr-FR"/>
        </w:rPr>
        <w:t> </w:t>
      </w:r>
      <w:r w:rsidR="00880F9A" w:rsidRPr="003F4F9D">
        <w:rPr>
          <w:lang w:val="fr-FR"/>
        </w:rPr>
        <w:t>»</w:t>
      </w:r>
      <w:r w:rsidR="00D128C5">
        <w:rPr>
          <w:lang w:val="fr-FR"/>
        </w:rPr>
        <w:t xml:space="preserve"> et « effectuée » par « effectué »</w:t>
      </w:r>
      <w:r w:rsidR="00880F9A" w:rsidRPr="003F4F9D">
        <w:rPr>
          <w:lang w:val="fr-FR"/>
        </w:rPr>
        <w:t>.</w:t>
      </w:r>
    </w:p>
    <w:p w14:paraId="596EF1ED" w14:textId="46C5E4EE" w:rsidR="00C626B2" w:rsidRPr="00091E38" w:rsidRDefault="00091E38" w:rsidP="00091E38">
      <w:pPr>
        <w:pStyle w:val="H23G"/>
        <w:rPr>
          <w:rFonts w:eastAsia="MS Mincho"/>
          <w:lang w:val="fr-FR"/>
        </w:rPr>
      </w:pPr>
      <w:r>
        <w:rPr>
          <w:rFonts w:eastAsia="MS Mincho"/>
          <w:lang w:val="fr-FR"/>
        </w:rPr>
        <w:lastRenderedPageBreak/>
        <w:tab/>
      </w:r>
      <w:r>
        <w:rPr>
          <w:rFonts w:eastAsia="MS Mincho"/>
          <w:lang w:val="fr-FR"/>
        </w:rPr>
        <w:tab/>
      </w:r>
      <w:r w:rsidR="00C626B2" w:rsidRPr="00091E38">
        <w:rPr>
          <w:rFonts w:eastAsia="MS Mincho"/>
          <w:lang w:val="fr-FR"/>
        </w:rPr>
        <w:t>Chapitre 4.3</w:t>
      </w:r>
    </w:p>
    <w:p w14:paraId="1128EF08" w14:textId="66E7A8F4" w:rsidR="00880F9A" w:rsidRDefault="00C626B2" w:rsidP="00880F9A">
      <w:pPr>
        <w:spacing w:after="120"/>
        <w:ind w:left="2268" w:right="561" w:hanging="1134"/>
        <w:jc w:val="both"/>
        <w:rPr>
          <w:lang w:val="fr-FR"/>
        </w:rPr>
      </w:pPr>
      <w:r w:rsidRPr="00880F9A">
        <w:rPr>
          <w:lang w:val="fr-FR"/>
        </w:rPr>
        <w:t>4.3.1.4</w:t>
      </w:r>
      <w:r w:rsidRPr="00880F9A">
        <w:rPr>
          <w:lang w:val="fr-FR"/>
        </w:rPr>
        <w:tab/>
      </w:r>
      <w:r w:rsidR="00880F9A" w:rsidRPr="003F4F9D">
        <w:rPr>
          <w:lang w:val="fr-FR"/>
        </w:rPr>
        <w:t>Remplacer «</w:t>
      </w:r>
      <w:r w:rsidR="00377944">
        <w:rPr>
          <w:lang w:val="fr-FR"/>
        </w:rPr>
        <w:t> </w:t>
      </w:r>
      <w:r w:rsidR="00880F9A" w:rsidRPr="003F4F9D">
        <w:rPr>
          <w:lang w:val="fr-FR"/>
        </w:rPr>
        <w:t>épreuves</w:t>
      </w:r>
      <w:r w:rsidR="00377944">
        <w:rPr>
          <w:lang w:val="fr-FR"/>
        </w:rPr>
        <w:t> </w:t>
      </w:r>
      <w:r w:rsidR="00880F9A" w:rsidRPr="003F4F9D">
        <w:rPr>
          <w:lang w:val="fr-FR"/>
        </w:rPr>
        <w:t>» par «</w:t>
      </w:r>
      <w:r w:rsidR="00377944">
        <w:rPr>
          <w:lang w:val="fr-FR"/>
        </w:rPr>
        <w:t> </w:t>
      </w:r>
      <w:bookmarkStart w:id="28" w:name="_Hlk41568546"/>
      <w:r w:rsidR="00880F9A" w:rsidRPr="003F4F9D">
        <w:rPr>
          <w:lang w:val="fr-FR"/>
        </w:rPr>
        <w:t>contrôles et épreuves</w:t>
      </w:r>
      <w:bookmarkEnd w:id="28"/>
      <w:r w:rsidR="00377944">
        <w:rPr>
          <w:lang w:val="fr-FR"/>
        </w:rPr>
        <w:t> </w:t>
      </w:r>
      <w:r w:rsidR="00880F9A" w:rsidRPr="003F4F9D">
        <w:rPr>
          <w:lang w:val="fr-FR"/>
        </w:rPr>
        <w:t>».</w:t>
      </w:r>
    </w:p>
    <w:p w14:paraId="24AD61D2" w14:textId="784059E8" w:rsidR="00C626B2" w:rsidRPr="00091E38" w:rsidRDefault="00091E38" w:rsidP="00091E38">
      <w:pPr>
        <w:pStyle w:val="H23G"/>
        <w:rPr>
          <w:rFonts w:eastAsia="MS Mincho"/>
          <w:lang w:val="fr-FR"/>
        </w:rPr>
      </w:pPr>
      <w:r>
        <w:rPr>
          <w:rFonts w:eastAsia="MS Mincho"/>
          <w:lang w:val="fr-FR"/>
        </w:rPr>
        <w:tab/>
      </w:r>
      <w:r>
        <w:rPr>
          <w:rFonts w:eastAsia="MS Mincho"/>
          <w:lang w:val="fr-FR"/>
        </w:rPr>
        <w:tab/>
      </w:r>
      <w:r w:rsidR="00C626B2" w:rsidRPr="00091E38">
        <w:rPr>
          <w:rFonts w:eastAsia="MS Mincho"/>
          <w:lang w:val="fr-FR"/>
        </w:rPr>
        <w:t>Chapitre 4.7</w:t>
      </w:r>
    </w:p>
    <w:p w14:paraId="35D447AD" w14:textId="33B59752" w:rsidR="00C626B2" w:rsidRPr="00880F9A" w:rsidRDefault="00880F9A" w:rsidP="00C626B2">
      <w:pPr>
        <w:spacing w:after="120"/>
        <w:ind w:left="2268" w:right="561" w:hanging="1134"/>
        <w:jc w:val="both"/>
        <w:rPr>
          <w:lang w:val="fr-FR"/>
        </w:rPr>
      </w:pPr>
      <w:r w:rsidRPr="003F4F9D">
        <w:rPr>
          <w:b/>
          <w:i/>
          <w:lang w:val="fr-FR"/>
        </w:rPr>
        <w:t>NOTA 2</w:t>
      </w:r>
      <w:r w:rsidRPr="003F4F9D">
        <w:rPr>
          <w:b/>
          <w:i/>
          <w:lang w:val="fr-FR"/>
        </w:rPr>
        <w:tab/>
      </w:r>
      <w:r w:rsidRPr="003F4F9D">
        <w:rPr>
          <w:lang w:val="fr-FR"/>
        </w:rPr>
        <w:t>Remplacer «</w:t>
      </w:r>
      <w:r w:rsidR="00377944">
        <w:rPr>
          <w:lang w:val="fr-FR"/>
        </w:rPr>
        <w:t> </w:t>
      </w:r>
      <w:r w:rsidRPr="003F4F9D">
        <w:rPr>
          <w:lang w:val="fr-FR"/>
        </w:rPr>
        <w:t>épreuves</w:t>
      </w:r>
      <w:r w:rsidR="00377944">
        <w:rPr>
          <w:lang w:val="fr-FR"/>
        </w:rPr>
        <w:t> </w:t>
      </w:r>
      <w:r w:rsidRPr="003F4F9D">
        <w:rPr>
          <w:lang w:val="fr-FR"/>
        </w:rPr>
        <w:t>» par «</w:t>
      </w:r>
      <w:r w:rsidR="00377944">
        <w:rPr>
          <w:lang w:val="fr-FR"/>
        </w:rPr>
        <w:t> </w:t>
      </w:r>
      <w:r w:rsidRPr="003F4F9D">
        <w:rPr>
          <w:lang w:val="fr-FR"/>
        </w:rPr>
        <w:t>contrôles et épreuves</w:t>
      </w:r>
      <w:r w:rsidR="00377944">
        <w:rPr>
          <w:lang w:val="fr-FR"/>
        </w:rPr>
        <w:t> </w:t>
      </w:r>
      <w:r w:rsidRPr="003F4F9D">
        <w:rPr>
          <w:lang w:val="fr-FR"/>
        </w:rPr>
        <w:t>».</w:t>
      </w:r>
    </w:p>
    <w:p w14:paraId="2D001266" w14:textId="63907574" w:rsidR="00C626B2" w:rsidRPr="00091E38" w:rsidRDefault="00091E38" w:rsidP="00091E38">
      <w:pPr>
        <w:pStyle w:val="H23G"/>
        <w:rPr>
          <w:rFonts w:eastAsia="MS Mincho"/>
          <w:lang w:val="fr-FR"/>
        </w:rPr>
      </w:pPr>
      <w:r>
        <w:rPr>
          <w:rFonts w:eastAsia="MS Mincho"/>
          <w:lang w:val="fr-FR"/>
        </w:rPr>
        <w:tab/>
      </w:r>
      <w:r>
        <w:rPr>
          <w:rFonts w:eastAsia="MS Mincho"/>
          <w:lang w:val="fr-FR"/>
        </w:rPr>
        <w:tab/>
      </w:r>
      <w:r w:rsidR="00C626B2" w:rsidRPr="00091E38">
        <w:rPr>
          <w:rFonts w:eastAsia="MS Mincho"/>
          <w:lang w:val="fr-FR"/>
        </w:rPr>
        <w:t>Chapitre 6.8</w:t>
      </w:r>
    </w:p>
    <w:p w14:paraId="76CE96C9" w14:textId="587B018D" w:rsidR="00C626B2" w:rsidRPr="00880F9A" w:rsidRDefault="00C626B2" w:rsidP="00C626B2">
      <w:pPr>
        <w:spacing w:after="120"/>
        <w:ind w:left="2268" w:right="561" w:hanging="1134"/>
        <w:jc w:val="both"/>
        <w:rPr>
          <w:lang w:val="fr-FR"/>
        </w:rPr>
      </w:pPr>
      <w:r w:rsidRPr="00880F9A">
        <w:rPr>
          <w:lang w:val="fr-FR"/>
        </w:rPr>
        <w:t>6.8.2.1.23</w:t>
      </w:r>
      <w:r w:rsidRPr="00880F9A">
        <w:rPr>
          <w:lang w:val="fr-FR"/>
        </w:rPr>
        <w:tab/>
      </w:r>
      <w:r w:rsidR="00880F9A" w:rsidRPr="003F4F9D">
        <w:rPr>
          <w:lang w:val="fr-FR"/>
        </w:rPr>
        <w:t>Modifier les trois premières phrases pour lire comme suit</w:t>
      </w:r>
      <w:r w:rsidR="00377944">
        <w:rPr>
          <w:lang w:val="fr-FR"/>
        </w:rPr>
        <w:t> </w:t>
      </w:r>
      <w:r w:rsidR="00880F9A" w:rsidRPr="003F4F9D">
        <w:rPr>
          <w:lang w:val="fr-FR"/>
        </w:rPr>
        <w:t>:</w:t>
      </w:r>
    </w:p>
    <w:p w14:paraId="019CE20A" w14:textId="47A2B017" w:rsidR="00880F9A" w:rsidRPr="003F4F9D" w:rsidRDefault="00880F9A" w:rsidP="00880F9A">
      <w:pPr>
        <w:pStyle w:val="SingleTxtG"/>
        <w:ind w:left="2268" w:right="561"/>
        <w:rPr>
          <w:lang w:val="fr-FR"/>
        </w:rPr>
      </w:pPr>
      <w:r w:rsidRPr="003F4F9D">
        <w:rPr>
          <w:lang w:val="fr-FR"/>
        </w:rPr>
        <w:t>«</w:t>
      </w:r>
      <w:r w:rsidR="00377944">
        <w:rPr>
          <w:lang w:val="fr-FR"/>
        </w:rPr>
        <w:t> </w:t>
      </w:r>
      <w:bookmarkStart w:id="29" w:name="_Hlk41568672"/>
      <w:r w:rsidRPr="003F4F9D">
        <w:rPr>
          <w:lang w:val="fr-FR"/>
        </w:rPr>
        <w:t>L’organisme effectuant des contrôles conformément aux 6.8.2.4.1 ou 6.8.2.4.4, doit vérifier et confirmer l’aptitude du constructeur ou de l’atelier de maintenance ou de réparation, à réaliser des travaux de soudage et la mise en place d’un système d’assurance qualité du soudage.</w:t>
      </w:r>
      <w:bookmarkEnd w:id="29"/>
      <w:r w:rsidR="00377944">
        <w:rPr>
          <w:lang w:val="fr-FR"/>
        </w:rPr>
        <w:t> </w:t>
      </w:r>
      <w:r w:rsidRPr="003F4F9D">
        <w:rPr>
          <w:lang w:val="fr-FR"/>
        </w:rPr>
        <w:t>»</w:t>
      </w:r>
    </w:p>
    <w:p w14:paraId="7A983C2C" w14:textId="474A2A83" w:rsidR="00880F9A" w:rsidRPr="003F4F9D" w:rsidRDefault="00880F9A" w:rsidP="00880F9A">
      <w:pPr>
        <w:pStyle w:val="SingleTxtG"/>
        <w:ind w:left="2268" w:right="561"/>
        <w:rPr>
          <w:lang w:val="fr-FR"/>
        </w:rPr>
      </w:pPr>
      <w:r w:rsidRPr="003F4F9D">
        <w:rPr>
          <w:lang w:val="fr-FR"/>
        </w:rPr>
        <w:t>Modifier le dernier paragraphe pour lire comme suit</w:t>
      </w:r>
      <w:r w:rsidR="00377944">
        <w:rPr>
          <w:lang w:val="fr-FR"/>
        </w:rPr>
        <w:t> </w:t>
      </w:r>
      <w:r w:rsidRPr="003F4F9D">
        <w:rPr>
          <w:lang w:val="fr-FR"/>
        </w:rPr>
        <w:t>:</w:t>
      </w:r>
    </w:p>
    <w:p w14:paraId="3D495A13" w14:textId="65211D70" w:rsidR="00880F9A" w:rsidRPr="003F4F9D" w:rsidRDefault="00880F9A" w:rsidP="00880F9A">
      <w:pPr>
        <w:pStyle w:val="SingleTxtG"/>
        <w:ind w:left="2268" w:right="561"/>
        <w:rPr>
          <w:lang w:val="fr-FR"/>
        </w:rPr>
      </w:pPr>
      <w:r w:rsidRPr="003F4F9D">
        <w:rPr>
          <w:lang w:val="fr-FR"/>
        </w:rPr>
        <w:t>«</w:t>
      </w:r>
      <w:r w:rsidR="00377944">
        <w:rPr>
          <w:lang w:val="fr-FR"/>
        </w:rPr>
        <w:t> </w:t>
      </w:r>
      <w:bookmarkStart w:id="30" w:name="_Hlk41568743"/>
      <w:r w:rsidRPr="003F4F9D">
        <w:rPr>
          <w:lang w:val="fr-FR"/>
        </w:rPr>
        <w:t>En cas de doute sur la qualité des soudures, y compris les soudures faites pour réparer tout défaut révélé par les contrôles non destructifs, des contrôles supplémentaires peuvent être exigés.</w:t>
      </w:r>
      <w:bookmarkEnd w:id="30"/>
      <w:r w:rsidR="00377944">
        <w:rPr>
          <w:lang w:val="fr-FR"/>
        </w:rPr>
        <w:t> </w:t>
      </w:r>
      <w:r w:rsidRPr="003F4F9D">
        <w:rPr>
          <w:lang w:val="fr-FR"/>
        </w:rPr>
        <w:t>»</w:t>
      </w:r>
    </w:p>
    <w:p w14:paraId="18B0B491" w14:textId="659BA4B5" w:rsidR="00C626B2" w:rsidRPr="00880F9A" w:rsidRDefault="00C626B2" w:rsidP="00C626B2">
      <w:pPr>
        <w:spacing w:after="120"/>
        <w:ind w:left="2268" w:right="561" w:hanging="1134"/>
        <w:jc w:val="both"/>
        <w:rPr>
          <w:lang w:val="fr-FR"/>
        </w:rPr>
      </w:pPr>
      <w:r w:rsidRPr="00880F9A">
        <w:rPr>
          <w:lang w:val="fr-FR"/>
        </w:rPr>
        <w:t>6.8.2.3.1</w:t>
      </w:r>
      <w:r w:rsidRPr="00880F9A">
        <w:rPr>
          <w:lang w:val="fr-FR"/>
        </w:rPr>
        <w:tab/>
      </w:r>
      <w:r w:rsidR="00880F9A" w:rsidRPr="003F4F9D">
        <w:rPr>
          <w:lang w:val="fr-FR"/>
        </w:rPr>
        <w:t>Au dernier paragraphe, remplacer «</w:t>
      </w:r>
      <w:r w:rsidR="00377944">
        <w:rPr>
          <w:lang w:val="fr-FR"/>
        </w:rPr>
        <w:t> </w:t>
      </w:r>
      <w:r w:rsidR="00880F9A" w:rsidRPr="003F4F9D">
        <w:rPr>
          <w:lang w:val="fr-FR"/>
        </w:rPr>
        <w:t>soupapes et autres équipements de service</w:t>
      </w:r>
      <w:r w:rsidR="00377944">
        <w:rPr>
          <w:lang w:val="fr-FR"/>
        </w:rPr>
        <w:t> </w:t>
      </w:r>
      <w:r w:rsidR="00880F9A" w:rsidRPr="003F4F9D">
        <w:rPr>
          <w:lang w:val="fr-FR"/>
        </w:rPr>
        <w:t>» par «</w:t>
      </w:r>
      <w:r w:rsidR="00377944">
        <w:rPr>
          <w:lang w:val="fr-FR"/>
        </w:rPr>
        <w:t> </w:t>
      </w:r>
      <w:bookmarkStart w:id="31" w:name="_Hlk41568787"/>
      <w:r w:rsidR="00880F9A" w:rsidRPr="003F4F9D">
        <w:rPr>
          <w:lang w:val="fr-FR"/>
        </w:rPr>
        <w:t>équipements de service</w:t>
      </w:r>
      <w:bookmarkEnd w:id="31"/>
      <w:r w:rsidR="00377944">
        <w:rPr>
          <w:lang w:val="fr-FR"/>
        </w:rPr>
        <w:t> </w:t>
      </w:r>
      <w:r w:rsidR="00880F9A" w:rsidRPr="003F4F9D">
        <w:rPr>
          <w:lang w:val="fr-FR"/>
        </w:rPr>
        <w:t>»</w:t>
      </w:r>
      <w:r w:rsidR="00433844">
        <w:rPr>
          <w:lang w:val="fr-FR"/>
        </w:rPr>
        <w:t>,</w:t>
      </w:r>
      <w:r w:rsidR="00880F9A" w:rsidRPr="003F4F9D">
        <w:rPr>
          <w:lang w:val="fr-FR"/>
        </w:rPr>
        <w:t xml:space="preserve"> deux fois.</w:t>
      </w:r>
    </w:p>
    <w:p w14:paraId="4E0BD1B4" w14:textId="0F853BED" w:rsidR="00C626B2" w:rsidRPr="00880F9A" w:rsidRDefault="00C626B2" w:rsidP="00C626B2">
      <w:pPr>
        <w:spacing w:after="120"/>
        <w:ind w:left="2268" w:right="561" w:hanging="1134"/>
        <w:jc w:val="both"/>
        <w:rPr>
          <w:lang w:val="fr-FR"/>
        </w:rPr>
      </w:pPr>
      <w:r w:rsidRPr="00880F9A">
        <w:rPr>
          <w:lang w:val="fr-FR"/>
        </w:rPr>
        <w:t>6.8.2.4.1</w:t>
      </w:r>
      <w:r w:rsidRPr="00880F9A">
        <w:rPr>
          <w:lang w:val="fr-FR"/>
        </w:rPr>
        <w:tab/>
      </w:r>
      <w:r w:rsidR="00880F9A" w:rsidRPr="003F4F9D">
        <w:rPr>
          <w:lang w:val="fr-FR"/>
        </w:rPr>
        <w:t>Remplacer «</w:t>
      </w:r>
      <w:r w:rsidR="00377944">
        <w:rPr>
          <w:lang w:val="fr-FR"/>
        </w:rPr>
        <w:t> </w:t>
      </w:r>
      <w:r w:rsidR="00880F9A" w:rsidRPr="003F4F9D">
        <w:rPr>
          <w:lang w:val="fr-FR"/>
        </w:rPr>
        <w:t>Les réservoirs et les équipements</w:t>
      </w:r>
      <w:r w:rsidR="00377944">
        <w:rPr>
          <w:lang w:val="fr-FR"/>
        </w:rPr>
        <w:t> </w:t>
      </w:r>
      <w:r w:rsidR="00880F9A" w:rsidRPr="003F4F9D">
        <w:rPr>
          <w:lang w:val="fr-FR"/>
        </w:rPr>
        <w:t>» par «</w:t>
      </w:r>
      <w:r w:rsidR="00377944">
        <w:rPr>
          <w:lang w:val="fr-FR"/>
        </w:rPr>
        <w:t> </w:t>
      </w:r>
      <w:bookmarkStart w:id="32" w:name="_Hlk41568824"/>
      <w:r w:rsidR="00880F9A" w:rsidRPr="003F4F9D">
        <w:rPr>
          <w:lang w:val="fr-FR"/>
        </w:rPr>
        <w:t>Les réservoirs et leurs équipements</w:t>
      </w:r>
      <w:bookmarkEnd w:id="32"/>
      <w:r w:rsidR="00377944">
        <w:rPr>
          <w:lang w:val="fr-FR"/>
        </w:rPr>
        <w:t> </w:t>
      </w:r>
      <w:r w:rsidR="00880F9A" w:rsidRPr="003F4F9D">
        <w:rPr>
          <w:lang w:val="fr-FR"/>
        </w:rPr>
        <w:t>».</w:t>
      </w:r>
    </w:p>
    <w:p w14:paraId="3678B49E" w14:textId="2C1FB8B9" w:rsidR="00C626B2" w:rsidRPr="00880F9A" w:rsidRDefault="00C626B2" w:rsidP="00C626B2">
      <w:pPr>
        <w:pStyle w:val="SingleTxtG"/>
        <w:ind w:left="2268" w:right="561" w:hanging="1134"/>
        <w:rPr>
          <w:lang w:val="fr-FR"/>
        </w:rPr>
      </w:pPr>
      <w:r w:rsidRPr="00593392">
        <w:rPr>
          <w:lang w:val="fr-FR"/>
        </w:rPr>
        <w:t xml:space="preserve">6.8.2.5.1 </w:t>
      </w:r>
      <w:r w:rsidRPr="00593392">
        <w:rPr>
          <w:lang w:val="fr-FR"/>
        </w:rPr>
        <w:tab/>
      </w:r>
      <w:r w:rsidR="00880F9A" w:rsidRPr="00593392">
        <w:rPr>
          <w:lang w:val="fr-FR"/>
        </w:rPr>
        <w:t>Au neuvième alinéa, supprimer «</w:t>
      </w:r>
      <w:r w:rsidR="00377944" w:rsidRPr="00593392">
        <w:rPr>
          <w:lang w:val="fr-FR"/>
        </w:rPr>
        <w:t> </w:t>
      </w:r>
      <w:r w:rsidR="00880F9A" w:rsidRPr="00593392">
        <w:rPr>
          <w:lang w:val="fr-FR"/>
        </w:rPr>
        <w:t>d’étanchéité</w:t>
      </w:r>
      <w:r w:rsidR="00377944" w:rsidRPr="00593392">
        <w:rPr>
          <w:lang w:val="fr-FR"/>
        </w:rPr>
        <w:t> </w:t>
      </w:r>
      <w:r w:rsidR="00880F9A" w:rsidRPr="00593392">
        <w:rPr>
          <w:lang w:val="fr-FR"/>
        </w:rPr>
        <w:t>».</w:t>
      </w:r>
    </w:p>
    <w:p w14:paraId="5AA542CB" w14:textId="298975B5" w:rsidR="00880F9A" w:rsidRPr="003F4F9D" w:rsidRDefault="00880F9A" w:rsidP="00880F9A">
      <w:pPr>
        <w:pStyle w:val="SingleTxtG"/>
        <w:ind w:left="2268" w:right="561" w:hanging="1134"/>
        <w:rPr>
          <w:lang w:val="fr-FR"/>
        </w:rPr>
      </w:pPr>
      <w:r w:rsidRPr="003F4F9D">
        <w:rPr>
          <w:lang w:val="fr-FR"/>
        </w:rPr>
        <w:t>6.8.2.6</w:t>
      </w:r>
      <w:r w:rsidRPr="003F4F9D">
        <w:rPr>
          <w:lang w:val="fr-FR"/>
        </w:rPr>
        <w:tab/>
        <w:t>Dans le titre, remplacer «</w:t>
      </w:r>
      <w:r w:rsidR="00377944">
        <w:rPr>
          <w:lang w:val="fr-FR"/>
        </w:rPr>
        <w:t> </w:t>
      </w:r>
      <w:r w:rsidRPr="003F4F9D">
        <w:rPr>
          <w:lang w:val="fr-FR"/>
        </w:rPr>
        <w:t>et éprouvées</w:t>
      </w:r>
      <w:r w:rsidR="00377944">
        <w:rPr>
          <w:lang w:val="fr-FR"/>
        </w:rPr>
        <w:t> </w:t>
      </w:r>
      <w:r w:rsidRPr="003F4F9D">
        <w:rPr>
          <w:lang w:val="fr-FR"/>
        </w:rPr>
        <w:t xml:space="preserve">» par </w:t>
      </w:r>
      <w:proofErr w:type="gramStart"/>
      <w:r w:rsidRPr="003F4F9D">
        <w:rPr>
          <w:lang w:val="fr-FR"/>
        </w:rPr>
        <w:t>«</w:t>
      </w:r>
      <w:r w:rsidR="00377944">
        <w:rPr>
          <w:lang w:val="fr-FR"/>
        </w:rPr>
        <w:t> </w:t>
      </w:r>
      <w:bookmarkStart w:id="33" w:name="_Hlk41569017"/>
      <w:r w:rsidRPr="003F4F9D">
        <w:rPr>
          <w:lang w:val="fr-FR"/>
        </w:rPr>
        <w:t>,</w:t>
      </w:r>
      <w:proofErr w:type="gramEnd"/>
      <w:r w:rsidRPr="003F4F9D">
        <w:rPr>
          <w:lang w:val="fr-FR"/>
        </w:rPr>
        <w:t xml:space="preserve"> contrôlées et éprouvées</w:t>
      </w:r>
      <w:bookmarkEnd w:id="33"/>
      <w:r w:rsidR="00377944">
        <w:rPr>
          <w:lang w:val="fr-FR"/>
        </w:rPr>
        <w:t> </w:t>
      </w:r>
      <w:r w:rsidRPr="003F4F9D">
        <w:rPr>
          <w:lang w:val="fr-FR"/>
        </w:rPr>
        <w:t>».</w:t>
      </w:r>
    </w:p>
    <w:p w14:paraId="1100571E" w14:textId="4385A14E" w:rsidR="00880F9A" w:rsidRPr="003F4F9D" w:rsidRDefault="00880F9A" w:rsidP="00880F9A">
      <w:pPr>
        <w:pStyle w:val="SingleTxtG"/>
        <w:ind w:left="2268" w:right="561" w:hanging="1134"/>
        <w:rPr>
          <w:lang w:val="fr-FR"/>
        </w:rPr>
      </w:pPr>
      <w:r w:rsidRPr="003F4F9D">
        <w:rPr>
          <w:lang w:val="fr-FR"/>
        </w:rPr>
        <w:t>6.8.2.7</w:t>
      </w:r>
      <w:r w:rsidRPr="003F4F9D">
        <w:rPr>
          <w:lang w:val="fr-FR"/>
        </w:rPr>
        <w:tab/>
        <w:t>Dans le titre, remplacer «</w:t>
      </w:r>
      <w:r w:rsidR="00377944">
        <w:rPr>
          <w:lang w:val="fr-FR"/>
        </w:rPr>
        <w:t> </w:t>
      </w:r>
      <w:r w:rsidRPr="003F4F9D">
        <w:rPr>
          <w:lang w:val="fr-FR"/>
        </w:rPr>
        <w:t>et éprouvées</w:t>
      </w:r>
      <w:r w:rsidR="00377944">
        <w:rPr>
          <w:lang w:val="fr-FR"/>
        </w:rPr>
        <w:t> </w:t>
      </w:r>
      <w:r w:rsidRPr="003F4F9D">
        <w:rPr>
          <w:lang w:val="fr-FR"/>
        </w:rPr>
        <w:t xml:space="preserve">» par </w:t>
      </w:r>
      <w:proofErr w:type="gramStart"/>
      <w:r w:rsidRPr="003F4F9D">
        <w:rPr>
          <w:lang w:val="fr-FR"/>
        </w:rPr>
        <w:t>«</w:t>
      </w:r>
      <w:r w:rsidR="00377944">
        <w:rPr>
          <w:lang w:val="fr-FR"/>
        </w:rPr>
        <w:t> </w:t>
      </w:r>
      <w:r w:rsidRPr="003F4F9D">
        <w:rPr>
          <w:lang w:val="fr-FR"/>
        </w:rPr>
        <w:t>,</w:t>
      </w:r>
      <w:proofErr w:type="gramEnd"/>
      <w:r w:rsidRPr="003F4F9D">
        <w:rPr>
          <w:lang w:val="fr-FR"/>
        </w:rPr>
        <w:t xml:space="preserve"> contrôlées et éprouvées</w:t>
      </w:r>
      <w:r w:rsidR="00377944">
        <w:rPr>
          <w:lang w:val="fr-FR"/>
        </w:rPr>
        <w:t> </w:t>
      </w:r>
      <w:r w:rsidRPr="003F4F9D">
        <w:rPr>
          <w:lang w:val="fr-FR"/>
        </w:rPr>
        <w:t>».</w:t>
      </w:r>
    </w:p>
    <w:p w14:paraId="551AC68E" w14:textId="436F02AC" w:rsidR="00880F9A" w:rsidRPr="003F4F9D" w:rsidRDefault="00880F9A" w:rsidP="00880F9A">
      <w:pPr>
        <w:pStyle w:val="SingleTxtG"/>
        <w:ind w:left="2268" w:right="561" w:hanging="1134"/>
        <w:rPr>
          <w:lang w:val="fr-FR"/>
        </w:rPr>
      </w:pPr>
      <w:r w:rsidRPr="003F4F9D">
        <w:rPr>
          <w:lang w:val="fr-FR"/>
        </w:rPr>
        <w:t>6.8.3.6</w:t>
      </w:r>
      <w:r w:rsidRPr="003F4F9D">
        <w:rPr>
          <w:lang w:val="fr-FR"/>
        </w:rPr>
        <w:tab/>
        <w:t>Dans le titre, remplacer «</w:t>
      </w:r>
      <w:r w:rsidR="00377944">
        <w:rPr>
          <w:lang w:val="fr-FR"/>
        </w:rPr>
        <w:t> </w:t>
      </w:r>
      <w:r w:rsidRPr="003F4F9D">
        <w:rPr>
          <w:lang w:val="fr-FR"/>
        </w:rPr>
        <w:t>et éprouvés</w:t>
      </w:r>
      <w:r w:rsidR="00377944">
        <w:rPr>
          <w:lang w:val="fr-FR"/>
        </w:rPr>
        <w:t> </w:t>
      </w:r>
      <w:r w:rsidRPr="003F4F9D">
        <w:rPr>
          <w:lang w:val="fr-FR"/>
        </w:rPr>
        <w:t xml:space="preserve">» par </w:t>
      </w:r>
      <w:proofErr w:type="gramStart"/>
      <w:r w:rsidRPr="003F4F9D">
        <w:rPr>
          <w:lang w:val="fr-FR"/>
        </w:rPr>
        <w:t>«</w:t>
      </w:r>
      <w:r w:rsidR="00377944">
        <w:rPr>
          <w:lang w:val="fr-FR"/>
        </w:rPr>
        <w:t> </w:t>
      </w:r>
      <w:bookmarkStart w:id="34" w:name="_Hlk41569090"/>
      <w:r w:rsidRPr="003F4F9D">
        <w:rPr>
          <w:lang w:val="fr-FR"/>
        </w:rPr>
        <w:t>,</w:t>
      </w:r>
      <w:proofErr w:type="gramEnd"/>
      <w:r w:rsidRPr="003F4F9D">
        <w:rPr>
          <w:lang w:val="fr-FR"/>
        </w:rPr>
        <w:t xml:space="preserve"> contrôlés et éprouvés</w:t>
      </w:r>
      <w:bookmarkEnd w:id="34"/>
      <w:r w:rsidR="00377944">
        <w:rPr>
          <w:lang w:val="fr-FR"/>
        </w:rPr>
        <w:t> </w:t>
      </w:r>
      <w:r w:rsidRPr="003F4F9D">
        <w:rPr>
          <w:lang w:val="fr-FR"/>
        </w:rPr>
        <w:t>».</w:t>
      </w:r>
    </w:p>
    <w:p w14:paraId="7F401950" w14:textId="75F8CD09" w:rsidR="00880F9A" w:rsidRPr="003F4F9D" w:rsidRDefault="00880F9A" w:rsidP="00880F9A">
      <w:pPr>
        <w:pStyle w:val="SingleTxtG"/>
        <w:ind w:left="2268" w:right="561" w:hanging="1134"/>
        <w:rPr>
          <w:lang w:val="fr-FR"/>
        </w:rPr>
      </w:pPr>
      <w:r w:rsidRPr="003F4F9D">
        <w:rPr>
          <w:lang w:val="fr-FR"/>
        </w:rPr>
        <w:t>6.8.3.7</w:t>
      </w:r>
      <w:r w:rsidRPr="003F4F9D">
        <w:rPr>
          <w:lang w:val="fr-FR"/>
        </w:rPr>
        <w:tab/>
        <w:t>Dans le titre, remplacer «</w:t>
      </w:r>
      <w:r w:rsidR="00377944">
        <w:rPr>
          <w:lang w:val="fr-FR"/>
        </w:rPr>
        <w:t> </w:t>
      </w:r>
      <w:r w:rsidRPr="003F4F9D">
        <w:rPr>
          <w:lang w:val="fr-FR"/>
        </w:rPr>
        <w:t>et éprouvés</w:t>
      </w:r>
      <w:r w:rsidR="00377944">
        <w:rPr>
          <w:lang w:val="fr-FR"/>
        </w:rPr>
        <w:t> </w:t>
      </w:r>
      <w:r w:rsidRPr="003F4F9D">
        <w:rPr>
          <w:lang w:val="fr-FR"/>
        </w:rPr>
        <w:t xml:space="preserve">» par </w:t>
      </w:r>
      <w:proofErr w:type="gramStart"/>
      <w:r w:rsidRPr="003F4F9D">
        <w:rPr>
          <w:lang w:val="fr-FR"/>
        </w:rPr>
        <w:t>«</w:t>
      </w:r>
      <w:r w:rsidR="00377944">
        <w:rPr>
          <w:lang w:val="fr-FR"/>
        </w:rPr>
        <w:t> </w:t>
      </w:r>
      <w:r w:rsidRPr="003F4F9D">
        <w:rPr>
          <w:lang w:val="fr-FR"/>
        </w:rPr>
        <w:t>,</w:t>
      </w:r>
      <w:proofErr w:type="gramEnd"/>
      <w:r w:rsidRPr="003F4F9D">
        <w:rPr>
          <w:lang w:val="fr-FR"/>
        </w:rPr>
        <w:t xml:space="preserve"> contrôlés et éprouvés</w:t>
      </w:r>
      <w:r w:rsidR="00377944">
        <w:rPr>
          <w:lang w:val="fr-FR"/>
        </w:rPr>
        <w:t> </w:t>
      </w:r>
      <w:r w:rsidRPr="003F4F9D">
        <w:rPr>
          <w:lang w:val="fr-FR"/>
        </w:rPr>
        <w:t>».</w:t>
      </w:r>
    </w:p>
    <w:p w14:paraId="76E46610" w14:textId="1EBEB81C" w:rsidR="00C626B2" w:rsidRPr="00880F9A" w:rsidRDefault="00C626B2" w:rsidP="00091E38">
      <w:pPr>
        <w:pStyle w:val="H1G"/>
        <w:rPr>
          <w:lang w:val="fr-FR"/>
        </w:rPr>
      </w:pPr>
      <w:r w:rsidRPr="00880F9A">
        <w:rPr>
          <w:lang w:val="fr-FR"/>
        </w:rPr>
        <w:tab/>
        <w:t>III.</w:t>
      </w:r>
      <w:r w:rsidRPr="00880F9A">
        <w:rPr>
          <w:lang w:val="fr-FR"/>
        </w:rPr>
        <w:tab/>
      </w:r>
      <w:r w:rsidR="00B937EA" w:rsidRPr="00B937EA">
        <w:rPr>
          <w:lang w:val="fr-FR"/>
        </w:rPr>
        <w:t>Projets d'amendements proposés par le groupe de travail sur les normes</w:t>
      </w:r>
    </w:p>
    <w:p w14:paraId="332C742A" w14:textId="77777777" w:rsidR="00C626B2" w:rsidRPr="00091E38" w:rsidRDefault="00C626B2" w:rsidP="00091E38">
      <w:pPr>
        <w:pStyle w:val="H23G"/>
        <w:rPr>
          <w:rFonts w:eastAsia="MS Mincho"/>
          <w:lang w:val="fr-FR"/>
        </w:rPr>
      </w:pPr>
      <w:bookmarkStart w:id="35" w:name="_Hlk38358140"/>
      <w:r w:rsidRPr="00091E38">
        <w:rPr>
          <w:rFonts w:eastAsia="MS Mincho"/>
          <w:lang w:val="fr-FR"/>
        </w:rPr>
        <w:tab/>
      </w:r>
      <w:r w:rsidRPr="00091E38">
        <w:rPr>
          <w:rFonts w:eastAsia="MS Mincho"/>
          <w:lang w:val="fr-FR"/>
        </w:rPr>
        <w:tab/>
        <w:t>Chapitre 3.3</w:t>
      </w:r>
    </w:p>
    <w:p w14:paraId="4B714EF1" w14:textId="7A17E9DD" w:rsidR="00C626B2" w:rsidRPr="00880F9A" w:rsidRDefault="00880F9A" w:rsidP="00C626B2">
      <w:pPr>
        <w:pStyle w:val="SingleTxtG"/>
        <w:ind w:left="2259" w:hanging="1125"/>
        <w:rPr>
          <w:bCs/>
          <w:lang w:val="fr-FR"/>
        </w:rPr>
      </w:pPr>
      <w:r>
        <w:rPr>
          <w:bCs/>
          <w:lang w:val="fr-FR"/>
        </w:rPr>
        <w:t>Disposition spéciale</w:t>
      </w:r>
      <w:r w:rsidR="00C626B2" w:rsidRPr="00880F9A">
        <w:rPr>
          <w:bCs/>
          <w:lang w:val="fr-FR"/>
        </w:rPr>
        <w:t xml:space="preserve"> 658</w:t>
      </w:r>
    </w:p>
    <w:p w14:paraId="54EE4BAA" w14:textId="5C0409AB" w:rsidR="00C626B2" w:rsidRPr="00880F9A" w:rsidRDefault="00C626B2" w:rsidP="00C626B2">
      <w:pPr>
        <w:pStyle w:val="SingleTxtG"/>
        <w:ind w:left="2259" w:hanging="1125"/>
        <w:rPr>
          <w:bCs/>
          <w:lang w:val="fr-FR"/>
        </w:rPr>
      </w:pPr>
      <w:r w:rsidRPr="00880F9A">
        <w:rPr>
          <w:bCs/>
          <w:lang w:val="fr-FR"/>
        </w:rPr>
        <w:tab/>
      </w:r>
      <w:r w:rsidR="008A7D13" w:rsidRPr="00C02548">
        <w:rPr>
          <w:lang w:val="fr-FR"/>
        </w:rPr>
        <w:t>Re</w:t>
      </w:r>
      <w:r w:rsidR="008A7D13">
        <w:rPr>
          <w:lang w:val="fr-FR"/>
        </w:rPr>
        <w:t>m</w:t>
      </w:r>
      <w:r w:rsidR="008A7D13" w:rsidRPr="00C02548">
        <w:rPr>
          <w:lang w:val="fr-FR"/>
        </w:rPr>
        <w:t>place</w:t>
      </w:r>
      <w:r w:rsidR="008A7D13">
        <w:rPr>
          <w:lang w:val="fr-FR"/>
        </w:rPr>
        <w:t>r</w:t>
      </w:r>
      <w:r w:rsidR="008A7D13" w:rsidRPr="00C02548">
        <w:rPr>
          <w:lang w:val="fr-FR"/>
        </w:rPr>
        <w:t xml:space="preserve"> </w:t>
      </w:r>
      <w:r w:rsidR="008A7D13">
        <w:rPr>
          <w:lang w:val="fr-FR"/>
        </w:rPr>
        <w:t>« </w:t>
      </w:r>
      <w:r w:rsidR="008A7D13" w:rsidRPr="00C02548">
        <w:rPr>
          <w:lang w:val="fr-FR"/>
        </w:rPr>
        <w:t xml:space="preserve">EN ISO </w:t>
      </w:r>
      <w:proofErr w:type="gramStart"/>
      <w:r w:rsidR="008A7D13" w:rsidRPr="00C02548">
        <w:rPr>
          <w:lang w:val="fr-FR"/>
        </w:rPr>
        <w:t>9994:</w:t>
      </w:r>
      <w:proofErr w:type="gramEnd"/>
      <w:r w:rsidR="008A7D13" w:rsidRPr="00C02548">
        <w:rPr>
          <w:lang w:val="fr-FR"/>
        </w:rPr>
        <w:t>2006 + A1:2008</w:t>
      </w:r>
      <w:r w:rsidR="008A7D13">
        <w:rPr>
          <w:lang w:val="fr-FR"/>
        </w:rPr>
        <w:t> »</w:t>
      </w:r>
      <w:r w:rsidR="008A7D13" w:rsidRPr="00C02548">
        <w:rPr>
          <w:lang w:val="fr-FR"/>
        </w:rPr>
        <w:t xml:space="preserve"> </w:t>
      </w:r>
      <w:r w:rsidR="008A7D13">
        <w:rPr>
          <w:lang w:val="fr-FR"/>
        </w:rPr>
        <w:t>par</w:t>
      </w:r>
      <w:r w:rsidR="008A7D13" w:rsidRPr="00C02548">
        <w:rPr>
          <w:lang w:val="fr-FR"/>
        </w:rPr>
        <w:t xml:space="preserve"> </w:t>
      </w:r>
      <w:r w:rsidR="008A7D13">
        <w:rPr>
          <w:lang w:val="fr-FR"/>
        </w:rPr>
        <w:t>« </w:t>
      </w:r>
      <w:bookmarkStart w:id="36" w:name="_Hlk41569594"/>
      <w:r w:rsidR="008A7D13" w:rsidRPr="00C02548">
        <w:rPr>
          <w:lang w:val="fr-FR"/>
        </w:rPr>
        <w:t>EN ISO 9994:2019</w:t>
      </w:r>
      <w:bookmarkEnd w:id="36"/>
      <w:r w:rsidR="008A7D13">
        <w:rPr>
          <w:lang w:val="fr-FR"/>
        </w:rPr>
        <w:t> »</w:t>
      </w:r>
      <w:r w:rsidR="008A7D13" w:rsidRPr="00C02548">
        <w:rPr>
          <w:lang w:val="fr-FR"/>
        </w:rPr>
        <w:t>.</w:t>
      </w:r>
    </w:p>
    <w:p w14:paraId="54D9A9F9" w14:textId="77777777" w:rsidR="00C626B2" w:rsidRPr="00091E38" w:rsidRDefault="00C626B2" w:rsidP="00091E38">
      <w:pPr>
        <w:pStyle w:val="H23G"/>
        <w:rPr>
          <w:rFonts w:eastAsia="MS Mincho"/>
          <w:lang w:val="fr-FR"/>
        </w:rPr>
      </w:pPr>
      <w:r w:rsidRPr="00091E38">
        <w:rPr>
          <w:rFonts w:eastAsia="MS Mincho"/>
          <w:lang w:val="fr-FR"/>
        </w:rPr>
        <w:tab/>
      </w:r>
      <w:r w:rsidRPr="00091E38">
        <w:rPr>
          <w:rFonts w:eastAsia="MS Mincho"/>
          <w:lang w:val="fr-FR"/>
        </w:rPr>
        <w:tab/>
        <w:t>Chapitre 4.1</w:t>
      </w:r>
    </w:p>
    <w:p w14:paraId="3D5AA0E8" w14:textId="55547BC5" w:rsidR="00C626B2" w:rsidRPr="00880F9A" w:rsidRDefault="00C626B2" w:rsidP="00C626B2">
      <w:pPr>
        <w:pStyle w:val="SingleTxtG"/>
        <w:ind w:left="2268" w:hanging="1134"/>
        <w:rPr>
          <w:lang w:val="fr-FR"/>
        </w:rPr>
      </w:pPr>
      <w:r w:rsidRPr="00880F9A">
        <w:rPr>
          <w:lang w:val="fr-FR"/>
        </w:rPr>
        <w:t>4.1.4.1, P200 11)</w:t>
      </w:r>
    </w:p>
    <w:p w14:paraId="29A3F88F" w14:textId="11D0508F" w:rsidR="008A7D13" w:rsidRPr="00C02548" w:rsidRDefault="00C626B2" w:rsidP="008A7D13">
      <w:pPr>
        <w:pStyle w:val="Bullet1G"/>
        <w:tabs>
          <w:tab w:val="clear" w:pos="1701"/>
        </w:tabs>
        <w:ind w:left="2268"/>
        <w:rPr>
          <w:lang w:val="fr-FR"/>
        </w:rPr>
      </w:pPr>
      <w:r w:rsidRPr="00880F9A">
        <w:rPr>
          <w:lang w:val="fr-FR"/>
        </w:rPr>
        <w:tab/>
      </w:r>
      <w:r w:rsidR="008A7D13">
        <w:rPr>
          <w:lang w:val="fr-FR"/>
        </w:rPr>
        <w:t>Dans la ligne pour « </w:t>
      </w:r>
      <w:r w:rsidR="008A7D13" w:rsidRPr="00C02548">
        <w:rPr>
          <w:lang w:val="fr-FR"/>
        </w:rPr>
        <w:t xml:space="preserve">7) a) </w:t>
      </w:r>
      <w:r w:rsidR="008A7D13">
        <w:rPr>
          <w:lang w:val="fr-FR"/>
        </w:rPr>
        <w:t xml:space="preserve">et </w:t>
      </w:r>
      <w:r w:rsidR="008A7D13" w:rsidRPr="00C02548">
        <w:rPr>
          <w:lang w:val="fr-FR"/>
        </w:rPr>
        <w:t xml:space="preserve">10) p) ISO </w:t>
      </w:r>
      <w:proofErr w:type="gramStart"/>
      <w:r w:rsidR="008A7D13" w:rsidRPr="00C02548">
        <w:rPr>
          <w:lang w:val="fr-FR"/>
        </w:rPr>
        <w:t>11372:</w:t>
      </w:r>
      <w:proofErr w:type="gramEnd"/>
      <w:r w:rsidR="008A7D13" w:rsidRPr="00C02548">
        <w:rPr>
          <w:lang w:val="fr-FR"/>
        </w:rPr>
        <w:t>2011</w:t>
      </w:r>
      <w:r w:rsidR="008A7D13">
        <w:rPr>
          <w:lang w:val="fr-FR"/>
        </w:rPr>
        <w:t> »</w:t>
      </w:r>
      <w:r w:rsidR="008A7D13" w:rsidRPr="00C02548">
        <w:rPr>
          <w:lang w:val="fr-FR"/>
        </w:rPr>
        <w:t xml:space="preserve">, </w:t>
      </w:r>
      <w:r w:rsidR="008A7D13">
        <w:rPr>
          <w:lang w:val="fr-FR"/>
        </w:rPr>
        <w:t>remplacer</w:t>
      </w:r>
      <w:r w:rsidR="008A7D13" w:rsidRPr="00C02548">
        <w:rPr>
          <w:lang w:val="fr-FR"/>
        </w:rPr>
        <w:t xml:space="preserve"> </w:t>
      </w:r>
      <w:r w:rsidR="008A7D13">
        <w:rPr>
          <w:lang w:val="fr-FR"/>
        </w:rPr>
        <w:t>« </w:t>
      </w:r>
      <w:r w:rsidR="008A7D13" w:rsidRPr="00C02548">
        <w:rPr>
          <w:lang w:val="fr-FR"/>
        </w:rPr>
        <w:t>ISO 11372:2011</w:t>
      </w:r>
      <w:r w:rsidR="008A7D13">
        <w:rPr>
          <w:lang w:val="fr-FR"/>
        </w:rPr>
        <w:t> »</w:t>
      </w:r>
      <w:r w:rsidR="008A7D13" w:rsidRPr="00C02548">
        <w:rPr>
          <w:lang w:val="fr-FR"/>
        </w:rPr>
        <w:t xml:space="preserve"> </w:t>
      </w:r>
      <w:r w:rsidR="008A7D13">
        <w:rPr>
          <w:lang w:val="fr-FR"/>
        </w:rPr>
        <w:t>par</w:t>
      </w:r>
      <w:r w:rsidR="008A7D13" w:rsidRPr="00C02548">
        <w:rPr>
          <w:lang w:val="fr-FR"/>
        </w:rPr>
        <w:t xml:space="preserve"> </w:t>
      </w:r>
      <w:r w:rsidR="008A7D13">
        <w:rPr>
          <w:lang w:val="fr-FR"/>
        </w:rPr>
        <w:t>« </w:t>
      </w:r>
      <w:r w:rsidR="008A7D13" w:rsidRPr="00C02548">
        <w:rPr>
          <w:lang w:val="fr-FR"/>
        </w:rPr>
        <w:t>EN ISO 11372:2011</w:t>
      </w:r>
      <w:r w:rsidR="008A7D13">
        <w:rPr>
          <w:lang w:val="fr-FR"/>
        </w:rPr>
        <w:t> »</w:t>
      </w:r>
      <w:r w:rsidR="008A7D13" w:rsidRPr="00C02548">
        <w:rPr>
          <w:lang w:val="fr-FR"/>
        </w:rPr>
        <w:t xml:space="preserve"> </w:t>
      </w:r>
      <w:r w:rsidR="008A7D13">
        <w:rPr>
          <w:lang w:val="fr-FR"/>
        </w:rPr>
        <w:t>et</w:t>
      </w:r>
      <w:r w:rsidR="008A7D13" w:rsidRPr="00C02548">
        <w:rPr>
          <w:lang w:val="fr-FR"/>
        </w:rPr>
        <w:t xml:space="preserve"> </w:t>
      </w:r>
      <w:r w:rsidR="008A7D13">
        <w:rPr>
          <w:lang w:val="fr-FR"/>
        </w:rPr>
        <w:t>supprimer</w:t>
      </w:r>
      <w:r w:rsidR="008A7D13" w:rsidRPr="00C02548">
        <w:rPr>
          <w:lang w:val="fr-FR"/>
        </w:rPr>
        <w:t xml:space="preserve"> </w:t>
      </w:r>
      <w:r w:rsidR="008A7D13">
        <w:rPr>
          <w:lang w:val="fr-FR"/>
        </w:rPr>
        <w:t>le</w:t>
      </w:r>
      <w:r w:rsidR="008A7D13" w:rsidRPr="00C02548">
        <w:rPr>
          <w:lang w:val="fr-FR"/>
        </w:rPr>
        <w:t xml:space="preserve"> </w:t>
      </w:r>
      <w:r w:rsidR="008A7D13">
        <w:rPr>
          <w:lang w:val="fr-FR"/>
        </w:rPr>
        <w:t>Nota</w:t>
      </w:r>
      <w:r w:rsidR="008A7D13" w:rsidRPr="00C02548">
        <w:rPr>
          <w:lang w:val="fr-FR"/>
        </w:rPr>
        <w:t xml:space="preserve"> </w:t>
      </w:r>
      <w:r w:rsidR="008A7D13">
        <w:rPr>
          <w:lang w:val="fr-FR"/>
        </w:rPr>
        <w:t>dans la</w:t>
      </w:r>
      <w:r w:rsidR="008A7D13" w:rsidRPr="00C02548">
        <w:rPr>
          <w:lang w:val="fr-FR"/>
        </w:rPr>
        <w:t xml:space="preserve"> </w:t>
      </w:r>
      <w:r w:rsidR="008A7D13">
        <w:rPr>
          <w:lang w:val="fr-FR"/>
        </w:rPr>
        <w:t>colonne</w:t>
      </w:r>
      <w:r w:rsidR="008A7D13" w:rsidRPr="00C02548">
        <w:rPr>
          <w:lang w:val="fr-FR"/>
        </w:rPr>
        <w:t xml:space="preserve"> </w:t>
      </w:r>
      <w:r w:rsidR="008A7D13">
        <w:rPr>
          <w:lang w:val="fr-FR"/>
        </w:rPr>
        <w:t>« </w:t>
      </w:r>
      <w:r w:rsidR="008A7D13" w:rsidRPr="00C02548">
        <w:rPr>
          <w:lang w:val="fr-FR"/>
        </w:rPr>
        <w:t>Tit</w:t>
      </w:r>
      <w:r w:rsidR="008A7D13">
        <w:rPr>
          <w:lang w:val="fr-FR"/>
        </w:rPr>
        <w:t>re</w:t>
      </w:r>
      <w:r w:rsidR="008A7D13" w:rsidRPr="00C02548">
        <w:rPr>
          <w:lang w:val="fr-FR"/>
        </w:rPr>
        <w:t xml:space="preserve"> </w:t>
      </w:r>
      <w:r w:rsidR="008A7D13">
        <w:rPr>
          <w:lang w:val="fr-FR"/>
        </w:rPr>
        <w:t>du</w:t>
      </w:r>
      <w:r w:rsidR="008A7D13" w:rsidRPr="00C02548">
        <w:rPr>
          <w:lang w:val="fr-FR"/>
        </w:rPr>
        <w:t xml:space="preserve"> document</w:t>
      </w:r>
      <w:r w:rsidR="008A7D13">
        <w:rPr>
          <w:lang w:val="fr-FR"/>
        </w:rPr>
        <w:t> »</w:t>
      </w:r>
      <w:r w:rsidR="008A7D13" w:rsidRPr="00C02548">
        <w:rPr>
          <w:i/>
          <w:iCs/>
          <w:lang w:val="fr-FR"/>
        </w:rPr>
        <w:t>.</w:t>
      </w:r>
    </w:p>
    <w:p w14:paraId="7E115FD9" w14:textId="070CE41B" w:rsidR="00C626B2" w:rsidRPr="008A7D13" w:rsidRDefault="008A7D13" w:rsidP="008A7D13">
      <w:pPr>
        <w:pStyle w:val="Bullet1G"/>
        <w:tabs>
          <w:tab w:val="clear" w:pos="1701"/>
        </w:tabs>
        <w:ind w:left="2268"/>
        <w:rPr>
          <w:lang w:val="fr-FR"/>
        </w:rPr>
      </w:pPr>
      <w:r w:rsidRPr="00C02548">
        <w:rPr>
          <w:lang w:val="fr-FR"/>
        </w:rPr>
        <w:tab/>
      </w:r>
      <w:r>
        <w:rPr>
          <w:lang w:val="fr-FR"/>
        </w:rPr>
        <w:t>Dans la ligne pour</w:t>
      </w:r>
      <w:r w:rsidRPr="00C02548">
        <w:rPr>
          <w:lang w:val="fr-FR"/>
        </w:rPr>
        <w:t xml:space="preserve"> </w:t>
      </w:r>
      <w:r>
        <w:rPr>
          <w:lang w:val="fr-FR"/>
        </w:rPr>
        <w:t>« </w:t>
      </w:r>
      <w:r w:rsidRPr="00C02548">
        <w:rPr>
          <w:lang w:val="fr-FR"/>
        </w:rPr>
        <w:t xml:space="preserve">7) a) </w:t>
      </w:r>
      <w:r>
        <w:rPr>
          <w:lang w:val="fr-FR"/>
        </w:rPr>
        <w:t>et</w:t>
      </w:r>
      <w:r w:rsidRPr="00C02548">
        <w:rPr>
          <w:lang w:val="fr-FR"/>
        </w:rPr>
        <w:t xml:space="preserve"> 10) p) ISO </w:t>
      </w:r>
      <w:proofErr w:type="gramStart"/>
      <w:r w:rsidRPr="00C02548">
        <w:rPr>
          <w:lang w:val="fr-FR"/>
        </w:rPr>
        <w:t>13088:</w:t>
      </w:r>
      <w:proofErr w:type="gramEnd"/>
      <w:r w:rsidRPr="00C02548">
        <w:rPr>
          <w:lang w:val="fr-FR"/>
        </w:rPr>
        <w:t>2011</w:t>
      </w:r>
      <w:r>
        <w:rPr>
          <w:lang w:val="fr-FR"/>
        </w:rPr>
        <w:t> »</w:t>
      </w:r>
      <w:r w:rsidRPr="00C02548">
        <w:rPr>
          <w:lang w:val="fr-FR"/>
        </w:rPr>
        <w:t xml:space="preserve">, </w:t>
      </w:r>
      <w:r>
        <w:rPr>
          <w:lang w:val="fr-FR"/>
        </w:rPr>
        <w:t>remplacer</w:t>
      </w:r>
      <w:r w:rsidRPr="00C02548">
        <w:rPr>
          <w:lang w:val="fr-FR"/>
        </w:rPr>
        <w:t xml:space="preserve"> </w:t>
      </w:r>
      <w:r>
        <w:rPr>
          <w:lang w:val="fr-FR"/>
        </w:rPr>
        <w:t>« </w:t>
      </w:r>
      <w:r w:rsidRPr="00C02548">
        <w:rPr>
          <w:lang w:val="fr-FR"/>
        </w:rPr>
        <w:t>ISO 13088:2011</w:t>
      </w:r>
      <w:r>
        <w:rPr>
          <w:lang w:val="fr-FR"/>
        </w:rPr>
        <w:t> »</w:t>
      </w:r>
      <w:r w:rsidRPr="00C02548">
        <w:rPr>
          <w:lang w:val="fr-FR"/>
        </w:rPr>
        <w:t xml:space="preserve"> </w:t>
      </w:r>
      <w:r>
        <w:rPr>
          <w:lang w:val="fr-FR"/>
        </w:rPr>
        <w:t>par</w:t>
      </w:r>
      <w:r w:rsidRPr="00C02548">
        <w:rPr>
          <w:lang w:val="fr-FR"/>
        </w:rPr>
        <w:t xml:space="preserve"> </w:t>
      </w:r>
      <w:r>
        <w:rPr>
          <w:lang w:val="fr-FR"/>
        </w:rPr>
        <w:t>« </w:t>
      </w:r>
      <w:r w:rsidRPr="00C02548">
        <w:rPr>
          <w:lang w:val="fr-FR"/>
        </w:rPr>
        <w:t>EN ISO 13088:2011</w:t>
      </w:r>
      <w:r>
        <w:rPr>
          <w:lang w:val="fr-FR"/>
        </w:rPr>
        <w:t> »</w:t>
      </w:r>
      <w:r w:rsidRPr="00C02548">
        <w:rPr>
          <w:lang w:val="fr-FR"/>
        </w:rPr>
        <w:t xml:space="preserve"> </w:t>
      </w:r>
      <w:r>
        <w:rPr>
          <w:lang w:val="fr-FR"/>
        </w:rPr>
        <w:t>et</w:t>
      </w:r>
      <w:r w:rsidRPr="00C02548">
        <w:rPr>
          <w:lang w:val="fr-FR"/>
        </w:rPr>
        <w:t xml:space="preserve"> </w:t>
      </w:r>
      <w:r>
        <w:rPr>
          <w:lang w:val="fr-FR"/>
        </w:rPr>
        <w:t>supprimer</w:t>
      </w:r>
      <w:r w:rsidRPr="00C02548">
        <w:rPr>
          <w:lang w:val="fr-FR"/>
        </w:rPr>
        <w:t xml:space="preserve"> </w:t>
      </w:r>
      <w:r>
        <w:rPr>
          <w:lang w:val="fr-FR"/>
        </w:rPr>
        <w:t>le</w:t>
      </w:r>
      <w:r w:rsidRPr="00C02548">
        <w:rPr>
          <w:lang w:val="fr-FR"/>
        </w:rPr>
        <w:t xml:space="preserve"> </w:t>
      </w:r>
      <w:r>
        <w:rPr>
          <w:lang w:val="fr-FR"/>
        </w:rPr>
        <w:t>Nota</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w:t>
      </w:r>
      <w:r>
        <w:rPr>
          <w:lang w:val="fr-FR"/>
        </w:rPr>
        <w:t>« </w:t>
      </w:r>
      <w:r w:rsidRPr="00C02548">
        <w:rPr>
          <w:lang w:val="fr-FR"/>
        </w:rPr>
        <w:t>Tit</w:t>
      </w:r>
      <w:r>
        <w:rPr>
          <w:lang w:val="fr-FR"/>
        </w:rPr>
        <w:t>re</w:t>
      </w:r>
      <w:r w:rsidRPr="00C02548">
        <w:rPr>
          <w:lang w:val="fr-FR"/>
        </w:rPr>
        <w:t xml:space="preserve"> </w:t>
      </w:r>
      <w:r>
        <w:rPr>
          <w:lang w:val="fr-FR"/>
        </w:rPr>
        <w:t>du</w:t>
      </w:r>
      <w:r w:rsidRPr="00C02548">
        <w:rPr>
          <w:lang w:val="fr-FR"/>
        </w:rPr>
        <w:t xml:space="preserve"> document</w:t>
      </w:r>
      <w:r>
        <w:rPr>
          <w:lang w:val="fr-FR"/>
        </w:rPr>
        <w:t> »</w:t>
      </w:r>
      <w:r w:rsidRPr="00C02548">
        <w:rPr>
          <w:i/>
          <w:iCs/>
          <w:lang w:val="fr-FR"/>
        </w:rPr>
        <w:t>.</w:t>
      </w:r>
    </w:p>
    <w:p w14:paraId="7B9707BB" w14:textId="14979D2E" w:rsidR="00C626B2" w:rsidRPr="00880F9A" w:rsidRDefault="00C626B2" w:rsidP="00C626B2">
      <w:pPr>
        <w:pStyle w:val="SingleTxtG"/>
        <w:ind w:left="2268" w:hanging="1134"/>
        <w:rPr>
          <w:lang w:val="fr-FR"/>
        </w:rPr>
      </w:pPr>
      <w:r w:rsidRPr="00880F9A">
        <w:rPr>
          <w:lang w:val="fr-FR"/>
        </w:rPr>
        <w:t>4.1.4.1, P200 12) 3.4</w:t>
      </w:r>
    </w:p>
    <w:p w14:paraId="1559AFC3" w14:textId="77777777" w:rsidR="008A7D13" w:rsidRPr="00C02548" w:rsidRDefault="008A7D13" w:rsidP="008A7D13">
      <w:pPr>
        <w:pStyle w:val="SingleTxtG"/>
        <w:ind w:left="2268" w:hanging="852"/>
        <w:rPr>
          <w:lang w:val="fr-FR"/>
        </w:rPr>
      </w:pPr>
      <w:r w:rsidRPr="00C02548">
        <w:rPr>
          <w:lang w:val="fr-FR"/>
        </w:rPr>
        <w:tab/>
      </w:r>
      <w:r>
        <w:rPr>
          <w:lang w:val="fr-FR"/>
        </w:rPr>
        <w:t>Remplacer</w:t>
      </w:r>
      <w:r w:rsidRPr="00C02548">
        <w:rPr>
          <w:lang w:val="fr-FR"/>
        </w:rPr>
        <w:t xml:space="preserve"> </w:t>
      </w:r>
      <w:r>
        <w:rPr>
          <w:lang w:val="fr-FR"/>
        </w:rPr>
        <w:t>« </w:t>
      </w:r>
      <w:r w:rsidRPr="00C02548">
        <w:rPr>
          <w:lang w:val="fr-FR"/>
        </w:rPr>
        <w:t xml:space="preserve">EN ISO </w:t>
      </w:r>
      <w:proofErr w:type="gramStart"/>
      <w:r w:rsidRPr="00C02548">
        <w:rPr>
          <w:lang w:val="fr-FR"/>
        </w:rPr>
        <w:t>14245:</w:t>
      </w:r>
      <w:proofErr w:type="gramEnd"/>
      <w:r w:rsidRPr="00C02548">
        <w:rPr>
          <w:lang w:val="fr-FR"/>
        </w:rPr>
        <w:t xml:space="preserve">2010 </w:t>
      </w:r>
      <w:r>
        <w:rPr>
          <w:lang w:val="fr-FR"/>
        </w:rPr>
        <w:t>ou</w:t>
      </w:r>
      <w:r w:rsidRPr="00C02548">
        <w:rPr>
          <w:lang w:val="fr-FR"/>
        </w:rPr>
        <w:t xml:space="preserve"> EN ISO 15995:2010</w:t>
      </w:r>
      <w:r>
        <w:rPr>
          <w:lang w:val="fr-FR"/>
        </w:rPr>
        <w:t> »</w:t>
      </w:r>
      <w:r w:rsidRPr="00C02548">
        <w:rPr>
          <w:lang w:val="fr-FR"/>
        </w:rPr>
        <w:t xml:space="preserve"> </w:t>
      </w:r>
      <w:r>
        <w:rPr>
          <w:lang w:val="fr-FR"/>
        </w:rPr>
        <w:t>par</w:t>
      </w:r>
      <w:r w:rsidRPr="00C02548">
        <w:rPr>
          <w:lang w:val="fr-FR"/>
        </w:rPr>
        <w:t xml:space="preserve"> </w:t>
      </w:r>
      <w:r>
        <w:rPr>
          <w:lang w:val="fr-FR"/>
        </w:rPr>
        <w:t>« </w:t>
      </w:r>
      <w:r w:rsidRPr="00C02548">
        <w:rPr>
          <w:lang w:val="fr-FR"/>
        </w:rPr>
        <w:t xml:space="preserve">EN ISO 14245:2010, EN ISO 14245:2019, EN ISO 15995:2010 </w:t>
      </w:r>
      <w:r>
        <w:rPr>
          <w:lang w:val="fr-FR"/>
        </w:rPr>
        <w:t>ou</w:t>
      </w:r>
      <w:r w:rsidRPr="00C02548">
        <w:rPr>
          <w:lang w:val="fr-FR"/>
        </w:rPr>
        <w:t xml:space="preserve"> EN ISO 15995:2019</w:t>
      </w:r>
      <w:r>
        <w:rPr>
          <w:lang w:val="fr-FR"/>
        </w:rPr>
        <w:t> »</w:t>
      </w:r>
      <w:r w:rsidRPr="00C02548">
        <w:rPr>
          <w:lang w:val="fr-FR"/>
        </w:rPr>
        <w:t>.</w:t>
      </w:r>
    </w:p>
    <w:p w14:paraId="44CD0613" w14:textId="086EE398" w:rsidR="008A7D13" w:rsidRDefault="00C626B2" w:rsidP="008A7D13">
      <w:pPr>
        <w:pStyle w:val="SingleTxtG"/>
        <w:spacing w:before="120"/>
        <w:rPr>
          <w:lang w:val="fr-FR"/>
        </w:rPr>
      </w:pPr>
      <w:r w:rsidRPr="00880F9A">
        <w:rPr>
          <w:lang w:val="fr-FR"/>
        </w:rPr>
        <w:t xml:space="preserve">4.1.6.15, </w:t>
      </w:r>
      <w:r w:rsidR="008A7D13">
        <w:rPr>
          <w:lang w:val="fr-FR"/>
        </w:rPr>
        <w:t>dans le tableau</w:t>
      </w:r>
      <w:r w:rsidR="008A7D13" w:rsidRPr="00C02548">
        <w:rPr>
          <w:lang w:val="fr-FR"/>
        </w:rPr>
        <w:t xml:space="preserve">, </w:t>
      </w:r>
      <w:r w:rsidR="008A7D13">
        <w:rPr>
          <w:lang w:val="fr-FR"/>
        </w:rPr>
        <w:t>pour</w:t>
      </w:r>
      <w:r w:rsidR="008A7D13" w:rsidRPr="00C02548">
        <w:rPr>
          <w:lang w:val="fr-FR"/>
        </w:rPr>
        <w:t xml:space="preserve"> </w:t>
      </w:r>
      <w:r w:rsidR="008A7D13">
        <w:rPr>
          <w:lang w:val="fr-FR"/>
        </w:rPr>
        <w:t>« </w:t>
      </w:r>
      <w:r w:rsidR="008A7D13" w:rsidRPr="00C02548">
        <w:rPr>
          <w:lang w:val="fr-FR"/>
        </w:rPr>
        <w:t xml:space="preserve">4.1.6.8 </w:t>
      </w:r>
      <w:r w:rsidR="008A7D13">
        <w:rPr>
          <w:lang w:val="fr-FR"/>
        </w:rPr>
        <w:t>Robinets munis d’une protection intégrée » </w:t>
      </w:r>
      <w:r w:rsidR="008A7D13" w:rsidRPr="00C02548">
        <w:rPr>
          <w:lang w:val="fr-FR"/>
        </w:rPr>
        <w:t>:</w:t>
      </w:r>
    </w:p>
    <w:p w14:paraId="61E633D6" w14:textId="77777777" w:rsidR="008A7D13" w:rsidRPr="00C02548" w:rsidRDefault="008A7D13" w:rsidP="008A7D13">
      <w:pPr>
        <w:pStyle w:val="Bullet1G"/>
        <w:tabs>
          <w:tab w:val="clear" w:pos="1701"/>
        </w:tabs>
        <w:ind w:left="2268"/>
        <w:rPr>
          <w:lang w:val="fr-FR"/>
        </w:rPr>
      </w:pPr>
      <w:r>
        <w:rPr>
          <w:lang w:val="fr-FR"/>
        </w:rPr>
        <w:lastRenderedPageBreak/>
        <w:t>Dans la</w:t>
      </w:r>
      <w:r w:rsidRPr="00C02548">
        <w:rPr>
          <w:lang w:val="fr-FR"/>
        </w:rPr>
        <w:t xml:space="preserve"> </w:t>
      </w:r>
      <w:r>
        <w:rPr>
          <w:lang w:val="fr-FR"/>
        </w:rPr>
        <w:t>quatrième</w:t>
      </w:r>
      <w:r w:rsidRPr="00C02548">
        <w:rPr>
          <w:lang w:val="fr-FR"/>
        </w:rPr>
        <w:t xml:space="preserve"> </w:t>
      </w:r>
      <w:r>
        <w:rPr>
          <w:lang w:val="fr-FR"/>
        </w:rPr>
        <w:t>ligne</w:t>
      </w:r>
      <w:r w:rsidRPr="00C02548">
        <w:rPr>
          <w:lang w:val="fr-FR"/>
        </w:rPr>
        <w:t xml:space="preserve">, </w:t>
      </w:r>
      <w:r>
        <w:rPr>
          <w:lang w:val="fr-FR"/>
        </w:rPr>
        <w:t>deuxième</w:t>
      </w:r>
      <w:r w:rsidRPr="00C02548">
        <w:rPr>
          <w:lang w:val="fr-FR"/>
        </w:rPr>
        <w:t xml:space="preserve"> </w:t>
      </w:r>
      <w:r>
        <w:rPr>
          <w:lang w:val="fr-FR"/>
        </w:rPr>
        <w:t>colonne</w:t>
      </w:r>
      <w:r w:rsidRPr="00C02548">
        <w:rPr>
          <w:lang w:val="fr-FR"/>
        </w:rPr>
        <w:t xml:space="preserve">, </w:t>
      </w:r>
      <w:r>
        <w:rPr>
          <w:lang w:val="fr-FR"/>
        </w:rPr>
        <w:t>remplacer</w:t>
      </w:r>
      <w:r w:rsidRPr="00C02548">
        <w:rPr>
          <w:lang w:val="fr-FR"/>
        </w:rPr>
        <w:t xml:space="preserve"> </w:t>
      </w:r>
      <w:r>
        <w:rPr>
          <w:lang w:val="fr-FR"/>
        </w:rPr>
        <w:t>« </w:t>
      </w:r>
      <w:r w:rsidRPr="00C02548">
        <w:rPr>
          <w:lang w:val="fr-FR"/>
        </w:rPr>
        <w:t xml:space="preserve">EN ISO </w:t>
      </w:r>
      <w:proofErr w:type="gramStart"/>
      <w:r w:rsidRPr="00C02548">
        <w:rPr>
          <w:lang w:val="fr-FR"/>
        </w:rPr>
        <w:t>14245:</w:t>
      </w:r>
      <w:proofErr w:type="gramEnd"/>
      <w:r w:rsidRPr="00C02548">
        <w:rPr>
          <w:lang w:val="fr-FR"/>
        </w:rPr>
        <w:t>2010</w:t>
      </w:r>
      <w:r>
        <w:rPr>
          <w:lang w:val="fr-FR"/>
        </w:rPr>
        <w:t> »</w:t>
      </w:r>
      <w:r w:rsidRPr="00C02548">
        <w:rPr>
          <w:lang w:val="fr-FR"/>
        </w:rPr>
        <w:t xml:space="preserve"> </w:t>
      </w:r>
      <w:r>
        <w:rPr>
          <w:lang w:val="fr-FR"/>
        </w:rPr>
        <w:t>par</w:t>
      </w:r>
      <w:r w:rsidRPr="00C02548">
        <w:rPr>
          <w:lang w:val="fr-FR"/>
        </w:rPr>
        <w:t xml:space="preserve"> </w:t>
      </w:r>
      <w:r>
        <w:rPr>
          <w:lang w:val="fr-FR"/>
        </w:rPr>
        <w:t>« </w:t>
      </w:r>
      <w:r w:rsidRPr="00C02548">
        <w:rPr>
          <w:lang w:val="fr-FR"/>
        </w:rPr>
        <w:t xml:space="preserve">EN ISO 14245:2010 </w:t>
      </w:r>
      <w:r>
        <w:rPr>
          <w:lang w:val="fr-FR"/>
        </w:rPr>
        <w:t>ou</w:t>
      </w:r>
      <w:r w:rsidRPr="00C02548">
        <w:rPr>
          <w:lang w:val="fr-FR"/>
        </w:rPr>
        <w:t xml:space="preserve"> EN ISO 14245:2019</w:t>
      </w:r>
      <w:r>
        <w:rPr>
          <w:lang w:val="fr-FR"/>
        </w:rPr>
        <w:t> »</w:t>
      </w:r>
      <w:r w:rsidRPr="00C02548">
        <w:rPr>
          <w:lang w:val="fr-FR"/>
        </w:rPr>
        <w:t xml:space="preserve">. </w:t>
      </w:r>
      <w:r>
        <w:rPr>
          <w:lang w:val="fr-FR"/>
        </w:rPr>
        <w:t>Supprimer</w:t>
      </w:r>
      <w:r w:rsidRPr="00C02548">
        <w:rPr>
          <w:lang w:val="fr-FR"/>
        </w:rPr>
        <w:t xml:space="preserve"> </w:t>
      </w:r>
      <w:r>
        <w:rPr>
          <w:lang w:val="fr-FR"/>
        </w:rPr>
        <w:t>« </w:t>
      </w:r>
      <w:r w:rsidRPr="00C02548">
        <w:rPr>
          <w:lang w:val="fr-FR"/>
        </w:rPr>
        <w:t xml:space="preserve">(ISO </w:t>
      </w:r>
      <w:proofErr w:type="gramStart"/>
      <w:r w:rsidRPr="00C02548">
        <w:rPr>
          <w:lang w:val="fr-FR"/>
        </w:rPr>
        <w:t>14245:</w:t>
      </w:r>
      <w:proofErr w:type="gramEnd"/>
      <w:r w:rsidRPr="00C02548">
        <w:rPr>
          <w:lang w:val="fr-FR"/>
        </w:rPr>
        <w:t>2006)</w:t>
      </w:r>
      <w:r>
        <w:rPr>
          <w:lang w:val="fr-FR"/>
        </w:rPr>
        <w:t> »</w:t>
      </w:r>
      <w:r w:rsidRPr="00C02548">
        <w:rPr>
          <w:lang w:val="fr-FR"/>
        </w:rPr>
        <w:t xml:space="preserve"> </w:t>
      </w:r>
      <w:r>
        <w:rPr>
          <w:lang w:val="fr-FR"/>
        </w:rPr>
        <w:t>dans la</w:t>
      </w:r>
      <w:r w:rsidRPr="00C02548">
        <w:rPr>
          <w:lang w:val="fr-FR"/>
        </w:rPr>
        <w:t xml:space="preserve"> </w:t>
      </w:r>
      <w:r>
        <w:rPr>
          <w:lang w:val="fr-FR"/>
        </w:rPr>
        <w:t>troisième</w:t>
      </w:r>
      <w:r w:rsidRPr="00C02548">
        <w:rPr>
          <w:lang w:val="fr-FR"/>
        </w:rPr>
        <w:t xml:space="preserve"> </w:t>
      </w:r>
      <w:r>
        <w:rPr>
          <w:lang w:val="fr-FR"/>
        </w:rPr>
        <w:t>colonne</w:t>
      </w:r>
      <w:r w:rsidRPr="00C02548">
        <w:rPr>
          <w:lang w:val="fr-FR"/>
        </w:rPr>
        <w:t>.</w:t>
      </w:r>
    </w:p>
    <w:p w14:paraId="575F7B59" w14:textId="7A1DA28B" w:rsidR="008A7D13" w:rsidRPr="00C02548" w:rsidRDefault="008A7D13" w:rsidP="008A7D13">
      <w:pPr>
        <w:pStyle w:val="Bullet1G"/>
        <w:tabs>
          <w:tab w:val="clear" w:pos="1701"/>
        </w:tabs>
        <w:ind w:left="2268"/>
        <w:rPr>
          <w:lang w:val="fr-FR"/>
        </w:rPr>
      </w:pPr>
      <w:r>
        <w:rPr>
          <w:lang w:val="fr-FR"/>
        </w:rPr>
        <w:t>Dans la</w:t>
      </w:r>
      <w:r w:rsidRPr="00C02548">
        <w:rPr>
          <w:lang w:val="fr-FR"/>
        </w:rPr>
        <w:t xml:space="preserve"> </w:t>
      </w:r>
      <w:r>
        <w:rPr>
          <w:lang w:val="fr-FR"/>
        </w:rPr>
        <w:t>cinquième</w:t>
      </w:r>
      <w:r w:rsidRPr="00C02548">
        <w:rPr>
          <w:lang w:val="fr-FR"/>
        </w:rPr>
        <w:t xml:space="preserve"> </w:t>
      </w:r>
      <w:r>
        <w:rPr>
          <w:lang w:val="fr-FR"/>
        </w:rPr>
        <w:t>ligne</w:t>
      </w:r>
      <w:r w:rsidRPr="00C02548">
        <w:rPr>
          <w:lang w:val="fr-FR"/>
        </w:rPr>
        <w:t xml:space="preserve">, </w:t>
      </w:r>
      <w:r>
        <w:rPr>
          <w:lang w:val="fr-FR"/>
        </w:rPr>
        <w:t>deuxième</w:t>
      </w:r>
      <w:r w:rsidRPr="00C02548">
        <w:rPr>
          <w:lang w:val="fr-FR"/>
        </w:rPr>
        <w:t xml:space="preserve"> </w:t>
      </w:r>
      <w:r>
        <w:rPr>
          <w:lang w:val="fr-FR"/>
        </w:rPr>
        <w:t>colonne</w:t>
      </w:r>
      <w:r w:rsidRPr="00C02548">
        <w:rPr>
          <w:lang w:val="fr-FR"/>
        </w:rPr>
        <w:t xml:space="preserve">, </w:t>
      </w:r>
      <w:r>
        <w:rPr>
          <w:lang w:val="fr-FR"/>
        </w:rPr>
        <w:t>remplacer</w:t>
      </w:r>
      <w:r w:rsidRPr="00C02548">
        <w:rPr>
          <w:lang w:val="fr-FR"/>
        </w:rPr>
        <w:t xml:space="preserve"> </w:t>
      </w:r>
      <w:r>
        <w:rPr>
          <w:lang w:val="fr-FR"/>
        </w:rPr>
        <w:t>« </w:t>
      </w:r>
      <w:r w:rsidRPr="00C02548">
        <w:rPr>
          <w:lang w:val="fr-FR"/>
        </w:rPr>
        <w:t xml:space="preserve">EN ISO </w:t>
      </w:r>
      <w:proofErr w:type="gramStart"/>
      <w:r w:rsidRPr="00C02548">
        <w:rPr>
          <w:lang w:val="fr-FR"/>
        </w:rPr>
        <w:t>15995:</w:t>
      </w:r>
      <w:proofErr w:type="gramEnd"/>
      <w:r w:rsidRPr="00C02548">
        <w:rPr>
          <w:lang w:val="fr-FR"/>
        </w:rPr>
        <w:t>2010</w:t>
      </w:r>
      <w:r w:rsidR="00CD781D">
        <w:rPr>
          <w:lang w:val="fr-FR"/>
        </w:rPr>
        <w:t> »</w:t>
      </w:r>
      <w:r w:rsidRPr="00C02548">
        <w:rPr>
          <w:lang w:val="fr-FR"/>
        </w:rPr>
        <w:t xml:space="preserve"> </w:t>
      </w:r>
      <w:r>
        <w:rPr>
          <w:lang w:val="fr-FR"/>
        </w:rPr>
        <w:t>par</w:t>
      </w:r>
      <w:r w:rsidRPr="00C02548">
        <w:rPr>
          <w:lang w:val="fr-FR"/>
        </w:rPr>
        <w:t xml:space="preserve"> </w:t>
      </w:r>
      <w:r>
        <w:rPr>
          <w:lang w:val="fr-FR"/>
        </w:rPr>
        <w:t>« </w:t>
      </w:r>
      <w:r w:rsidRPr="00C02548">
        <w:rPr>
          <w:lang w:val="fr-FR"/>
        </w:rPr>
        <w:t xml:space="preserve">EN ISO 15995:2010 </w:t>
      </w:r>
      <w:r>
        <w:rPr>
          <w:lang w:val="fr-FR"/>
        </w:rPr>
        <w:t>ou</w:t>
      </w:r>
      <w:r w:rsidRPr="00C02548">
        <w:rPr>
          <w:lang w:val="fr-FR"/>
        </w:rPr>
        <w:t xml:space="preserve"> EN ISO 15995:2019</w:t>
      </w:r>
      <w:r>
        <w:rPr>
          <w:lang w:val="fr-FR"/>
        </w:rPr>
        <w:t> »</w:t>
      </w:r>
      <w:r w:rsidRPr="00C02548">
        <w:rPr>
          <w:lang w:val="fr-FR"/>
        </w:rPr>
        <w:t xml:space="preserve">. </w:t>
      </w:r>
      <w:r>
        <w:rPr>
          <w:lang w:val="fr-FR"/>
        </w:rPr>
        <w:t>Supprimer</w:t>
      </w:r>
      <w:r w:rsidRPr="00C02548">
        <w:rPr>
          <w:lang w:val="fr-FR"/>
        </w:rPr>
        <w:t xml:space="preserve"> </w:t>
      </w:r>
      <w:r>
        <w:rPr>
          <w:lang w:val="fr-FR"/>
        </w:rPr>
        <w:t xml:space="preserve">« (ISO </w:t>
      </w:r>
      <w:proofErr w:type="gramStart"/>
      <w:r>
        <w:rPr>
          <w:lang w:val="fr-FR"/>
        </w:rPr>
        <w:t>15995:</w:t>
      </w:r>
      <w:proofErr w:type="gramEnd"/>
      <w:r>
        <w:rPr>
          <w:lang w:val="fr-FR"/>
        </w:rPr>
        <w:t>2006) »</w:t>
      </w:r>
      <w:r w:rsidRPr="00C02548">
        <w:rPr>
          <w:lang w:val="fr-FR"/>
        </w:rPr>
        <w:t xml:space="preserve"> </w:t>
      </w:r>
      <w:r>
        <w:rPr>
          <w:lang w:val="fr-FR"/>
        </w:rPr>
        <w:t>dans la</w:t>
      </w:r>
      <w:r w:rsidRPr="00C02548">
        <w:rPr>
          <w:lang w:val="fr-FR"/>
        </w:rPr>
        <w:t xml:space="preserve"> </w:t>
      </w:r>
      <w:r>
        <w:rPr>
          <w:lang w:val="fr-FR"/>
        </w:rPr>
        <w:t>troisième colonne</w:t>
      </w:r>
      <w:r w:rsidRPr="00C02548">
        <w:rPr>
          <w:lang w:val="fr-FR"/>
        </w:rPr>
        <w:t>.</w:t>
      </w:r>
    </w:p>
    <w:p w14:paraId="47CD872C" w14:textId="77777777" w:rsidR="00C626B2" w:rsidRPr="00091E38" w:rsidRDefault="00C626B2" w:rsidP="00091E38">
      <w:pPr>
        <w:pStyle w:val="H23G"/>
        <w:rPr>
          <w:rFonts w:eastAsia="MS Mincho"/>
          <w:lang w:val="fr-FR"/>
        </w:rPr>
      </w:pPr>
      <w:r w:rsidRPr="00091E38">
        <w:rPr>
          <w:rFonts w:eastAsia="MS Mincho"/>
          <w:lang w:val="fr-FR"/>
        </w:rPr>
        <w:tab/>
      </w:r>
      <w:r w:rsidRPr="00091E38">
        <w:rPr>
          <w:rFonts w:eastAsia="MS Mincho"/>
          <w:lang w:val="fr-FR"/>
        </w:rPr>
        <w:tab/>
        <w:t>Chapitre 6.2</w:t>
      </w:r>
    </w:p>
    <w:p w14:paraId="7328962B" w14:textId="42069471" w:rsidR="0034612B" w:rsidRPr="00C02548" w:rsidRDefault="0034612B" w:rsidP="0034612B">
      <w:pPr>
        <w:pStyle w:val="SingleTxtG"/>
        <w:tabs>
          <w:tab w:val="left" w:pos="2268"/>
        </w:tabs>
        <w:rPr>
          <w:lang w:val="fr-FR"/>
        </w:rPr>
      </w:pPr>
      <w:r w:rsidRPr="00C02548">
        <w:rPr>
          <w:lang w:val="fr-FR"/>
        </w:rPr>
        <w:t>6.2.4.1</w:t>
      </w:r>
      <w:r w:rsidRPr="00C02548">
        <w:rPr>
          <w:lang w:val="fr-FR"/>
        </w:rPr>
        <w:tab/>
      </w:r>
      <w:r>
        <w:rPr>
          <w:lang w:val="fr-FR"/>
        </w:rPr>
        <w:t>Dans le tableau</w:t>
      </w:r>
      <w:r w:rsidRPr="00C02548">
        <w:rPr>
          <w:lang w:val="fr-FR"/>
        </w:rPr>
        <w:t xml:space="preserve">, </w:t>
      </w:r>
      <w:r>
        <w:rPr>
          <w:lang w:val="fr-FR"/>
        </w:rPr>
        <w:t>sous</w:t>
      </w:r>
      <w:r w:rsidRPr="00C02548">
        <w:rPr>
          <w:lang w:val="fr-FR"/>
        </w:rPr>
        <w:t xml:space="preserve"> </w:t>
      </w:r>
      <w:r>
        <w:rPr>
          <w:lang w:val="fr-FR"/>
        </w:rPr>
        <w:t>« Pour la conception et la fabrication »</w:t>
      </w:r>
      <w:r w:rsidR="00377944">
        <w:rPr>
          <w:lang w:val="fr-FR"/>
        </w:rPr>
        <w:t> </w:t>
      </w:r>
      <w:r w:rsidRPr="00C02548">
        <w:rPr>
          <w:lang w:val="fr-FR"/>
        </w:rPr>
        <w:t>:</w:t>
      </w:r>
    </w:p>
    <w:p w14:paraId="7715D8BE" w14:textId="56BFEC35" w:rsidR="0034612B" w:rsidRPr="00C02548" w:rsidRDefault="0034612B" w:rsidP="0034612B">
      <w:pPr>
        <w:pStyle w:val="Bullet1G"/>
        <w:tabs>
          <w:tab w:val="clear" w:pos="1701"/>
        </w:tabs>
        <w:ind w:left="2268"/>
        <w:rPr>
          <w:lang w:val="fr-FR"/>
        </w:rPr>
      </w:pPr>
      <w:r>
        <w:rPr>
          <w:lang w:val="fr-FR"/>
        </w:rPr>
        <w:t>Pour</w:t>
      </w:r>
      <w:r w:rsidRPr="00C02548">
        <w:rPr>
          <w:lang w:val="fr-FR"/>
        </w:rPr>
        <w:t xml:space="preserve"> </w:t>
      </w:r>
      <w:r>
        <w:rPr>
          <w:lang w:val="fr-FR"/>
        </w:rPr>
        <w:t>« </w:t>
      </w:r>
      <w:r w:rsidRPr="00C02548">
        <w:rPr>
          <w:bCs/>
          <w:lang w:val="fr-FR"/>
        </w:rPr>
        <w:t xml:space="preserve">EN ISO </w:t>
      </w:r>
      <w:proofErr w:type="gramStart"/>
      <w:r w:rsidRPr="00C02548">
        <w:rPr>
          <w:bCs/>
          <w:lang w:val="fr-FR"/>
        </w:rPr>
        <w:t>10961:</w:t>
      </w:r>
      <w:proofErr w:type="gramEnd"/>
      <w:r w:rsidRPr="00C02548">
        <w:rPr>
          <w:bCs/>
          <w:lang w:val="fr-FR"/>
        </w:rPr>
        <w:t>2012</w:t>
      </w:r>
      <w:r>
        <w:rPr>
          <w:bCs/>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4), </w:t>
      </w:r>
      <w:r>
        <w:rPr>
          <w:lang w:val="fr-FR"/>
        </w:rPr>
        <w:t>remplacer</w:t>
      </w:r>
      <w:r w:rsidRPr="00C02548">
        <w:rPr>
          <w:lang w:val="fr-FR"/>
        </w:rPr>
        <w:t xml:space="preserve"> </w:t>
      </w:r>
      <w:r>
        <w:rPr>
          <w:lang w:val="fr-FR"/>
        </w:rPr>
        <w:t>« Jusqu’à nouvel ordre »</w:t>
      </w:r>
      <w:r w:rsidRPr="00C02548">
        <w:rPr>
          <w:lang w:val="fr-FR"/>
        </w:rPr>
        <w:t xml:space="preserve"> </w:t>
      </w:r>
      <w:r>
        <w:rPr>
          <w:lang w:val="fr-FR"/>
        </w:rPr>
        <w:t>par</w:t>
      </w:r>
      <w:r w:rsidRPr="00C02548">
        <w:rPr>
          <w:lang w:val="fr-FR"/>
        </w:rPr>
        <w:t xml:space="preserve"> </w:t>
      </w:r>
      <w:r>
        <w:rPr>
          <w:lang w:val="fr-FR"/>
        </w:rPr>
        <w:t>« Entre le</w:t>
      </w:r>
      <w:r w:rsidRPr="00C02548">
        <w:rPr>
          <w:lang w:val="fr-FR"/>
        </w:rPr>
        <w:t xml:space="preserve"> 1</w:t>
      </w:r>
      <w:r>
        <w:rPr>
          <w:lang w:val="fr-FR"/>
        </w:rPr>
        <w:t>er</w:t>
      </w:r>
      <w:r w:rsidRPr="00C02548">
        <w:rPr>
          <w:lang w:val="fr-FR"/>
        </w:rPr>
        <w:t xml:space="preserve"> </w:t>
      </w:r>
      <w:r>
        <w:rPr>
          <w:lang w:val="fr-FR"/>
        </w:rPr>
        <w:t>janvier</w:t>
      </w:r>
      <w:r w:rsidRPr="00C02548">
        <w:rPr>
          <w:lang w:val="fr-FR"/>
        </w:rPr>
        <w:t xml:space="preserve"> 2013 </w:t>
      </w:r>
      <w:r>
        <w:rPr>
          <w:lang w:val="fr-FR"/>
        </w:rPr>
        <w:t>et</w:t>
      </w:r>
      <w:r w:rsidRPr="00C02548">
        <w:rPr>
          <w:lang w:val="fr-FR"/>
        </w:rPr>
        <w:t xml:space="preserve"> </w:t>
      </w:r>
      <w:r>
        <w:rPr>
          <w:lang w:val="fr-FR"/>
        </w:rPr>
        <w:t xml:space="preserve">le </w:t>
      </w:r>
      <w:r w:rsidRPr="00C02548">
        <w:rPr>
          <w:lang w:val="fr-FR"/>
        </w:rPr>
        <w:t xml:space="preserve">31 </w:t>
      </w:r>
      <w:r>
        <w:rPr>
          <w:lang w:val="fr-FR"/>
        </w:rPr>
        <w:t>décembre</w:t>
      </w:r>
      <w:r w:rsidRPr="00C02548">
        <w:rPr>
          <w:lang w:val="fr-FR"/>
        </w:rPr>
        <w:t xml:space="preserve"> 2022</w:t>
      </w:r>
      <w:r>
        <w:rPr>
          <w:lang w:val="fr-FR"/>
        </w:rPr>
        <w:t> »</w:t>
      </w:r>
      <w:r w:rsidRPr="00C02548">
        <w:rPr>
          <w:lang w:val="fr-FR"/>
        </w:rPr>
        <w:t xml:space="preserve">. </w:t>
      </w:r>
      <w:r>
        <w:rPr>
          <w:lang w:val="fr-FR"/>
        </w:rPr>
        <w:t>Après la</w:t>
      </w:r>
      <w:r w:rsidRPr="00C02548">
        <w:rPr>
          <w:lang w:val="fr-FR"/>
        </w:rPr>
        <w:t xml:space="preserve"> </w:t>
      </w:r>
      <w:r>
        <w:rPr>
          <w:lang w:val="fr-FR"/>
        </w:rPr>
        <w:t>rubrique</w:t>
      </w:r>
      <w:r w:rsidRPr="00C02548">
        <w:rPr>
          <w:lang w:val="fr-FR"/>
        </w:rPr>
        <w:t xml:space="preserve"> </w:t>
      </w:r>
      <w:r>
        <w:rPr>
          <w:lang w:val="fr-FR"/>
        </w:rPr>
        <w:t>pour</w:t>
      </w:r>
      <w:r w:rsidRPr="00C02548">
        <w:rPr>
          <w:lang w:val="fr-FR"/>
        </w:rPr>
        <w:t xml:space="preserve"> </w:t>
      </w:r>
      <w:r>
        <w:rPr>
          <w:lang w:val="fr-FR"/>
        </w:rPr>
        <w:t>« </w:t>
      </w:r>
      <w:r w:rsidRPr="00C02548">
        <w:rPr>
          <w:bCs/>
          <w:lang w:val="fr-FR"/>
        </w:rPr>
        <w:t xml:space="preserve">EN ISO </w:t>
      </w:r>
      <w:proofErr w:type="gramStart"/>
      <w:r w:rsidRPr="00C02548">
        <w:rPr>
          <w:bCs/>
          <w:lang w:val="fr-FR"/>
        </w:rPr>
        <w:t>10961:</w:t>
      </w:r>
      <w:proofErr w:type="gramEnd"/>
      <w:r w:rsidRPr="00C02548">
        <w:rPr>
          <w:bCs/>
          <w:lang w:val="fr-FR"/>
        </w:rPr>
        <w:t>2012</w:t>
      </w:r>
      <w:r>
        <w:rPr>
          <w:bCs/>
          <w:lang w:val="fr-FR"/>
        </w:rPr>
        <w:t> »</w:t>
      </w:r>
      <w:r w:rsidRPr="00C02548">
        <w:rPr>
          <w:lang w:val="fr-FR"/>
        </w:rPr>
        <w:t xml:space="preserve">, </w:t>
      </w:r>
      <w:r>
        <w:rPr>
          <w:lang w:val="fr-FR"/>
        </w:rPr>
        <w:t>ajouter la</w:t>
      </w:r>
      <w:r w:rsidRPr="00C02548">
        <w:rPr>
          <w:lang w:val="fr-FR"/>
        </w:rPr>
        <w:t xml:space="preserve"> </w:t>
      </w:r>
      <w:r>
        <w:rPr>
          <w:lang w:val="fr-FR"/>
        </w:rPr>
        <w:t>rubrique suivante</w:t>
      </w:r>
      <w:r w:rsidR="00377944">
        <w:rPr>
          <w:lang w:val="fr-FR"/>
        </w:rPr>
        <w:t> </w:t>
      </w:r>
      <w:r w:rsidRPr="00C02548">
        <w:rPr>
          <w:lang w:val="fr-FR"/>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134"/>
        <w:gridCol w:w="1276"/>
        <w:gridCol w:w="425"/>
      </w:tblGrid>
      <w:tr w:rsidR="0034612B" w:rsidRPr="00C02548" w14:paraId="1681CE8E" w14:textId="77777777" w:rsidTr="00994533">
        <w:tc>
          <w:tcPr>
            <w:tcW w:w="1350" w:type="dxa"/>
            <w:vAlign w:val="center"/>
          </w:tcPr>
          <w:p w14:paraId="1C28EB3C" w14:textId="77777777" w:rsidR="0034612B" w:rsidRPr="00C02548" w:rsidRDefault="0034612B" w:rsidP="00994533">
            <w:pPr>
              <w:widowControl w:val="0"/>
              <w:spacing w:before="60" w:after="60"/>
              <w:rPr>
                <w:lang w:val="fr-FR"/>
              </w:rPr>
            </w:pPr>
            <w:r w:rsidRPr="00C02548">
              <w:rPr>
                <w:bCs/>
                <w:lang w:val="fr-FR"/>
              </w:rPr>
              <w:t xml:space="preserve">EN ISO </w:t>
            </w:r>
            <w:proofErr w:type="gramStart"/>
            <w:r w:rsidRPr="00C02548">
              <w:rPr>
                <w:bCs/>
                <w:lang w:val="fr-FR"/>
              </w:rPr>
              <w:t>10961:</w:t>
            </w:r>
            <w:proofErr w:type="gramEnd"/>
            <w:r w:rsidRPr="00C02548">
              <w:rPr>
                <w:bCs/>
                <w:lang w:val="fr-FR"/>
              </w:rPr>
              <w:t>2019</w:t>
            </w:r>
          </w:p>
        </w:tc>
        <w:tc>
          <w:tcPr>
            <w:tcW w:w="4001" w:type="dxa"/>
          </w:tcPr>
          <w:p w14:paraId="68D51A29" w14:textId="77777777" w:rsidR="0034612B" w:rsidRPr="00C02548" w:rsidRDefault="0034612B" w:rsidP="00994533">
            <w:pPr>
              <w:widowControl w:val="0"/>
              <w:spacing w:before="60" w:after="120"/>
              <w:rPr>
                <w:lang w:val="fr-FR"/>
              </w:rPr>
            </w:pPr>
            <w:r w:rsidRPr="008044C7">
              <w:rPr>
                <w:lang w:val="fr-FR"/>
              </w:rPr>
              <w:t>Bouteilles à gaz - Cadres de bouteilles - Conception, fabrication, essais et inspection</w:t>
            </w:r>
          </w:p>
        </w:tc>
        <w:tc>
          <w:tcPr>
            <w:tcW w:w="1134" w:type="dxa"/>
            <w:vAlign w:val="center"/>
          </w:tcPr>
          <w:p w14:paraId="52598E08" w14:textId="77777777" w:rsidR="0034612B" w:rsidRPr="00C02548" w:rsidRDefault="0034612B" w:rsidP="00994533">
            <w:pPr>
              <w:widowControl w:val="0"/>
              <w:spacing w:before="60" w:after="60"/>
              <w:rPr>
                <w:lang w:val="fr-FR"/>
              </w:rPr>
            </w:pPr>
            <w:r w:rsidRPr="00C02548">
              <w:rPr>
                <w:lang w:val="fr-FR"/>
              </w:rPr>
              <w:t xml:space="preserve">6.2.3.1 </w:t>
            </w:r>
            <w:r>
              <w:rPr>
                <w:lang w:val="fr-FR"/>
              </w:rPr>
              <w:t>et</w:t>
            </w:r>
            <w:r w:rsidRPr="00C02548">
              <w:rPr>
                <w:lang w:val="fr-FR"/>
              </w:rPr>
              <w:t xml:space="preserve"> 6.2.3.4</w:t>
            </w:r>
          </w:p>
        </w:tc>
        <w:tc>
          <w:tcPr>
            <w:tcW w:w="1276" w:type="dxa"/>
            <w:vAlign w:val="center"/>
          </w:tcPr>
          <w:p w14:paraId="50AA9B67" w14:textId="77777777" w:rsidR="0034612B" w:rsidRPr="00C02548" w:rsidRDefault="0034612B" w:rsidP="00994533">
            <w:pPr>
              <w:widowControl w:val="0"/>
              <w:spacing w:before="60" w:after="60"/>
              <w:rPr>
                <w:lang w:val="fr-FR"/>
              </w:rPr>
            </w:pPr>
            <w:r>
              <w:rPr>
                <w:lang w:val="fr-FR"/>
              </w:rPr>
              <w:t>Jusqu’à nouvel ordre</w:t>
            </w:r>
          </w:p>
        </w:tc>
        <w:tc>
          <w:tcPr>
            <w:tcW w:w="425" w:type="dxa"/>
            <w:vAlign w:val="center"/>
          </w:tcPr>
          <w:p w14:paraId="3C1897BC" w14:textId="77777777" w:rsidR="0034612B" w:rsidRPr="00C02548" w:rsidRDefault="0034612B" w:rsidP="00994533">
            <w:pPr>
              <w:widowControl w:val="0"/>
              <w:spacing w:before="60" w:after="60"/>
              <w:rPr>
                <w:lang w:val="fr-FR"/>
              </w:rPr>
            </w:pPr>
          </w:p>
        </w:tc>
      </w:tr>
    </w:tbl>
    <w:p w14:paraId="0CDDED77" w14:textId="77777777" w:rsidR="0034612B" w:rsidRPr="00C02548" w:rsidRDefault="0034612B" w:rsidP="0034612B">
      <w:pPr>
        <w:pStyle w:val="Bullet1G"/>
        <w:tabs>
          <w:tab w:val="clear" w:pos="1701"/>
        </w:tabs>
        <w:spacing w:before="120"/>
        <w:ind w:left="2268"/>
        <w:rPr>
          <w:lang w:val="fr-FR"/>
        </w:rPr>
      </w:pPr>
      <w:r>
        <w:rPr>
          <w:lang w:val="fr-FR"/>
        </w:rPr>
        <w:t>Pour</w:t>
      </w:r>
      <w:r w:rsidRPr="00C02548">
        <w:rPr>
          <w:lang w:val="fr-FR"/>
        </w:rPr>
        <w:t xml:space="preserve"> </w:t>
      </w:r>
      <w:r>
        <w:rPr>
          <w:lang w:val="fr-FR"/>
        </w:rPr>
        <w:t>« </w:t>
      </w:r>
      <w:r w:rsidRPr="00C02548">
        <w:rPr>
          <w:lang w:val="fr-FR"/>
        </w:rPr>
        <w:t xml:space="preserve">EN ISO </w:t>
      </w:r>
      <w:proofErr w:type="gramStart"/>
      <w:r w:rsidRPr="00C02548">
        <w:rPr>
          <w:lang w:val="fr-FR"/>
        </w:rPr>
        <w:t>7866:</w:t>
      </w:r>
      <w:proofErr w:type="gramEnd"/>
      <w:r w:rsidRPr="00C02548">
        <w:rPr>
          <w:lang w:val="fr-FR"/>
        </w:rPr>
        <w:t>2012 + AC:2014</w:t>
      </w:r>
      <w:r>
        <w:rPr>
          <w:lang w:val="fr-FR"/>
        </w:rPr>
        <w:t> »</w:t>
      </w:r>
      <w:r w:rsidRPr="00C02548">
        <w:rPr>
          <w:lang w:val="fr-FR"/>
        </w:rPr>
        <w:t xml:space="preserve">, </w:t>
      </w:r>
      <w:r>
        <w:rPr>
          <w:lang w:val="fr-FR"/>
        </w:rPr>
        <w:t>« </w:t>
      </w:r>
      <w:r w:rsidRPr="00C02548">
        <w:rPr>
          <w:lang w:val="fr-FR"/>
        </w:rPr>
        <w:t>EN ISO 9809-1:2010</w:t>
      </w:r>
      <w:r>
        <w:rPr>
          <w:lang w:val="fr-FR"/>
        </w:rPr>
        <w:t> »</w:t>
      </w:r>
      <w:r w:rsidRPr="00C02548">
        <w:rPr>
          <w:lang w:val="fr-FR"/>
        </w:rPr>
        <w:t xml:space="preserve">, </w:t>
      </w:r>
      <w:r>
        <w:rPr>
          <w:lang w:val="fr-FR"/>
        </w:rPr>
        <w:t>« EN ISO 9809-2:2010 », « </w:t>
      </w:r>
      <w:r w:rsidRPr="00C02548">
        <w:rPr>
          <w:lang w:val="fr-FR"/>
        </w:rPr>
        <w:t>EN ISO 9809-3:2010</w:t>
      </w:r>
      <w:r>
        <w:rPr>
          <w:lang w:val="fr-FR"/>
        </w:rPr>
        <w:t> »</w:t>
      </w:r>
      <w:r w:rsidRPr="00C02548">
        <w:rPr>
          <w:lang w:val="fr-FR"/>
        </w:rPr>
        <w:t xml:space="preserve">, </w:t>
      </w:r>
      <w:r>
        <w:rPr>
          <w:lang w:val="fr-FR"/>
        </w:rPr>
        <w:t>supprimer</w:t>
      </w:r>
      <w:r w:rsidRPr="00C02548">
        <w:rPr>
          <w:lang w:val="fr-FR"/>
        </w:rPr>
        <w:t xml:space="preserve"> </w:t>
      </w:r>
      <w:r>
        <w:rPr>
          <w:lang w:val="fr-FR"/>
        </w:rPr>
        <w:t>la</w:t>
      </w:r>
      <w:r w:rsidRPr="00C02548">
        <w:rPr>
          <w:lang w:val="fr-FR"/>
        </w:rPr>
        <w:t xml:space="preserve"> référence </w:t>
      </w:r>
      <w:r>
        <w:rPr>
          <w:lang w:val="fr-FR"/>
        </w:rPr>
        <w:t>à</w:t>
      </w:r>
      <w:r w:rsidRPr="00C02548">
        <w:rPr>
          <w:lang w:val="fr-FR"/>
        </w:rPr>
        <w:t xml:space="preserve"> </w:t>
      </w:r>
      <w:r>
        <w:rPr>
          <w:lang w:val="fr-FR"/>
        </w:rPr>
        <w:t>la</w:t>
      </w:r>
      <w:r w:rsidRPr="00C02548">
        <w:rPr>
          <w:lang w:val="fr-FR"/>
        </w:rPr>
        <w:t xml:space="preserve"> </w:t>
      </w:r>
      <w:r>
        <w:rPr>
          <w:lang w:val="fr-FR"/>
        </w:rPr>
        <w:t>norme</w:t>
      </w:r>
      <w:r w:rsidRPr="00C02548">
        <w:rPr>
          <w:lang w:val="fr-FR"/>
        </w:rPr>
        <w:t xml:space="preserve"> ISO</w:t>
      </w:r>
      <w:r>
        <w:rPr>
          <w:lang w:val="fr-FR"/>
        </w:rPr>
        <w:t xml:space="preserve"> dans la</w:t>
      </w:r>
      <w:r w:rsidRPr="00C02548">
        <w:rPr>
          <w:lang w:val="fr-FR"/>
        </w:rPr>
        <w:t xml:space="preserve"> </w:t>
      </w:r>
      <w:r>
        <w:rPr>
          <w:lang w:val="fr-FR"/>
        </w:rPr>
        <w:t xml:space="preserve">colonne </w:t>
      </w:r>
      <w:r w:rsidRPr="00C02548">
        <w:rPr>
          <w:lang w:val="fr-FR"/>
        </w:rPr>
        <w:t>2).</w:t>
      </w:r>
    </w:p>
    <w:p w14:paraId="38EB9378" w14:textId="11797EF5" w:rsidR="0034612B" w:rsidRPr="00C02548" w:rsidRDefault="0034612B" w:rsidP="0034612B">
      <w:pPr>
        <w:pStyle w:val="SingleTxtG"/>
        <w:keepNext/>
        <w:tabs>
          <w:tab w:val="left" w:pos="2268"/>
        </w:tabs>
        <w:spacing w:before="120"/>
        <w:rPr>
          <w:lang w:val="fr-FR"/>
        </w:rPr>
      </w:pPr>
      <w:r w:rsidRPr="00C02548">
        <w:rPr>
          <w:lang w:val="fr-FR"/>
        </w:rPr>
        <w:t>6.2.4.1</w:t>
      </w:r>
      <w:r w:rsidRPr="00C02548">
        <w:rPr>
          <w:lang w:val="fr-FR"/>
        </w:rPr>
        <w:tab/>
      </w:r>
      <w:r>
        <w:rPr>
          <w:lang w:val="fr-FR"/>
        </w:rPr>
        <w:t>Dans le tableau</w:t>
      </w:r>
      <w:r w:rsidRPr="00C02548">
        <w:rPr>
          <w:lang w:val="fr-FR"/>
        </w:rPr>
        <w:t xml:space="preserve">, </w:t>
      </w:r>
      <w:r>
        <w:rPr>
          <w:lang w:val="fr-FR"/>
        </w:rPr>
        <w:t>sous</w:t>
      </w:r>
      <w:r w:rsidRPr="00C02548">
        <w:rPr>
          <w:lang w:val="fr-FR"/>
        </w:rPr>
        <w:t xml:space="preserve"> </w:t>
      </w:r>
      <w:r>
        <w:rPr>
          <w:lang w:val="fr-FR"/>
        </w:rPr>
        <w:t>« Pour les fermetures »</w:t>
      </w:r>
      <w:r w:rsidR="00377944">
        <w:rPr>
          <w:lang w:val="fr-FR"/>
        </w:rPr>
        <w:t> </w:t>
      </w:r>
      <w:r w:rsidRPr="00C02548">
        <w:rPr>
          <w:lang w:val="fr-FR"/>
        </w:rPr>
        <w:t>:</w:t>
      </w:r>
    </w:p>
    <w:p w14:paraId="408546FF" w14:textId="64BB5B58" w:rsidR="0034612B" w:rsidRPr="00C02548" w:rsidRDefault="0034612B" w:rsidP="0034612B">
      <w:pPr>
        <w:pStyle w:val="Bullet1G"/>
        <w:tabs>
          <w:tab w:val="clear" w:pos="1701"/>
        </w:tabs>
        <w:ind w:left="2268"/>
        <w:rPr>
          <w:lang w:val="fr-FR"/>
        </w:rPr>
      </w:pPr>
      <w:r>
        <w:rPr>
          <w:lang w:val="fr-FR"/>
        </w:rPr>
        <w:t>Pour</w:t>
      </w:r>
      <w:r w:rsidRPr="00C02548">
        <w:rPr>
          <w:lang w:val="fr-FR"/>
        </w:rPr>
        <w:t xml:space="preserve"> </w:t>
      </w:r>
      <w:r>
        <w:rPr>
          <w:lang w:val="fr-FR"/>
        </w:rPr>
        <w:t>« </w:t>
      </w:r>
      <w:r w:rsidRPr="00C02548">
        <w:rPr>
          <w:lang w:val="fr-FR"/>
        </w:rPr>
        <w:t xml:space="preserve">EN ISO </w:t>
      </w:r>
      <w:proofErr w:type="gramStart"/>
      <w:r w:rsidRPr="00C02548">
        <w:rPr>
          <w:lang w:val="fr-FR"/>
        </w:rPr>
        <w:t>14245:</w:t>
      </w:r>
      <w:proofErr w:type="gramEnd"/>
      <w:r w:rsidRPr="00C02548">
        <w:rPr>
          <w:lang w:val="fr-FR"/>
        </w:rPr>
        <w:t>2010</w:t>
      </w:r>
      <w:r>
        <w:rPr>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2), </w:t>
      </w:r>
      <w:r>
        <w:rPr>
          <w:lang w:val="fr-FR"/>
        </w:rPr>
        <w:t>supprimer</w:t>
      </w:r>
      <w:r w:rsidRPr="00C02548">
        <w:rPr>
          <w:lang w:val="fr-FR"/>
        </w:rPr>
        <w:t xml:space="preserve"> </w:t>
      </w:r>
      <w:r>
        <w:rPr>
          <w:lang w:val="fr-FR"/>
        </w:rPr>
        <w:t>« </w:t>
      </w:r>
      <w:r w:rsidRPr="00C02548">
        <w:rPr>
          <w:lang w:val="fr-FR"/>
        </w:rPr>
        <w:t>(ISO 14245:2006)</w:t>
      </w:r>
      <w:r>
        <w:rPr>
          <w:lang w:val="fr-FR"/>
        </w:rPr>
        <w:t> »</w:t>
      </w:r>
      <w:r w:rsidRPr="00C02548">
        <w:rPr>
          <w:lang w:val="fr-FR"/>
        </w:rPr>
        <w:t xml:space="preserve"> </w:t>
      </w:r>
      <w:r>
        <w:rPr>
          <w:lang w:val="fr-FR"/>
        </w:rPr>
        <w:t>et</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4), </w:t>
      </w:r>
      <w:r>
        <w:rPr>
          <w:lang w:val="fr-FR"/>
        </w:rPr>
        <w:t>remplacer</w:t>
      </w:r>
      <w:r w:rsidRPr="00C02548">
        <w:rPr>
          <w:lang w:val="fr-FR"/>
        </w:rPr>
        <w:t xml:space="preserve"> </w:t>
      </w:r>
      <w:r>
        <w:rPr>
          <w:lang w:val="fr-FR"/>
        </w:rPr>
        <w:t>« Jusqu’à nouvel ordre »</w:t>
      </w:r>
      <w:r w:rsidRPr="00C02548">
        <w:rPr>
          <w:lang w:val="fr-FR"/>
        </w:rPr>
        <w:t xml:space="preserve"> </w:t>
      </w:r>
      <w:r>
        <w:rPr>
          <w:lang w:val="fr-FR"/>
        </w:rPr>
        <w:t>par</w:t>
      </w:r>
      <w:r w:rsidRPr="00C02548">
        <w:rPr>
          <w:lang w:val="fr-FR"/>
        </w:rPr>
        <w:t xml:space="preserve"> </w:t>
      </w:r>
      <w:r>
        <w:rPr>
          <w:lang w:val="fr-FR"/>
        </w:rPr>
        <w:t>« Entre le</w:t>
      </w:r>
      <w:r w:rsidRPr="00C02548">
        <w:rPr>
          <w:lang w:val="fr-FR"/>
        </w:rPr>
        <w:t xml:space="preserve"> 1</w:t>
      </w:r>
      <w:r>
        <w:rPr>
          <w:lang w:val="fr-FR"/>
        </w:rPr>
        <w:t>er</w:t>
      </w:r>
      <w:r w:rsidRPr="00C02548">
        <w:rPr>
          <w:lang w:val="fr-FR"/>
        </w:rPr>
        <w:t xml:space="preserve"> </w:t>
      </w:r>
      <w:r>
        <w:rPr>
          <w:lang w:val="fr-FR"/>
        </w:rPr>
        <w:t>janvier</w:t>
      </w:r>
      <w:r w:rsidRPr="00C02548">
        <w:rPr>
          <w:lang w:val="fr-FR"/>
        </w:rPr>
        <w:t xml:space="preserve"> 2013 </w:t>
      </w:r>
      <w:r>
        <w:rPr>
          <w:lang w:val="fr-FR"/>
        </w:rPr>
        <w:t>et</w:t>
      </w:r>
      <w:r w:rsidRPr="00C02548">
        <w:rPr>
          <w:lang w:val="fr-FR"/>
        </w:rPr>
        <w:t xml:space="preserve"> </w:t>
      </w:r>
      <w:r>
        <w:rPr>
          <w:lang w:val="fr-FR"/>
        </w:rPr>
        <w:t xml:space="preserve">le </w:t>
      </w:r>
      <w:r w:rsidRPr="00C02548">
        <w:rPr>
          <w:lang w:val="fr-FR"/>
        </w:rPr>
        <w:t xml:space="preserve">31 </w:t>
      </w:r>
      <w:r>
        <w:rPr>
          <w:lang w:val="fr-FR"/>
        </w:rPr>
        <w:t>décembre</w:t>
      </w:r>
      <w:r w:rsidRPr="00C02548">
        <w:rPr>
          <w:lang w:val="fr-FR"/>
        </w:rPr>
        <w:t xml:space="preserve"> 2022</w:t>
      </w:r>
      <w:r>
        <w:rPr>
          <w:lang w:val="fr-FR"/>
        </w:rPr>
        <w:t> »</w:t>
      </w:r>
      <w:r w:rsidRPr="00C02548">
        <w:rPr>
          <w:lang w:val="fr-FR"/>
        </w:rPr>
        <w:t xml:space="preserve">. </w:t>
      </w:r>
      <w:r>
        <w:rPr>
          <w:lang w:val="fr-FR"/>
        </w:rPr>
        <w:t>Après la</w:t>
      </w:r>
      <w:r w:rsidRPr="00C02548">
        <w:rPr>
          <w:lang w:val="fr-FR"/>
        </w:rPr>
        <w:t xml:space="preserve"> </w:t>
      </w:r>
      <w:r>
        <w:rPr>
          <w:lang w:val="fr-FR"/>
        </w:rPr>
        <w:t>rubrique</w:t>
      </w:r>
      <w:r w:rsidRPr="00C02548">
        <w:rPr>
          <w:lang w:val="fr-FR"/>
        </w:rPr>
        <w:t xml:space="preserve"> </w:t>
      </w:r>
      <w:r>
        <w:rPr>
          <w:lang w:val="fr-FR"/>
        </w:rPr>
        <w:t>pour</w:t>
      </w:r>
      <w:r w:rsidRPr="00C02548">
        <w:rPr>
          <w:lang w:val="fr-FR"/>
        </w:rPr>
        <w:t xml:space="preserve"> </w:t>
      </w:r>
      <w:r>
        <w:rPr>
          <w:lang w:val="fr-FR"/>
        </w:rPr>
        <w:t>« </w:t>
      </w:r>
      <w:r w:rsidRPr="00C02548">
        <w:rPr>
          <w:lang w:val="fr-FR"/>
        </w:rPr>
        <w:t xml:space="preserve">EN ISO </w:t>
      </w:r>
      <w:proofErr w:type="gramStart"/>
      <w:r w:rsidRPr="00C02548">
        <w:rPr>
          <w:lang w:val="fr-FR"/>
        </w:rPr>
        <w:t>14245:</w:t>
      </w:r>
      <w:proofErr w:type="gramEnd"/>
      <w:r w:rsidRPr="00C02548">
        <w:rPr>
          <w:lang w:val="fr-FR"/>
        </w:rPr>
        <w:t>2010</w:t>
      </w:r>
      <w:r>
        <w:rPr>
          <w:lang w:val="fr-FR"/>
        </w:rPr>
        <w:t> »</w:t>
      </w:r>
      <w:r w:rsidRPr="00C02548">
        <w:rPr>
          <w:lang w:val="fr-FR"/>
        </w:rPr>
        <w:t xml:space="preserve">, </w:t>
      </w:r>
      <w:r>
        <w:rPr>
          <w:lang w:val="fr-FR"/>
        </w:rPr>
        <w:t>ajouter la</w:t>
      </w:r>
      <w:r w:rsidRPr="00C02548">
        <w:rPr>
          <w:lang w:val="fr-FR"/>
        </w:rPr>
        <w:t xml:space="preserve"> </w:t>
      </w:r>
      <w:r>
        <w:rPr>
          <w:lang w:val="fr-FR"/>
        </w:rPr>
        <w:t>rubrique suivante</w:t>
      </w:r>
      <w:r w:rsidR="00377944">
        <w:rPr>
          <w:lang w:val="fr-FR"/>
        </w:rPr>
        <w:t> </w:t>
      </w:r>
      <w:r w:rsidRPr="00C02548">
        <w:rPr>
          <w:lang w:val="fr-FR"/>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134"/>
        <w:gridCol w:w="1276"/>
        <w:gridCol w:w="425"/>
      </w:tblGrid>
      <w:tr w:rsidR="0034612B" w:rsidRPr="00C02548" w14:paraId="5E08F4DD" w14:textId="77777777" w:rsidTr="00994533">
        <w:tc>
          <w:tcPr>
            <w:tcW w:w="1350" w:type="dxa"/>
            <w:vAlign w:val="center"/>
          </w:tcPr>
          <w:p w14:paraId="54018DC3" w14:textId="77777777" w:rsidR="0034612B" w:rsidRPr="00C02548" w:rsidRDefault="0034612B" w:rsidP="00994533">
            <w:pPr>
              <w:widowControl w:val="0"/>
              <w:spacing w:before="60" w:after="60"/>
              <w:rPr>
                <w:lang w:val="fr-FR"/>
              </w:rPr>
            </w:pPr>
            <w:r w:rsidRPr="00C02548">
              <w:rPr>
                <w:lang w:val="fr-FR"/>
              </w:rPr>
              <w:t xml:space="preserve">EN ISO </w:t>
            </w:r>
            <w:proofErr w:type="gramStart"/>
            <w:r w:rsidRPr="00C02548">
              <w:rPr>
                <w:lang w:val="fr-FR"/>
              </w:rPr>
              <w:t>14245:</w:t>
            </w:r>
            <w:proofErr w:type="gramEnd"/>
            <w:r w:rsidRPr="00C02548">
              <w:rPr>
                <w:lang w:val="fr-FR"/>
              </w:rPr>
              <w:t>2019</w:t>
            </w:r>
          </w:p>
        </w:tc>
        <w:tc>
          <w:tcPr>
            <w:tcW w:w="4001" w:type="dxa"/>
          </w:tcPr>
          <w:p w14:paraId="5AA8459C" w14:textId="77777777" w:rsidR="0034612B" w:rsidRPr="00C02548" w:rsidRDefault="0034612B" w:rsidP="00994533">
            <w:pPr>
              <w:widowControl w:val="0"/>
              <w:spacing w:before="60" w:after="120"/>
              <w:rPr>
                <w:lang w:val="fr-FR"/>
              </w:rPr>
            </w:pPr>
            <w:r w:rsidRPr="008044C7">
              <w:rPr>
                <w:lang w:val="fr-FR"/>
              </w:rPr>
              <w:t xml:space="preserve">Bouteilles à gaz - Spécifications et essais pour valves de bouteilles de GPL - Fermeture automatique </w:t>
            </w:r>
          </w:p>
        </w:tc>
        <w:tc>
          <w:tcPr>
            <w:tcW w:w="1134" w:type="dxa"/>
            <w:vAlign w:val="center"/>
          </w:tcPr>
          <w:p w14:paraId="04834E5D" w14:textId="77777777" w:rsidR="0034612B" w:rsidRPr="00C02548" w:rsidRDefault="0034612B" w:rsidP="00994533">
            <w:pPr>
              <w:widowControl w:val="0"/>
              <w:spacing w:before="60" w:after="60"/>
              <w:rPr>
                <w:lang w:val="fr-FR"/>
              </w:rPr>
            </w:pPr>
            <w:r w:rsidRPr="00C02548">
              <w:rPr>
                <w:lang w:val="fr-FR"/>
              </w:rPr>
              <w:t xml:space="preserve">6.2.3.1 </w:t>
            </w:r>
            <w:r>
              <w:rPr>
                <w:lang w:val="fr-FR"/>
              </w:rPr>
              <w:t>et</w:t>
            </w:r>
            <w:r w:rsidRPr="00C02548">
              <w:rPr>
                <w:lang w:val="fr-FR"/>
              </w:rPr>
              <w:t xml:space="preserve"> 6.2.3.3</w:t>
            </w:r>
          </w:p>
        </w:tc>
        <w:tc>
          <w:tcPr>
            <w:tcW w:w="1276" w:type="dxa"/>
            <w:vAlign w:val="center"/>
          </w:tcPr>
          <w:p w14:paraId="3C61ED59" w14:textId="77777777" w:rsidR="0034612B" w:rsidRPr="00C02548" w:rsidRDefault="0034612B" w:rsidP="00994533">
            <w:pPr>
              <w:widowControl w:val="0"/>
              <w:spacing w:before="60" w:after="60"/>
              <w:rPr>
                <w:lang w:val="fr-FR"/>
              </w:rPr>
            </w:pPr>
            <w:r>
              <w:rPr>
                <w:lang w:val="fr-FR"/>
              </w:rPr>
              <w:t>Jusqu’à nouvel ordre</w:t>
            </w:r>
          </w:p>
        </w:tc>
        <w:tc>
          <w:tcPr>
            <w:tcW w:w="425" w:type="dxa"/>
            <w:vAlign w:val="center"/>
          </w:tcPr>
          <w:p w14:paraId="13DB4594" w14:textId="77777777" w:rsidR="0034612B" w:rsidRPr="00C02548" w:rsidRDefault="0034612B" w:rsidP="00994533">
            <w:pPr>
              <w:widowControl w:val="0"/>
              <w:spacing w:before="60" w:after="60"/>
              <w:rPr>
                <w:lang w:val="fr-FR"/>
              </w:rPr>
            </w:pPr>
          </w:p>
        </w:tc>
      </w:tr>
    </w:tbl>
    <w:p w14:paraId="18A6A1AC" w14:textId="02AC343C" w:rsidR="0034612B" w:rsidRPr="00C02548" w:rsidRDefault="0034612B" w:rsidP="0034612B">
      <w:pPr>
        <w:pStyle w:val="Bullet1G"/>
        <w:tabs>
          <w:tab w:val="clear" w:pos="1701"/>
        </w:tabs>
        <w:spacing w:before="120"/>
        <w:ind w:left="2268"/>
        <w:rPr>
          <w:lang w:val="fr-FR"/>
        </w:rPr>
      </w:pPr>
      <w:r>
        <w:rPr>
          <w:lang w:val="fr-FR"/>
        </w:rPr>
        <w:t>Pour</w:t>
      </w:r>
      <w:r w:rsidRPr="00C02548">
        <w:rPr>
          <w:lang w:val="fr-FR"/>
        </w:rPr>
        <w:t xml:space="preserve"> </w:t>
      </w:r>
      <w:r>
        <w:rPr>
          <w:lang w:val="fr-FR"/>
        </w:rPr>
        <w:t>« </w:t>
      </w:r>
      <w:r w:rsidRPr="00C02548">
        <w:rPr>
          <w:lang w:val="fr-FR"/>
        </w:rPr>
        <w:t xml:space="preserve">EN ISO </w:t>
      </w:r>
      <w:proofErr w:type="gramStart"/>
      <w:r w:rsidRPr="00C02548">
        <w:rPr>
          <w:lang w:val="fr-FR"/>
        </w:rPr>
        <w:t>15995:</w:t>
      </w:r>
      <w:proofErr w:type="gramEnd"/>
      <w:r w:rsidRPr="00C02548">
        <w:rPr>
          <w:lang w:val="fr-FR"/>
        </w:rPr>
        <w:t>2010</w:t>
      </w:r>
      <w:r>
        <w:rPr>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2), </w:t>
      </w:r>
      <w:r>
        <w:rPr>
          <w:lang w:val="fr-FR"/>
        </w:rPr>
        <w:t>supprimer « </w:t>
      </w:r>
      <w:r w:rsidRPr="00C02548">
        <w:rPr>
          <w:lang w:val="fr-FR"/>
        </w:rPr>
        <w:t>(ISO 15995:2006)</w:t>
      </w:r>
      <w:r>
        <w:rPr>
          <w:lang w:val="fr-FR"/>
        </w:rPr>
        <w:t> »</w:t>
      </w:r>
      <w:r w:rsidRPr="00C02548">
        <w:rPr>
          <w:lang w:val="fr-FR"/>
        </w:rPr>
        <w:t xml:space="preserve"> </w:t>
      </w:r>
      <w:r>
        <w:rPr>
          <w:lang w:val="fr-FR"/>
        </w:rPr>
        <w:t>et</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4), </w:t>
      </w:r>
      <w:r>
        <w:rPr>
          <w:lang w:val="fr-FR"/>
        </w:rPr>
        <w:t>remplacer</w:t>
      </w:r>
      <w:r w:rsidRPr="00C02548">
        <w:rPr>
          <w:lang w:val="fr-FR"/>
        </w:rPr>
        <w:t xml:space="preserve"> </w:t>
      </w:r>
      <w:r>
        <w:rPr>
          <w:lang w:val="fr-FR"/>
        </w:rPr>
        <w:t>« Jusqu’à nouvel ordre »</w:t>
      </w:r>
      <w:r w:rsidRPr="00C02548">
        <w:rPr>
          <w:lang w:val="fr-FR"/>
        </w:rPr>
        <w:t xml:space="preserve"> </w:t>
      </w:r>
      <w:r>
        <w:rPr>
          <w:lang w:val="fr-FR"/>
        </w:rPr>
        <w:t>par</w:t>
      </w:r>
      <w:r w:rsidRPr="00C02548">
        <w:rPr>
          <w:lang w:val="fr-FR"/>
        </w:rPr>
        <w:t xml:space="preserve"> </w:t>
      </w:r>
      <w:r>
        <w:rPr>
          <w:lang w:val="fr-FR"/>
        </w:rPr>
        <w:t>« Entre le 1er</w:t>
      </w:r>
      <w:r w:rsidRPr="00C02548">
        <w:rPr>
          <w:lang w:val="fr-FR"/>
        </w:rPr>
        <w:t xml:space="preserve"> </w:t>
      </w:r>
      <w:r>
        <w:rPr>
          <w:lang w:val="fr-FR"/>
        </w:rPr>
        <w:t>janvier</w:t>
      </w:r>
      <w:r w:rsidRPr="00C02548">
        <w:rPr>
          <w:lang w:val="fr-FR"/>
        </w:rPr>
        <w:t xml:space="preserve"> 2013 </w:t>
      </w:r>
      <w:r>
        <w:rPr>
          <w:lang w:val="fr-FR"/>
        </w:rPr>
        <w:t>et</w:t>
      </w:r>
      <w:r w:rsidRPr="00C02548">
        <w:rPr>
          <w:lang w:val="fr-FR"/>
        </w:rPr>
        <w:t xml:space="preserve"> </w:t>
      </w:r>
      <w:r>
        <w:rPr>
          <w:lang w:val="fr-FR"/>
        </w:rPr>
        <w:t xml:space="preserve">le </w:t>
      </w:r>
      <w:r w:rsidRPr="00C02548">
        <w:rPr>
          <w:lang w:val="fr-FR"/>
        </w:rPr>
        <w:t xml:space="preserve">31 </w:t>
      </w:r>
      <w:r>
        <w:rPr>
          <w:lang w:val="fr-FR"/>
        </w:rPr>
        <w:t>décembre</w:t>
      </w:r>
      <w:r w:rsidRPr="00C02548">
        <w:rPr>
          <w:lang w:val="fr-FR"/>
        </w:rPr>
        <w:t xml:space="preserve"> 2022</w:t>
      </w:r>
      <w:r>
        <w:rPr>
          <w:lang w:val="fr-FR"/>
        </w:rPr>
        <w:t> »</w:t>
      </w:r>
      <w:r w:rsidRPr="00C02548">
        <w:rPr>
          <w:lang w:val="fr-FR"/>
        </w:rPr>
        <w:t xml:space="preserve">. </w:t>
      </w:r>
      <w:r>
        <w:rPr>
          <w:lang w:val="fr-FR"/>
        </w:rPr>
        <w:t>Après la</w:t>
      </w:r>
      <w:r w:rsidRPr="00C02548">
        <w:rPr>
          <w:lang w:val="fr-FR"/>
        </w:rPr>
        <w:t xml:space="preserve"> </w:t>
      </w:r>
      <w:r>
        <w:rPr>
          <w:lang w:val="fr-FR"/>
        </w:rPr>
        <w:t>rubrique</w:t>
      </w:r>
      <w:r w:rsidRPr="00C02548">
        <w:rPr>
          <w:lang w:val="fr-FR"/>
        </w:rPr>
        <w:t xml:space="preserve"> </w:t>
      </w:r>
      <w:r>
        <w:rPr>
          <w:lang w:val="fr-FR"/>
        </w:rPr>
        <w:t>pour « </w:t>
      </w:r>
      <w:r w:rsidRPr="00C02548">
        <w:rPr>
          <w:lang w:val="fr-FR"/>
        </w:rPr>
        <w:t xml:space="preserve">EN ISO </w:t>
      </w:r>
      <w:proofErr w:type="gramStart"/>
      <w:r w:rsidRPr="00C02548">
        <w:rPr>
          <w:lang w:val="fr-FR"/>
        </w:rPr>
        <w:t>15995:</w:t>
      </w:r>
      <w:proofErr w:type="gramEnd"/>
      <w:r w:rsidRPr="00C02548">
        <w:rPr>
          <w:lang w:val="fr-FR"/>
        </w:rPr>
        <w:t>2010</w:t>
      </w:r>
      <w:r>
        <w:rPr>
          <w:lang w:val="fr-FR"/>
        </w:rPr>
        <w:t> »</w:t>
      </w:r>
      <w:r w:rsidRPr="00C02548">
        <w:rPr>
          <w:lang w:val="fr-FR"/>
        </w:rPr>
        <w:t xml:space="preserve">, </w:t>
      </w:r>
      <w:r>
        <w:rPr>
          <w:lang w:val="fr-FR"/>
        </w:rPr>
        <w:t>ajouter la</w:t>
      </w:r>
      <w:r w:rsidRPr="00C02548">
        <w:rPr>
          <w:lang w:val="fr-FR"/>
        </w:rPr>
        <w:t xml:space="preserve"> </w:t>
      </w:r>
      <w:r>
        <w:rPr>
          <w:lang w:val="fr-FR"/>
        </w:rPr>
        <w:t>rubrique suivante</w:t>
      </w:r>
      <w:r w:rsidR="00377944">
        <w:rPr>
          <w:lang w:val="fr-FR"/>
        </w:rPr>
        <w:t> </w:t>
      </w:r>
      <w:r w:rsidRPr="00C02548">
        <w:rPr>
          <w:lang w:val="fr-FR"/>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001"/>
        <w:gridCol w:w="1134"/>
        <w:gridCol w:w="1276"/>
        <w:gridCol w:w="425"/>
      </w:tblGrid>
      <w:tr w:rsidR="0034612B" w:rsidRPr="00C02548" w14:paraId="2391D2CD" w14:textId="77777777" w:rsidTr="00994533">
        <w:tc>
          <w:tcPr>
            <w:tcW w:w="1350" w:type="dxa"/>
            <w:vAlign w:val="center"/>
          </w:tcPr>
          <w:p w14:paraId="4B94FFBA" w14:textId="77777777" w:rsidR="0034612B" w:rsidRPr="00C02548" w:rsidRDefault="0034612B" w:rsidP="00994533">
            <w:pPr>
              <w:widowControl w:val="0"/>
              <w:spacing w:before="60" w:after="60"/>
              <w:rPr>
                <w:lang w:val="fr-FR"/>
              </w:rPr>
            </w:pPr>
            <w:r w:rsidRPr="00C02548">
              <w:rPr>
                <w:lang w:val="fr-FR"/>
              </w:rPr>
              <w:t xml:space="preserve">EN ISO </w:t>
            </w:r>
            <w:proofErr w:type="gramStart"/>
            <w:r w:rsidRPr="00C02548">
              <w:rPr>
                <w:lang w:val="fr-FR"/>
              </w:rPr>
              <w:t>15995:</w:t>
            </w:r>
            <w:proofErr w:type="gramEnd"/>
            <w:r w:rsidRPr="00C02548">
              <w:rPr>
                <w:lang w:val="fr-FR"/>
              </w:rPr>
              <w:t>2019</w:t>
            </w:r>
          </w:p>
        </w:tc>
        <w:tc>
          <w:tcPr>
            <w:tcW w:w="4001" w:type="dxa"/>
          </w:tcPr>
          <w:p w14:paraId="2E235DE9" w14:textId="77777777" w:rsidR="0034612B" w:rsidRPr="00C02548" w:rsidRDefault="0034612B" w:rsidP="00994533">
            <w:pPr>
              <w:widowControl w:val="0"/>
              <w:spacing w:before="60" w:after="120"/>
              <w:rPr>
                <w:lang w:val="fr-FR"/>
              </w:rPr>
            </w:pPr>
            <w:r w:rsidRPr="008044C7">
              <w:rPr>
                <w:lang w:val="fr-FR"/>
              </w:rPr>
              <w:t>Bouteilles à gaz - Spécifications et essais pour valves de bouteilles de GPL - Fermeture manuelle</w:t>
            </w:r>
          </w:p>
        </w:tc>
        <w:tc>
          <w:tcPr>
            <w:tcW w:w="1134" w:type="dxa"/>
            <w:vAlign w:val="center"/>
          </w:tcPr>
          <w:p w14:paraId="1DD6773B" w14:textId="77777777" w:rsidR="0034612B" w:rsidRPr="00C02548" w:rsidRDefault="0034612B" w:rsidP="00994533">
            <w:pPr>
              <w:widowControl w:val="0"/>
              <w:spacing w:before="60" w:after="60"/>
              <w:rPr>
                <w:lang w:val="fr-FR"/>
              </w:rPr>
            </w:pPr>
            <w:r w:rsidRPr="00C02548">
              <w:rPr>
                <w:lang w:val="fr-FR"/>
              </w:rPr>
              <w:t xml:space="preserve">6.2.3.1 </w:t>
            </w:r>
            <w:r>
              <w:rPr>
                <w:lang w:val="fr-FR"/>
              </w:rPr>
              <w:t>et</w:t>
            </w:r>
            <w:r w:rsidRPr="00C02548">
              <w:rPr>
                <w:lang w:val="fr-FR"/>
              </w:rPr>
              <w:t xml:space="preserve"> 6.2.3.3</w:t>
            </w:r>
          </w:p>
        </w:tc>
        <w:tc>
          <w:tcPr>
            <w:tcW w:w="1276" w:type="dxa"/>
            <w:vAlign w:val="center"/>
          </w:tcPr>
          <w:p w14:paraId="47A8E621" w14:textId="77777777" w:rsidR="0034612B" w:rsidRPr="00C02548" w:rsidRDefault="0034612B" w:rsidP="00994533">
            <w:pPr>
              <w:widowControl w:val="0"/>
              <w:spacing w:before="60" w:after="60"/>
              <w:rPr>
                <w:lang w:val="fr-FR"/>
              </w:rPr>
            </w:pPr>
            <w:r>
              <w:rPr>
                <w:lang w:val="fr-FR"/>
              </w:rPr>
              <w:t>Jusqu’à nouvel ordre</w:t>
            </w:r>
          </w:p>
        </w:tc>
        <w:tc>
          <w:tcPr>
            <w:tcW w:w="425" w:type="dxa"/>
            <w:vAlign w:val="center"/>
          </w:tcPr>
          <w:p w14:paraId="359155B5" w14:textId="77777777" w:rsidR="0034612B" w:rsidRPr="00C02548" w:rsidRDefault="0034612B" w:rsidP="00994533">
            <w:pPr>
              <w:widowControl w:val="0"/>
              <w:spacing w:before="60" w:after="60"/>
              <w:rPr>
                <w:lang w:val="fr-FR"/>
              </w:rPr>
            </w:pPr>
          </w:p>
        </w:tc>
      </w:tr>
    </w:tbl>
    <w:p w14:paraId="2C50D858" w14:textId="235C9F8A" w:rsidR="0034612B" w:rsidRPr="00C02548" w:rsidRDefault="0034612B" w:rsidP="0034612B">
      <w:pPr>
        <w:pStyle w:val="Bullet1G"/>
        <w:tabs>
          <w:tab w:val="clear" w:pos="1701"/>
        </w:tabs>
        <w:spacing w:before="120"/>
        <w:ind w:left="2268"/>
        <w:rPr>
          <w:lang w:val="fr-FR"/>
        </w:rPr>
      </w:pPr>
      <w:r>
        <w:rPr>
          <w:lang w:val="fr-FR"/>
        </w:rPr>
        <w:t>Pour</w:t>
      </w:r>
      <w:r w:rsidRPr="00C02548">
        <w:rPr>
          <w:lang w:val="fr-FR"/>
        </w:rPr>
        <w:t xml:space="preserve"> </w:t>
      </w:r>
      <w:r>
        <w:rPr>
          <w:lang w:val="fr-FR"/>
        </w:rPr>
        <w:t>« </w:t>
      </w:r>
      <w:r w:rsidRPr="00C02548">
        <w:rPr>
          <w:lang w:val="fr-FR"/>
        </w:rPr>
        <w:t xml:space="preserve">EN </w:t>
      </w:r>
      <w:proofErr w:type="gramStart"/>
      <w:r w:rsidRPr="00C02548">
        <w:rPr>
          <w:lang w:val="fr-FR"/>
        </w:rPr>
        <w:t>13175:</w:t>
      </w:r>
      <w:proofErr w:type="gramEnd"/>
      <w:r w:rsidRPr="00C02548">
        <w:rPr>
          <w:lang w:val="fr-FR"/>
        </w:rPr>
        <w:t>2014</w:t>
      </w:r>
      <w:r>
        <w:rPr>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4), </w:t>
      </w:r>
      <w:r>
        <w:rPr>
          <w:lang w:val="fr-FR"/>
        </w:rPr>
        <w:t>remplacer</w:t>
      </w:r>
      <w:r w:rsidRPr="00C02548">
        <w:rPr>
          <w:lang w:val="fr-FR"/>
        </w:rPr>
        <w:t xml:space="preserve"> </w:t>
      </w:r>
      <w:r>
        <w:rPr>
          <w:lang w:val="fr-FR"/>
        </w:rPr>
        <w:t>« Jusqu’à nouvel ordre »</w:t>
      </w:r>
      <w:r w:rsidRPr="00C02548">
        <w:rPr>
          <w:lang w:val="fr-FR"/>
        </w:rPr>
        <w:t xml:space="preserve"> </w:t>
      </w:r>
      <w:r>
        <w:rPr>
          <w:lang w:val="fr-FR"/>
        </w:rPr>
        <w:t>par</w:t>
      </w:r>
      <w:r w:rsidRPr="00C02548">
        <w:rPr>
          <w:lang w:val="fr-FR"/>
        </w:rPr>
        <w:t xml:space="preserve"> </w:t>
      </w:r>
      <w:r>
        <w:rPr>
          <w:lang w:val="fr-FR"/>
        </w:rPr>
        <w:t>« Entre le</w:t>
      </w:r>
      <w:r w:rsidRPr="00C02548">
        <w:rPr>
          <w:lang w:val="fr-FR"/>
        </w:rPr>
        <w:t xml:space="preserve"> 1</w:t>
      </w:r>
      <w:r>
        <w:rPr>
          <w:lang w:val="fr-FR"/>
        </w:rPr>
        <w:t>er</w:t>
      </w:r>
      <w:r w:rsidRPr="00C02548">
        <w:rPr>
          <w:lang w:val="fr-FR"/>
        </w:rPr>
        <w:t xml:space="preserve"> </w:t>
      </w:r>
      <w:r>
        <w:rPr>
          <w:lang w:val="fr-FR"/>
        </w:rPr>
        <w:t>janvier</w:t>
      </w:r>
      <w:r w:rsidRPr="00C02548">
        <w:rPr>
          <w:lang w:val="fr-FR"/>
        </w:rPr>
        <w:t xml:space="preserve"> 2017 </w:t>
      </w:r>
      <w:r>
        <w:rPr>
          <w:lang w:val="fr-FR"/>
        </w:rPr>
        <w:t>et</w:t>
      </w:r>
      <w:r w:rsidRPr="00C02548">
        <w:rPr>
          <w:lang w:val="fr-FR"/>
        </w:rPr>
        <w:t xml:space="preserve"> </w:t>
      </w:r>
      <w:r>
        <w:rPr>
          <w:lang w:val="fr-FR"/>
        </w:rPr>
        <w:t xml:space="preserve">le </w:t>
      </w:r>
      <w:r w:rsidRPr="00C02548">
        <w:rPr>
          <w:lang w:val="fr-FR"/>
        </w:rPr>
        <w:t xml:space="preserve">31 </w:t>
      </w:r>
      <w:r>
        <w:rPr>
          <w:lang w:val="fr-FR"/>
        </w:rPr>
        <w:t>décembre</w:t>
      </w:r>
      <w:r w:rsidRPr="00C02548">
        <w:rPr>
          <w:lang w:val="fr-FR"/>
        </w:rPr>
        <w:t xml:space="preserve"> 2022</w:t>
      </w:r>
      <w:r>
        <w:rPr>
          <w:lang w:val="fr-FR"/>
        </w:rPr>
        <w:t> »</w:t>
      </w:r>
      <w:r w:rsidRPr="00C02548">
        <w:rPr>
          <w:lang w:val="fr-FR"/>
        </w:rPr>
        <w:t xml:space="preserve">. </w:t>
      </w:r>
      <w:r>
        <w:rPr>
          <w:lang w:val="fr-FR"/>
        </w:rPr>
        <w:t>Après</w:t>
      </w:r>
      <w:r w:rsidRPr="00C02548">
        <w:rPr>
          <w:lang w:val="fr-FR"/>
        </w:rPr>
        <w:t xml:space="preserve"> </w:t>
      </w:r>
      <w:r>
        <w:rPr>
          <w:lang w:val="fr-FR"/>
        </w:rPr>
        <w:t>la rubrique</w:t>
      </w:r>
      <w:r w:rsidRPr="00C02548">
        <w:rPr>
          <w:lang w:val="fr-FR"/>
        </w:rPr>
        <w:t xml:space="preserve"> </w:t>
      </w:r>
      <w:r>
        <w:rPr>
          <w:lang w:val="fr-FR"/>
        </w:rPr>
        <w:t>pour</w:t>
      </w:r>
      <w:r w:rsidRPr="00C02548">
        <w:rPr>
          <w:lang w:val="fr-FR"/>
        </w:rPr>
        <w:t xml:space="preserve"> </w:t>
      </w:r>
      <w:r>
        <w:rPr>
          <w:lang w:val="fr-FR"/>
        </w:rPr>
        <w:t>« </w:t>
      </w:r>
      <w:r w:rsidRPr="00C02548">
        <w:rPr>
          <w:lang w:val="fr-FR"/>
        </w:rPr>
        <w:t xml:space="preserve">EN </w:t>
      </w:r>
      <w:proofErr w:type="gramStart"/>
      <w:r w:rsidRPr="00C02548">
        <w:rPr>
          <w:lang w:val="fr-FR"/>
        </w:rPr>
        <w:t>13175:</w:t>
      </w:r>
      <w:proofErr w:type="gramEnd"/>
      <w:r w:rsidRPr="00C02548">
        <w:rPr>
          <w:lang w:val="fr-FR"/>
        </w:rPr>
        <w:t>2014</w:t>
      </w:r>
      <w:r>
        <w:rPr>
          <w:lang w:val="fr-FR"/>
        </w:rPr>
        <w:t> »</w:t>
      </w:r>
      <w:r w:rsidRPr="00C02548">
        <w:rPr>
          <w:lang w:val="fr-FR"/>
        </w:rPr>
        <w:t xml:space="preserve">, </w:t>
      </w:r>
      <w:r>
        <w:rPr>
          <w:lang w:val="fr-FR"/>
        </w:rPr>
        <w:t>ajouter la</w:t>
      </w:r>
      <w:r w:rsidRPr="00C02548">
        <w:rPr>
          <w:lang w:val="fr-FR"/>
        </w:rPr>
        <w:t xml:space="preserve"> </w:t>
      </w:r>
      <w:r>
        <w:rPr>
          <w:lang w:val="fr-FR"/>
        </w:rPr>
        <w:t>rubrique suivante</w:t>
      </w:r>
      <w:r w:rsidR="00377944">
        <w:rPr>
          <w:lang w:val="fr-FR"/>
        </w:rPr>
        <w:t> </w:t>
      </w:r>
      <w:r w:rsidRPr="00C02548">
        <w:rPr>
          <w:lang w:val="fr-FR"/>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544"/>
        <w:gridCol w:w="1134"/>
        <w:gridCol w:w="1276"/>
        <w:gridCol w:w="425"/>
      </w:tblGrid>
      <w:tr w:rsidR="0034612B" w:rsidRPr="00C02548" w14:paraId="619C733F" w14:textId="77777777" w:rsidTr="00994533">
        <w:tc>
          <w:tcPr>
            <w:tcW w:w="1807" w:type="dxa"/>
            <w:vAlign w:val="center"/>
          </w:tcPr>
          <w:p w14:paraId="6F14AB7B" w14:textId="1F9D3F41" w:rsidR="0034612B" w:rsidRPr="00C02548" w:rsidRDefault="0034612B" w:rsidP="0057760B">
            <w:pPr>
              <w:widowControl w:val="0"/>
              <w:spacing w:before="60" w:after="60"/>
              <w:rPr>
                <w:lang w:val="fr-FR"/>
              </w:rPr>
            </w:pPr>
            <w:r w:rsidRPr="00C02548">
              <w:rPr>
                <w:lang w:val="fr-FR"/>
              </w:rPr>
              <w:t xml:space="preserve">EN </w:t>
            </w:r>
            <w:proofErr w:type="gramStart"/>
            <w:r w:rsidRPr="00C02548">
              <w:rPr>
                <w:lang w:val="fr-FR"/>
              </w:rPr>
              <w:t>13175:</w:t>
            </w:r>
            <w:proofErr w:type="gramEnd"/>
            <w:r w:rsidRPr="00C02548">
              <w:rPr>
                <w:lang w:val="fr-FR"/>
              </w:rPr>
              <w:t>2019 (</w:t>
            </w:r>
            <w:r>
              <w:rPr>
                <w:lang w:val="fr-FR"/>
              </w:rPr>
              <w:t>sauf article</w:t>
            </w:r>
            <w:r w:rsidRPr="00C02548">
              <w:rPr>
                <w:lang w:val="fr-FR"/>
              </w:rPr>
              <w:t xml:space="preserve"> 6.1.6)</w:t>
            </w:r>
          </w:p>
        </w:tc>
        <w:tc>
          <w:tcPr>
            <w:tcW w:w="3544" w:type="dxa"/>
          </w:tcPr>
          <w:p w14:paraId="07036E6B" w14:textId="77777777" w:rsidR="0034612B" w:rsidRPr="00C02548" w:rsidRDefault="0034612B" w:rsidP="00994533">
            <w:pPr>
              <w:widowControl w:val="0"/>
              <w:spacing w:before="60" w:after="120"/>
              <w:rPr>
                <w:lang w:val="fr-FR"/>
              </w:rPr>
            </w:pPr>
            <w:r w:rsidRPr="008044C7">
              <w:rPr>
                <w:lang w:val="fr-FR"/>
              </w:rPr>
              <w:t>Équipements pour GPL et leurs accessoires - Spécifications et essais des équipements et accessoires des réservoirs pour gaz de pétrole liquéfié (GPL)</w:t>
            </w:r>
          </w:p>
        </w:tc>
        <w:tc>
          <w:tcPr>
            <w:tcW w:w="1134" w:type="dxa"/>
            <w:vAlign w:val="center"/>
          </w:tcPr>
          <w:p w14:paraId="29AFC588" w14:textId="77777777" w:rsidR="0034612B" w:rsidRPr="00C02548" w:rsidRDefault="0034612B" w:rsidP="00994533">
            <w:pPr>
              <w:widowControl w:val="0"/>
              <w:spacing w:before="60" w:after="60"/>
              <w:rPr>
                <w:lang w:val="fr-FR"/>
              </w:rPr>
            </w:pPr>
            <w:r w:rsidRPr="00C02548">
              <w:rPr>
                <w:lang w:val="fr-FR"/>
              </w:rPr>
              <w:t xml:space="preserve">6.2.3.1 </w:t>
            </w:r>
            <w:r>
              <w:rPr>
                <w:lang w:val="fr-FR"/>
              </w:rPr>
              <w:t>et</w:t>
            </w:r>
            <w:r w:rsidRPr="00C02548">
              <w:rPr>
                <w:lang w:val="fr-FR"/>
              </w:rPr>
              <w:t xml:space="preserve"> 6.2.3.3</w:t>
            </w:r>
          </w:p>
        </w:tc>
        <w:tc>
          <w:tcPr>
            <w:tcW w:w="1276" w:type="dxa"/>
            <w:vAlign w:val="center"/>
          </w:tcPr>
          <w:p w14:paraId="5739B0E5" w14:textId="77777777" w:rsidR="0034612B" w:rsidRPr="00C02548" w:rsidRDefault="0034612B" w:rsidP="00994533">
            <w:pPr>
              <w:widowControl w:val="0"/>
              <w:spacing w:before="60" w:after="60"/>
              <w:rPr>
                <w:lang w:val="fr-FR"/>
              </w:rPr>
            </w:pPr>
            <w:r>
              <w:rPr>
                <w:lang w:val="fr-FR"/>
              </w:rPr>
              <w:t>Jusqu’à nouvel ordre</w:t>
            </w:r>
          </w:p>
        </w:tc>
        <w:tc>
          <w:tcPr>
            <w:tcW w:w="425" w:type="dxa"/>
            <w:vAlign w:val="center"/>
          </w:tcPr>
          <w:p w14:paraId="5B442DC3" w14:textId="77777777" w:rsidR="0034612B" w:rsidRPr="00C02548" w:rsidRDefault="0034612B" w:rsidP="00994533">
            <w:pPr>
              <w:widowControl w:val="0"/>
              <w:spacing w:before="60" w:after="60"/>
              <w:rPr>
                <w:lang w:val="fr-FR"/>
              </w:rPr>
            </w:pPr>
          </w:p>
        </w:tc>
      </w:tr>
    </w:tbl>
    <w:p w14:paraId="49FE16D2" w14:textId="77777777" w:rsidR="0034612B" w:rsidRPr="00C02548" w:rsidRDefault="0034612B" w:rsidP="0034612B">
      <w:pPr>
        <w:pStyle w:val="Bullet1G"/>
        <w:tabs>
          <w:tab w:val="clear" w:pos="1701"/>
        </w:tabs>
        <w:spacing w:before="120"/>
        <w:ind w:left="2268"/>
        <w:rPr>
          <w:lang w:val="fr-FR"/>
        </w:rPr>
      </w:pPr>
      <w:r>
        <w:rPr>
          <w:lang w:val="fr-FR"/>
        </w:rPr>
        <w:t>Pour</w:t>
      </w:r>
      <w:r w:rsidRPr="00C02548">
        <w:rPr>
          <w:lang w:val="fr-FR"/>
        </w:rPr>
        <w:t xml:space="preserve"> </w:t>
      </w:r>
      <w:r>
        <w:rPr>
          <w:lang w:val="fr-FR"/>
        </w:rPr>
        <w:t>« </w:t>
      </w:r>
      <w:r w:rsidRPr="00C02548">
        <w:rPr>
          <w:lang w:val="fr-FR"/>
        </w:rPr>
        <w:t xml:space="preserve">EN ISO </w:t>
      </w:r>
      <w:proofErr w:type="gramStart"/>
      <w:r w:rsidRPr="00C02548">
        <w:rPr>
          <w:lang w:val="fr-FR"/>
        </w:rPr>
        <w:t>17871:</w:t>
      </w:r>
      <w:proofErr w:type="gramEnd"/>
      <w:r w:rsidRPr="00C02548">
        <w:rPr>
          <w:lang w:val="fr-FR"/>
        </w:rPr>
        <w:t>2015</w:t>
      </w:r>
      <w:r>
        <w:rPr>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2), </w:t>
      </w:r>
      <w:r>
        <w:rPr>
          <w:lang w:val="fr-FR"/>
        </w:rPr>
        <w:t>supprimer</w:t>
      </w:r>
      <w:r w:rsidRPr="00C02548">
        <w:rPr>
          <w:lang w:val="fr-FR"/>
        </w:rPr>
        <w:t xml:space="preserve"> </w:t>
      </w:r>
      <w:r>
        <w:rPr>
          <w:lang w:val="fr-FR"/>
        </w:rPr>
        <w:t>« </w:t>
      </w:r>
      <w:r w:rsidRPr="00C02548">
        <w:rPr>
          <w:lang w:val="fr-FR"/>
        </w:rPr>
        <w:t>(ISO 17871:2015)</w:t>
      </w:r>
      <w:r>
        <w:rPr>
          <w:lang w:val="fr-FR"/>
        </w:rPr>
        <w:t> ».</w:t>
      </w:r>
    </w:p>
    <w:p w14:paraId="33BE5573" w14:textId="77777777" w:rsidR="0034612B" w:rsidRPr="00C02548" w:rsidRDefault="0034612B" w:rsidP="0034612B">
      <w:pPr>
        <w:pStyle w:val="Bullet1G"/>
        <w:tabs>
          <w:tab w:val="clear" w:pos="1701"/>
        </w:tabs>
        <w:ind w:left="2268"/>
        <w:rPr>
          <w:lang w:val="fr-FR"/>
        </w:rPr>
      </w:pPr>
      <w:r>
        <w:rPr>
          <w:lang w:val="fr-FR"/>
        </w:rPr>
        <w:t>Pour</w:t>
      </w:r>
      <w:r w:rsidRPr="00C02548">
        <w:rPr>
          <w:lang w:val="fr-FR"/>
        </w:rPr>
        <w:t xml:space="preserve"> </w:t>
      </w:r>
      <w:r>
        <w:rPr>
          <w:lang w:val="fr-FR"/>
        </w:rPr>
        <w:t>« </w:t>
      </w:r>
      <w:r w:rsidRPr="00C02548">
        <w:rPr>
          <w:lang w:val="fr-FR"/>
        </w:rPr>
        <w:t xml:space="preserve">EN ISO </w:t>
      </w:r>
      <w:proofErr w:type="gramStart"/>
      <w:r w:rsidRPr="00C02548">
        <w:rPr>
          <w:lang w:val="fr-FR"/>
        </w:rPr>
        <w:t>14246:</w:t>
      </w:r>
      <w:proofErr w:type="gramEnd"/>
      <w:r w:rsidRPr="00C02548">
        <w:rPr>
          <w:lang w:val="fr-FR"/>
        </w:rPr>
        <w:t>2014</w:t>
      </w:r>
      <w:r>
        <w:rPr>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2), </w:t>
      </w:r>
      <w:r>
        <w:rPr>
          <w:lang w:val="fr-FR"/>
        </w:rPr>
        <w:t>supprimer</w:t>
      </w:r>
      <w:r w:rsidRPr="00C02548">
        <w:rPr>
          <w:lang w:val="fr-FR"/>
        </w:rPr>
        <w:t xml:space="preserve"> </w:t>
      </w:r>
      <w:r>
        <w:rPr>
          <w:lang w:val="fr-FR"/>
        </w:rPr>
        <w:t>« </w:t>
      </w:r>
      <w:r w:rsidRPr="00C02548">
        <w:rPr>
          <w:lang w:val="fr-FR"/>
        </w:rPr>
        <w:t>(ISO 14246:2014)</w:t>
      </w:r>
      <w:r>
        <w:rPr>
          <w:lang w:val="fr-FR"/>
        </w:rPr>
        <w:t> ».</w:t>
      </w:r>
    </w:p>
    <w:p w14:paraId="27E0EA7B" w14:textId="33613E63" w:rsidR="0034612B" w:rsidRPr="00C02548" w:rsidRDefault="0034612B" w:rsidP="0034612B">
      <w:pPr>
        <w:pStyle w:val="Bullet1G"/>
        <w:tabs>
          <w:tab w:val="clear" w:pos="1701"/>
        </w:tabs>
        <w:ind w:left="2268"/>
        <w:rPr>
          <w:lang w:val="fr-FR"/>
        </w:rPr>
      </w:pPr>
      <w:r>
        <w:rPr>
          <w:lang w:val="fr-FR"/>
        </w:rPr>
        <w:t>Ajouter à la fin la</w:t>
      </w:r>
      <w:r w:rsidRPr="00C02548">
        <w:rPr>
          <w:lang w:val="fr-FR"/>
        </w:rPr>
        <w:t xml:space="preserve"> </w:t>
      </w:r>
      <w:r>
        <w:rPr>
          <w:lang w:val="fr-FR"/>
        </w:rPr>
        <w:t>nouvelle rubrique suivante</w:t>
      </w:r>
      <w:r w:rsidR="00377944">
        <w:rPr>
          <w:lang w:val="fr-FR"/>
        </w:rPr>
        <w:t> </w:t>
      </w:r>
      <w:r w:rsidRPr="00C02548">
        <w:rPr>
          <w:lang w:val="fr-FR"/>
        </w:rPr>
        <w:t>:</w:t>
      </w:r>
    </w:p>
    <w:tbl>
      <w:tblPr>
        <w:tblW w:w="8222" w:type="dxa"/>
        <w:tblInd w:w="1129" w:type="dxa"/>
        <w:tblBorders>
          <w:top w:val="nil"/>
          <w:left w:val="nil"/>
          <w:bottom w:val="nil"/>
          <w:right w:val="nil"/>
        </w:tblBorders>
        <w:tblLayout w:type="fixed"/>
        <w:tblLook w:val="0000" w:firstRow="0" w:lastRow="0" w:firstColumn="0" w:lastColumn="0" w:noHBand="0" w:noVBand="0"/>
      </w:tblPr>
      <w:tblGrid>
        <w:gridCol w:w="1418"/>
        <w:gridCol w:w="3969"/>
        <w:gridCol w:w="1134"/>
        <w:gridCol w:w="1276"/>
        <w:gridCol w:w="425"/>
      </w:tblGrid>
      <w:tr w:rsidR="0034612B" w:rsidRPr="00C02548" w14:paraId="5139F567" w14:textId="77777777" w:rsidTr="00994533">
        <w:trPr>
          <w:trHeight w:val="84"/>
        </w:trPr>
        <w:tc>
          <w:tcPr>
            <w:tcW w:w="1418" w:type="dxa"/>
            <w:tcBorders>
              <w:top w:val="single" w:sz="4" w:space="0" w:color="auto"/>
              <w:left w:val="single" w:sz="4" w:space="0" w:color="auto"/>
              <w:bottom w:val="single" w:sz="4" w:space="0" w:color="auto"/>
              <w:right w:val="single" w:sz="4" w:space="0" w:color="auto"/>
            </w:tcBorders>
          </w:tcPr>
          <w:p w14:paraId="7A903205" w14:textId="77777777" w:rsidR="0034612B" w:rsidRPr="00C02548" w:rsidRDefault="0034612B" w:rsidP="00994533">
            <w:pPr>
              <w:widowControl w:val="0"/>
              <w:spacing w:before="60" w:after="60"/>
              <w:rPr>
                <w:szCs w:val="18"/>
              </w:rPr>
            </w:pPr>
            <w:r w:rsidRPr="00C02548">
              <w:rPr>
                <w:szCs w:val="18"/>
              </w:rPr>
              <w:t xml:space="preserve">EN </w:t>
            </w:r>
            <w:proofErr w:type="gramStart"/>
            <w:r w:rsidRPr="008569B8">
              <w:rPr>
                <w:lang w:val="fr-FR"/>
              </w:rPr>
              <w:t>14129</w:t>
            </w:r>
            <w:r w:rsidRPr="00C02548">
              <w:rPr>
                <w:szCs w:val="18"/>
              </w:rPr>
              <w:t>:</w:t>
            </w:r>
            <w:proofErr w:type="gramEnd"/>
            <w:r w:rsidRPr="00C02548">
              <w:rPr>
                <w:szCs w:val="18"/>
              </w:rPr>
              <w:t>2014</w:t>
            </w:r>
            <w:r>
              <w:rPr>
                <w:szCs w:val="18"/>
              </w:rPr>
              <w:t xml:space="preserve"> (sauf note à </w:t>
            </w:r>
            <w:r>
              <w:rPr>
                <w:szCs w:val="18"/>
              </w:rPr>
              <w:lastRenderedPageBreak/>
              <w:t>l’article 3.11)</w:t>
            </w:r>
          </w:p>
        </w:tc>
        <w:tc>
          <w:tcPr>
            <w:tcW w:w="3969" w:type="dxa"/>
            <w:tcBorders>
              <w:top w:val="single" w:sz="4" w:space="0" w:color="auto"/>
              <w:left w:val="single" w:sz="4" w:space="0" w:color="auto"/>
              <w:bottom w:val="single" w:sz="4" w:space="0" w:color="auto"/>
              <w:right w:val="single" w:sz="4" w:space="0" w:color="auto"/>
            </w:tcBorders>
          </w:tcPr>
          <w:p w14:paraId="08DBD2A5" w14:textId="77777777" w:rsidR="0034612B" w:rsidRPr="008044C7" w:rsidRDefault="0034612B" w:rsidP="00994533">
            <w:pPr>
              <w:pStyle w:val="Default"/>
              <w:snapToGrid w:val="0"/>
              <w:spacing w:before="60" w:after="60"/>
              <w:rPr>
                <w:color w:val="auto"/>
                <w:sz w:val="20"/>
                <w:szCs w:val="20"/>
                <w:lang w:eastAsia="en-US"/>
              </w:rPr>
            </w:pPr>
            <w:r w:rsidRPr="008044C7">
              <w:rPr>
                <w:color w:val="auto"/>
                <w:sz w:val="20"/>
                <w:szCs w:val="20"/>
                <w:lang w:eastAsia="en-US"/>
              </w:rPr>
              <w:lastRenderedPageBreak/>
              <w:t xml:space="preserve">Équipements pour GPL et leurs accessoires - Soupapes de sécurité pour réservoirs de GPL sous pression </w:t>
            </w:r>
          </w:p>
          <w:p w14:paraId="742CBBE9" w14:textId="531DFA6F" w:rsidR="0034612B" w:rsidRPr="00C02548" w:rsidRDefault="0034612B" w:rsidP="00994533">
            <w:pPr>
              <w:pStyle w:val="Default"/>
              <w:snapToGrid w:val="0"/>
              <w:spacing w:before="60" w:after="60"/>
              <w:rPr>
                <w:i/>
                <w:sz w:val="20"/>
                <w:szCs w:val="18"/>
              </w:rPr>
            </w:pPr>
            <w:r>
              <w:rPr>
                <w:b/>
                <w:bCs/>
                <w:i/>
                <w:iCs/>
                <w:sz w:val="20"/>
                <w:szCs w:val="18"/>
              </w:rPr>
              <w:lastRenderedPageBreak/>
              <w:t>NOTA </w:t>
            </w:r>
            <w:r w:rsidRPr="00C02548">
              <w:rPr>
                <w:bCs/>
                <w:i/>
                <w:iCs/>
                <w:sz w:val="20"/>
                <w:szCs w:val="18"/>
              </w:rPr>
              <w:t>:</w:t>
            </w:r>
            <w:r>
              <w:rPr>
                <w:bCs/>
                <w:i/>
                <w:iCs/>
                <w:sz w:val="20"/>
                <w:szCs w:val="18"/>
              </w:rPr>
              <w:t xml:space="preserve"> Cette norme </w:t>
            </w:r>
            <w:r>
              <w:rPr>
                <w:i/>
                <w:iCs/>
                <w:sz w:val="20"/>
                <w:szCs w:val="18"/>
              </w:rPr>
              <w:t>est</w:t>
            </w:r>
            <w:r w:rsidRPr="00C02548">
              <w:rPr>
                <w:i/>
                <w:iCs/>
                <w:sz w:val="20"/>
                <w:szCs w:val="18"/>
              </w:rPr>
              <w:t xml:space="preserve"> </w:t>
            </w:r>
            <w:r>
              <w:rPr>
                <w:i/>
                <w:iCs/>
                <w:sz w:val="20"/>
                <w:szCs w:val="18"/>
              </w:rPr>
              <w:t>applicable aux fûts à pression.</w:t>
            </w:r>
          </w:p>
        </w:tc>
        <w:tc>
          <w:tcPr>
            <w:tcW w:w="1134" w:type="dxa"/>
            <w:tcBorders>
              <w:top w:val="single" w:sz="4" w:space="0" w:color="auto"/>
              <w:left w:val="single" w:sz="4" w:space="0" w:color="auto"/>
              <w:bottom w:val="single" w:sz="4" w:space="0" w:color="auto"/>
              <w:right w:val="single" w:sz="4" w:space="0" w:color="auto"/>
            </w:tcBorders>
          </w:tcPr>
          <w:p w14:paraId="7331CDC8" w14:textId="77777777" w:rsidR="0034612B" w:rsidRDefault="0034612B" w:rsidP="00994533">
            <w:pPr>
              <w:pStyle w:val="Default"/>
              <w:snapToGrid w:val="0"/>
              <w:spacing w:before="60" w:after="60"/>
              <w:rPr>
                <w:sz w:val="20"/>
                <w:szCs w:val="18"/>
              </w:rPr>
            </w:pPr>
          </w:p>
          <w:p w14:paraId="58B06079" w14:textId="77777777" w:rsidR="0034612B" w:rsidRPr="00C02548" w:rsidRDefault="0034612B" w:rsidP="00994533">
            <w:pPr>
              <w:pStyle w:val="Default"/>
              <w:snapToGrid w:val="0"/>
              <w:spacing w:before="60" w:after="60"/>
              <w:rPr>
                <w:sz w:val="20"/>
                <w:szCs w:val="18"/>
              </w:rPr>
            </w:pPr>
            <w:r w:rsidRPr="00C02548">
              <w:rPr>
                <w:sz w:val="20"/>
                <w:szCs w:val="18"/>
              </w:rPr>
              <w:lastRenderedPageBreak/>
              <w:t xml:space="preserve">6.2.3.1, 6.2.3.3 </w:t>
            </w:r>
            <w:r>
              <w:rPr>
                <w:sz w:val="20"/>
                <w:szCs w:val="18"/>
              </w:rPr>
              <w:t>et</w:t>
            </w:r>
            <w:r w:rsidRPr="00C02548">
              <w:rPr>
                <w:sz w:val="20"/>
                <w:szCs w:val="18"/>
              </w:rPr>
              <w:t xml:space="preserve"> 6.2.3.4</w:t>
            </w:r>
          </w:p>
        </w:tc>
        <w:tc>
          <w:tcPr>
            <w:tcW w:w="1276" w:type="dxa"/>
            <w:tcBorders>
              <w:top w:val="single" w:sz="4" w:space="0" w:color="auto"/>
              <w:left w:val="single" w:sz="4" w:space="0" w:color="auto"/>
              <w:bottom w:val="single" w:sz="4" w:space="0" w:color="auto"/>
              <w:right w:val="single" w:sz="4" w:space="0" w:color="auto"/>
            </w:tcBorders>
          </w:tcPr>
          <w:p w14:paraId="0171F4AD" w14:textId="77777777" w:rsidR="0034612B" w:rsidRDefault="0034612B" w:rsidP="00994533">
            <w:pPr>
              <w:pStyle w:val="Default"/>
              <w:snapToGrid w:val="0"/>
              <w:spacing w:before="60" w:after="60"/>
              <w:rPr>
                <w:sz w:val="20"/>
                <w:szCs w:val="18"/>
              </w:rPr>
            </w:pPr>
          </w:p>
          <w:p w14:paraId="0BC447D9" w14:textId="77777777" w:rsidR="0034612B" w:rsidRPr="00C02548" w:rsidRDefault="0034612B" w:rsidP="00994533">
            <w:pPr>
              <w:pStyle w:val="Default"/>
              <w:snapToGrid w:val="0"/>
              <w:spacing w:before="60" w:after="60"/>
              <w:rPr>
                <w:sz w:val="20"/>
                <w:szCs w:val="18"/>
              </w:rPr>
            </w:pPr>
            <w:r>
              <w:rPr>
                <w:sz w:val="20"/>
                <w:szCs w:val="18"/>
              </w:rPr>
              <w:t>Jusqu’à nouvel ordre</w:t>
            </w:r>
          </w:p>
        </w:tc>
        <w:tc>
          <w:tcPr>
            <w:tcW w:w="425" w:type="dxa"/>
            <w:tcBorders>
              <w:top w:val="single" w:sz="4" w:space="0" w:color="auto"/>
              <w:left w:val="single" w:sz="4" w:space="0" w:color="auto"/>
              <w:bottom w:val="single" w:sz="4" w:space="0" w:color="auto"/>
              <w:right w:val="single" w:sz="4" w:space="0" w:color="auto"/>
            </w:tcBorders>
          </w:tcPr>
          <w:p w14:paraId="04050FC0" w14:textId="77777777" w:rsidR="0034612B" w:rsidRPr="00C02548" w:rsidRDefault="0034612B" w:rsidP="00994533">
            <w:pPr>
              <w:pStyle w:val="Default"/>
              <w:snapToGrid w:val="0"/>
              <w:spacing w:before="60" w:after="60"/>
              <w:rPr>
                <w:sz w:val="20"/>
                <w:szCs w:val="18"/>
              </w:rPr>
            </w:pPr>
          </w:p>
        </w:tc>
      </w:tr>
    </w:tbl>
    <w:p w14:paraId="05AD840F" w14:textId="4DE2E6A7" w:rsidR="0034612B" w:rsidRPr="00C02548" w:rsidRDefault="0034612B" w:rsidP="0034612B">
      <w:pPr>
        <w:pStyle w:val="SingleTxtG"/>
        <w:spacing w:before="120"/>
        <w:ind w:left="2257" w:hanging="1123"/>
        <w:rPr>
          <w:lang w:val="fr-FR"/>
        </w:rPr>
      </w:pPr>
      <w:r w:rsidRPr="00C02548">
        <w:rPr>
          <w:lang w:val="fr-FR"/>
        </w:rPr>
        <w:t>6.2.4.2</w:t>
      </w:r>
      <w:r w:rsidRPr="00C02548">
        <w:rPr>
          <w:lang w:val="fr-FR"/>
        </w:rPr>
        <w:tab/>
      </w:r>
      <w:r>
        <w:rPr>
          <w:lang w:val="fr-FR"/>
        </w:rPr>
        <w:t>Dans la</w:t>
      </w:r>
      <w:r w:rsidRPr="00C02548">
        <w:rPr>
          <w:lang w:val="fr-FR"/>
        </w:rPr>
        <w:t xml:space="preserve"> </w:t>
      </w:r>
      <w:r>
        <w:rPr>
          <w:lang w:val="fr-FR"/>
        </w:rPr>
        <w:t>colonne</w:t>
      </w:r>
      <w:r w:rsidRPr="00C02548">
        <w:rPr>
          <w:lang w:val="fr-FR"/>
        </w:rPr>
        <w:t xml:space="preserve"> 2) </w:t>
      </w:r>
      <w:r w:rsidR="00433844">
        <w:rPr>
          <w:lang w:val="fr-FR"/>
        </w:rPr>
        <w:t>du tableau</w:t>
      </w:r>
      <w:r w:rsidRPr="00C02548">
        <w:rPr>
          <w:lang w:val="fr-FR"/>
        </w:rPr>
        <w:t xml:space="preserve">, </w:t>
      </w:r>
      <w:r>
        <w:rPr>
          <w:lang w:val="fr-FR"/>
        </w:rPr>
        <w:t>supprimer</w:t>
      </w:r>
      <w:r w:rsidRPr="00C02548">
        <w:rPr>
          <w:lang w:val="fr-FR"/>
        </w:rPr>
        <w:t xml:space="preserve"> </w:t>
      </w:r>
      <w:r>
        <w:rPr>
          <w:lang w:val="fr-FR"/>
        </w:rPr>
        <w:t>« </w:t>
      </w:r>
      <w:r w:rsidRPr="00C02548">
        <w:rPr>
          <w:lang w:val="fr-FR"/>
        </w:rPr>
        <w:t xml:space="preserve">(ISO </w:t>
      </w:r>
      <w:proofErr w:type="gramStart"/>
      <w:r w:rsidRPr="00C02548">
        <w:rPr>
          <w:lang w:val="fr-FR"/>
        </w:rPr>
        <w:t>10462:</w:t>
      </w:r>
      <w:proofErr w:type="gramEnd"/>
      <w:r w:rsidRPr="00C02548">
        <w:rPr>
          <w:lang w:val="fr-FR"/>
        </w:rPr>
        <w:t>2013)</w:t>
      </w:r>
      <w:r>
        <w:rPr>
          <w:lang w:val="fr-FR"/>
        </w:rPr>
        <w:t> »</w:t>
      </w:r>
      <w:r w:rsidRPr="00C02548">
        <w:rPr>
          <w:lang w:val="fr-FR"/>
        </w:rPr>
        <w:t xml:space="preserve"> </w:t>
      </w:r>
      <w:r>
        <w:rPr>
          <w:lang w:val="fr-FR"/>
        </w:rPr>
        <w:t>et</w:t>
      </w:r>
      <w:r w:rsidRPr="00C02548">
        <w:rPr>
          <w:lang w:val="fr-FR"/>
        </w:rPr>
        <w:t xml:space="preserve"> </w:t>
      </w:r>
      <w:r>
        <w:rPr>
          <w:lang w:val="fr-FR"/>
        </w:rPr>
        <w:t>« </w:t>
      </w:r>
      <w:r w:rsidRPr="00C02548">
        <w:rPr>
          <w:lang w:val="fr-FR"/>
        </w:rPr>
        <w:t>(ISO 22434:2006)</w:t>
      </w:r>
      <w:r>
        <w:rPr>
          <w:lang w:val="fr-FR"/>
        </w:rPr>
        <w:t> »</w:t>
      </w:r>
      <w:r w:rsidRPr="00C02548">
        <w:rPr>
          <w:lang w:val="fr-FR"/>
        </w:rPr>
        <w:t>.</w:t>
      </w:r>
    </w:p>
    <w:p w14:paraId="7BCED986" w14:textId="77777777" w:rsidR="00C626B2" w:rsidRPr="00091E38" w:rsidRDefault="00C626B2" w:rsidP="00091E38">
      <w:pPr>
        <w:pStyle w:val="H23G"/>
        <w:rPr>
          <w:rFonts w:eastAsia="MS Mincho"/>
          <w:lang w:val="fr-FR"/>
        </w:rPr>
      </w:pPr>
      <w:r w:rsidRPr="00091E38">
        <w:rPr>
          <w:rFonts w:eastAsia="MS Mincho"/>
          <w:lang w:val="fr-FR"/>
        </w:rPr>
        <w:tab/>
      </w:r>
      <w:r w:rsidRPr="00091E38">
        <w:rPr>
          <w:rFonts w:eastAsia="MS Mincho"/>
          <w:lang w:val="fr-FR"/>
        </w:rPr>
        <w:tab/>
        <w:t>Chapitre 6.8</w:t>
      </w:r>
    </w:p>
    <w:bookmarkEnd w:id="35"/>
    <w:p w14:paraId="1C3FBC7E" w14:textId="74A4FAFE" w:rsidR="0034612B" w:rsidRPr="00C02548" w:rsidRDefault="0034612B" w:rsidP="0034612B">
      <w:pPr>
        <w:pStyle w:val="SingleTxtG"/>
        <w:spacing w:before="120"/>
        <w:rPr>
          <w:lang w:val="fr-FR"/>
        </w:rPr>
      </w:pPr>
      <w:r w:rsidRPr="00C02548">
        <w:rPr>
          <w:lang w:val="fr-FR"/>
        </w:rPr>
        <w:t>6.8.2.6.1</w:t>
      </w:r>
      <w:r w:rsidRPr="00C02548">
        <w:rPr>
          <w:lang w:val="fr-FR"/>
        </w:rPr>
        <w:tab/>
      </w:r>
      <w:r>
        <w:rPr>
          <w:lang w:val="fr-FR"/>
        </w:rPr>
        <w:t>Modifier le</w:t>
      </w:r>
      <w:r w:rsidRPr="00C02548">
        <w:rPr>
          <w:lang w:val="fr-FR"/>
        </w:rPr>
        <w:t xml:space="preserve"> table</w:t>
      </w:r>
      <w:r>
        <w:rPr>
          <w:lang w:val="fr-FR"/>
        </w:rPr>
        <w:t>au comme suit</w:t>
      </w:r>
      <w:r w:rsidR="00377944">
        <w:rPr>
          <w:lang w:val="fr-FR"/>
        </w:rPr>
        <w:t> </w:t>
      </w:r>
      <w:r w:rsidRPr="00C02548">
        <w:rPr>
          <w:lang w:val="fr-FR"/>
        </w:rPr>
        <w:t>:</w:t>
      </w:r>
    </w:p>
    <w:p w14:paraId="542EF70D" w14:textId="705A1100" w:rsidR="0034612B" w:rsidRPr="00C02548" w:rsidRDefault="0034612B" w:rsidP="0034612B">
      <w:pPr>
        <w:pStyle w:val="SingleTxtG"/>
        <w:ind w:left="2268" w:hanging="852"/>
        <w:rPr>
          <w:lang w:val="fr-FR"/>
        </w:rPr>
      </w:pPr>
      <w:r w:rsidRPr="00C02548">
        <w:rPr>
          <w:lang w:val="fr-FR"/>
        </w:rPr>
        <w:tab/>
      </w:r>
      <w:r>
        <w:rPr>
          <w:lang w:val="fr-FR"/>
        </w:rPr>
        <w:t>Sous</w:t>
      </w:r>
      <w:r w:rsidRPr="00C02548">
        <w:rPr>
          <w:lang w:val="fr-FR"/>
        </w:rPr>
        <w:t xml:space="preserve"> </w:t>
      </w:r>
      <w:r>
        <w:rPr>
          <w:lang w:val="fr-FR"/>
        </w:rPr>
        <w:t>« </w:t>
      </w:r>
      <w:r w:rsidRPr="00377944">
        <w:rPr>
          <w:bCs/>
          <w:lang w:val="fr-FR"/>
        </w:rPr>
        <w:t>Pour les équipements</w:t>
      </w:r>
      <w:r>
        <w:rPr>
          <w:b/>
          <w:bCs/>
          <w:lang w:val="fr-FR"/>
        </w:rPr>
        <w:t> </w:t>
      </w:r>
      <w:r w:rsidRPr="0088163E">
        <w:rPr>
          <w:bCs/>
          <w:lang w:val="fr-FR"/>
        </w:rPr>
        <w:t>»</w:t>
      </w:r>
      <w:r w:rsidR="00377944">
        <w:rPr>
          <w:lang w:val="fr-FR"/>
        </w:rPr>
        <w:t> </w:t>
      </w:r>
      <w:r w:rsidRPr="0088163E">
        <w:rPr>
          <w:lang w:val="fr-FR"/>
        </w:rPr>
        <w:t>:</w:t>
      </w:r>
      <w:r w:rsidRPr="00C02548">
        <w:rPr>
          <w:lang w:val="fr-FR"/>
        </w:rPr>
        <w:t xml:space="preserve"> </w:t>
      </w:r>
    </w:p>
    <w:p w14:paraId="28C8A04A" w14:textId="06838B52" w:rsidR="0034612B" w:rsidRPr="00C02548" w:rsidRDefault="0034612B" w:rsidP="0034612B">
      <w:pPr>
        <w:pStyle w:val="Bullet1G"/>
        <w:tabs>
          <w:tab w:val="clear" w:pos="1701"/>
        </w:tabs>
        <w:ind w:left="2268"/>
        <w:rPr>
          <w:lang w:val="fr-FR"/>
        </w:rPr>
      </w:pPr>
      <w:r>
        <w:rPr>
          <w:lang w:val="fr-FR"/>
        </w:rPr>
        <w:t>Pour</w:t>
      </w:r>
      <w:r w:rsidRPr="00C02548">
        <w:rPr>
          <w:lang w:val="fr-FR"/>
        </w:rPr>
        <w:t xml:space="preserve"> </w:t>
      </w:r>
      <w:r>
        <w:rPr>
          <w:lang w:val="fr-FR"/>
        </w:rPr>
        <w:t>« </w:t>
      </w:r>
      <w:r w:rsidRPr="00C02548">
        <w:rPr>
          <w:lang w:val="fr-FR"/>
        </w:rPr>
        <w:t xml:space="preserve">EN </w:t>
      </w:r>
      <w:proofErr w:type="gramStart"/>
      <w:r w:rsidRPr="00C02548">
        <w:rPr>
          <w:lang w:val="fr-FR"/>
        </w:rPr>
        <w:t>13175:</w:t>
      </w:r>
      <w:proofErr w:type="gramEnd"/>
      <w:r w:rsidRPr="00C02548">
        <w:rPr>
          <w:lang w:val="fr-FR"/>
        </w:rPr>
        <w:t>2014</w:t>
      </w:r>
      <w:r>
        <w:rPr>
          <w:lang w:val="fr-FR"/>
        </w:rPr>
        <w:t> »</w:t>
      </w:r>
      <w:r w:rsidRPr="00C02548">
        <w:rPr>
          <w:lang w:val="fr-FR"/>
        </w:rPr>
        <w:t xml:space="preserve">, </w:t>
      </w:r>
      <w:r>
        <w:rPr>
          <w:lang w:val="fr-FR"/>
        </w:rPr>
        <w:t>dans la</w:t>
      </w:r>
      <w:r w:rsidRPr="00C02548">
        <w:rPr>
          <w:lang w:val="fr-FR"/>
        </w:rPr>
        <w:t xml:space="preserve"> </w:t>
      </w:r>
      <w:r>
        <w:rPr>
          <w:lang w:val="fr-FR"/>
        </w:rPr>
        <w:t>colonne</w:t>
      </w:r>
      <w:r w:rsidRPr="00C02548">
        <w:rPr>
          <w:lang w:val="fr-FR"/>
        </w:rPr>
        <w:t xml:space="preserve"> 4), </w:t>
      </w:r>
      <w:r>
        <w:rPr>
          <w:lang w:val="fr-FR"/>
        </w:rPr>
        <w:t>remplacer</w:t>
      </w:r>
      <w:r w:rsidRPr="00C02548">
        <w:rPr>
          <w:lang w:val="fr-FR"/>
        </w:rPr>
        <w:t xml:space="preserve"> </w:t>
      </w:r>
      <w:r>
        <w:rPr>
          <w:lang w:val="fr-FR"/>
        </w:rPr>
        <w:t>« Jusqu’à nouvel ordre »</w:t>
      </w:r>
      <w:r w:rsidRPr="00C02548">
        <w:rPr>
          <w:lang w:val="fr-FR"/>
        </w:rPr>
        <w:t xml:space="preserve"> </w:t>
      </w:r>
      <w:r>
        <w:rPr>
          <w:lang w:val="fr-FR"/>
        </w:rPr>
        <w:t>par</w:t>
      </w:r>
      <w:r w:rsidRPr="00C02548">
        <w:rPr>
          <w:lang w:val="fr-FR"/>
        </w:rPr>
        <w:t xml:space="preserve"> </w:t>
      </w:r>
      <w:r>
        <w:rPr>
          <w:lang w:val="fr-FR"/>
        </w:rPr>
        <w:t>« Entre le</w:t>
      </w:r>
      <w:r w:rsidRPr="00C02548">
        <w:rPr>
          <w:lang w:val="fr-FR"/>
        </w:rPr>
        <w:t xml:space="preserve"> 1</w:t>
      </w:r>
      <w:r>
        <w:rPr>
          <w:lang w:val="fr-FR"/>
        </w:rPr>
        <w:t>er</w:t>
      </w:r>
      <w:r w:rsidRPr="00C02548">
        <w:rPr>
          <w:lang w:val="fr-FR"/>
        </w:rPr>
        <w:t xml:space="preserve"> </w:t>
      </w:r>
      <w:r>
        <w:rPr>
          <w:lang w:val="fr-FR"/>
        </w:rPr>
        <w:t>janvier</w:t>
      </w:r>
      <w:r w:rsidRPr="00C02548">
        <w:rPr>
          <w:lang w:val="fr-FR"/>
        </w:rPr>
        <w:t xml:space="preserve"> 2017 </w:t>
      </w:r>
      <w:r>
        <w:rPr>
          <w:lang w:val="fr-FR"/>
        </w:rPr>
        <w:t>et</w:t>
      </w:r>
      <w:r w:rsidRPr="00C02548">
        <w:rPr>
          <w:lang w:val="fr-FR"/>
        </w:rPr>
        <w:t xml:space="preserve"> </w:t>
      </w:r>
      <w:r>
        <w:rPr>
          <w:lang w:val="fr-FR"/>
        </w:rPr>
        <w:t xml:space="preserve">le </w:t>
      </w:r>
      <w:r w:rsidRPr="00C02548">
        <w:rPr>
          <w:lang w:val="fr-FR"/>
        </w:rPr>
        <w:t xml:space="preserve">31 </w:t>
      </w:r>
      <w:r>
        <w:rPr>
          <w:lang w:val="fr-FR"/>
        </w:rPr>
        <w:t>décembre</w:t>
      </w:r>
      <w:r w:rsidRPr="00C02548">
        <w:rPr>
          <w:lang w:val="fr-FR"/>
        </w:rPr>
        <w:t xml:space="preserve"> 2022</w:t>
      </w:r>
      <w:r>
        <w:rPr>
          <w:lang w:val="fr-FR"/>
        </w:rPr>
        <w:t> »</w:t>
      </w:r>
      <w:r w:rsidRPr="00C02548">
        <w:rPr>
          <w:lang w:val="fr-FR"/>
        </w:rPr>
        <w:t xml:space="preserve">. </w:t>
      </w:r>
      <w:r>
        <w:rPr>
          <w:lang w:val="fr-FR"/>
        </w:rPr>
        <w:t>Après</w:t>
      </w:r>
      <w:r w:rsidRPr="00C02548">
        <w:rPr>
          <w:lang w:val="fr-FR"/>
        </w:rPr>
        <w:t xml:space="preserve"> </w:t>
      </w:r>
      <w:r>
        <w:rPr>
          <w:lang w:val="fr-FR"/>
        </w:rPr>
        <w:t>la rubrique pour</w:t>
      </w:r>
      <w:r w:rsidRPr="00C02548">
        <w:rPr>
          <w:lang w:val="fr-FR"/>
        </w:rPr>
        <w:t xml:space="preserve"> </w:t>
      </w:r>
      <w:r>
        <w:rPr>
          <w:lang w:val="fr-FR"/>
        </w:rPr>
        <w:t>« </w:t>
      </w:r>
      <w:r w:rsidRPr="00C02548">
        <w:rPr>
          <w:lang w:val="fr-FR"/>
        </w:rPr>
        <w:t xml:space="preserve">EN ISO </w:t>
      </w:r>
      <w:proofErr w:type="gramStart"/>
      <w:r w:rsidRPr="00C02548">
        <w:rPr>
          <w:lang w:val="fr-FR"/>
        </w:rPr>
        <w:t>13175:</w:t>
      </w:r>
      <w:proofErr w:type="gramEnd"/>
      <w:r w:rsidRPr="00C02548">
        <w:rPr>
          <w:lang w:val="fr-FR"/>
        </w:rPr>
        <w:t>2014</w:t>
      </w:r>
      <w:r>
        <w:rPr>
          <w:lang w:val="fr-FR"/>
        </w:rPr>
        <w:t> »</w:t>
      </w:r>
      <w:r w:rsidRPr="00C02548">
        <w:rPr>
          <w:lang w:val="fr-FR"/>
        </w:rPr>
        <w:t xml:space="preserve">, </w:t>
      </w:r>
      <w:r>
        <w:rPr>
          <w:lang w:val="fr-FR"/>
        </w:rPr>
        <w:t>ajouter la</w:t>
      </w:r>
      <w:r w:rsidRPr="00C02548">
        <w:rPr>
          <w:lang w:val="fr-FR"/>
        </w:rPr>
        <w:t xml:space="preserve"> </w:t>
      </w:r>
      <w:r>
        <w:rPr>
          <w:lang w:val="fr-FR"/>
        </w:rPr>
        <w:t>rubrique suivante</w:t>
      </w:r>
      <w:r w:rsidR="00377944">
        <w:rPr>
          <w:lang w:val="fr-FR"/>
        </w:rPr>
        <w:t> </w:t>
      </w:r>
      <w:r w:rsidRPr="00C02548">
        <w:rPr>
          <w:lang w:val="fr-FR"/>
        </w:rPr>
        <w:t>:</w:t>
      </w:r>
    </w:p>
    <w:tbl>
      <w:tblPr>
        <w:tblW w:w="818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544"/>
        <w:gridCol w:w="1134"/>
        <w:gridCol w:w="1276"/>
        <w:gridCol w:w="425"/>
      </w:tblGrid>
      <w:tr w:rsidR="0034612B" w:rsidRPr="00C02548" w14:paraId="5F14C016" w14:textId="77777777" w:rsidTr="00994533">
        <w:tc>
          <w:tcPr>
            <w:tcW w:w="1807" w:type="dxa"/>
            <w:vAlign w:val="center"/>
          </w:tcPr>
          <w:p w14:paraId="0290CCDC" w14:textId="2DCC8AEE" w:rsidR="0034612B" w:rsidRPr="00C02548" w:rsidRDefault="0034612B">
            <w:pPr>
              <w:widowControl w:val="0"/>
              <w:spacing w:before="60" w:after="60"/>
              <w:rPr>
                <w:lang w:val="fr-FR"/>
              </w:rPr>
            </w:pPr>
            <w:r w:rsidRPr="00C02548">
              <w:rPr>
                <w:lang w:val="fr-FR"/>
              </w:rPr>
              <w:t xml:space="preserve">EN </w:t>
            </w:r>
            <w:proofErr w:type="gramStart"/>
            <w:r w:rsidRPr="00C02548">
              <w:rPr>
                <w:lang w:val="fr-FR"/>
              </w:rPr>
              <w:t>13175:</w:t>
            </w:r>
            <w:proofErr w:type="gramEnd"/>
            <w:r w:rsidRPr="00C02548">
              <w:rPr>
                <w:lang w:val="fr-FR"/>
              </w:rPr>
              <w:t>2019 (</w:t>
            </w:r>
            <w:r>
              <w:rPr>
                <w:lang w:val="fr-FR"/>
              </w:rPr>
              <w:t>sauf</w:t>
            </w:r>
            <w:r w:rsidRPr="00C02548">
              <w:rPr>
                <w:lang w:val="fr-FR"/>
              </w:rPr>
              <w:t xml:space="preserve"> </w:t>
            </w:r>
            <w:r>
              <w:rPr>
                <w:lang w:val="fr-FR"/>
              </w:rPr>
              <w:t>article</w:t>
            </w:r>
            <w:r w:rsidRPr="00C02548">
              <w:rPr>
                <w:lang w:val="fr-FR"/>
              </w:rPr>
              <w:t xml:space="preserve"> 6.1.6)</w:t>
            </w:r>
          </w:p>
        </w:tc>
        <w:tc>
          <w:tcPr>
            <w:tcW w:w="3544" w:type="dxa"/>
          </w:tcPr>
          <w:p w14:paraId="080FC454" w14:textId="77777777" w:rsidR="0034612B" w:rsidRPr="00C02548" w:rsidRDefault="0034612B" w:rsidP="00994533">
            <w:pPr>
              <w:widowControl w:val="0"/>
              <w:spacing w:before="60" w:after="120"/>
              <w:rPr>
                <w:lang w:val="fr-FR"/>
              </w:rPr>
            </w:pPr>
            <w:r w:rsidRPr="008044C7">
              <w:rPr>
                <w:lang w:val="fr-FR"/>
              </w:rPr>
              <w:t>Équipements pour GPL et leurs accessoires - Spécifications et essais des équipements et accessoires des réservoirs pour gaz de pétrole liquéfié (GPL)</w:t>
            </w:r>
          </w:p>
        </w:tc>
        <w:tc>
          <w:tcPr>
            <w:tcW w:w="1134" w:type="dxa"/>
            <w:vAlign w:val="center"/>
          </w:tcPr>
          <w:p w14:paraId="5FEB8B08" w14:textId="77777777" w:rsidR="0034612B" w:rsidRPr="00C02548" w:rsidRDefault="0034612B" w:rsidP="00994533">
            <w:pPr>
              <w:widowControl w:val="0"/>
              <w:spacing w:before="60" w:after="60"/>
              <w:rPr>
                <w:lang w:val="fr-FR"/>
              </w:rPr>
            </w:pPr>
            <w:r w:rsidRPr="00C02548">
              <w:rPr>
                <w:lang w:val="fr-FR"/>
              </w:rPr>
              <w:t xml:space="preserve">6.8.2.1.1, 6.8.2.2, 6.8.2.4.1 </w:t>
            </w:r>
            <w:r>
              <w:rPr>
                <w:lang w:val="fr-FR"/>
              </w:rPr>
              <w:t>et</w:t>
            </w:r>
            <w:r w:rsidRPr="00C02548">
              <w:rPr>
                <w:lang w:val="fr-FR"/>
              </w:rPr>
              <w:t xml:space="preserve"> 6.8.3.2.3</w:t>
            </w:r>
          </w:p>
        </w:tc>
        <w:tc>
          <w:tcPr>
            <w:tcW w:w="1276" w:type="dxa"/>
            <w:vAlign w:val="center"/>
          </w:tcPr>
          <w:p w14:paraId="6A418B6F" w14:textId="77777777" w:rsidR="0034612B" w:rsidRPr="00C02548" w:rsidRDefault="0034612B" w:rsidP="00994533">
            <w:pPr>
              <w:widowControl w:val="0"/>
              <w:spacing w:before="60" w:after="60"/>
              <w:rPr>
                <w:lang w:val="fr-FR"/>
              </w:rPr>
            </w:pPr>
            <w:r>
              <w:rPr>
                <w:lang w:val="fr-FR"/>
              </w:rPr>
              <w:t>Jusqu’à nouvel ordre</w:t>
            </w:r>
          </w:p>
        </w:tc>
        <w:tc>
          <w:tcPr>
            <w:tcW w:w="425" w:type="dxa"/>
            <w:vAlign w:val="center"/>
          </w:tcPr>
          <w:p w14:paraId="6F8F1490" w14:textId="77777777" w:rsidR="0034612B" w:rsidRPr="00C02548" w:rsidRDefault="0034612B" w:rsidP="00994533">
            <w:pPr>
              <w:widowControl w:val="0"/>
              <w:spacing w:before="60" w:after="60"/>
              <w:rPr>
                <w:lang w:val="fr-FR"/>
              </w:rPr>
            </w:pPr>
          </w:p>
        </w:tc>
      </w:tr>
    </w:tbl>
    <w:p w14:paraId="66B1EDF9" w14:textId="1D54FDB1" w:rsidR="00C1626B" w:rsidRPr="0034612B" w:rsidRDefault="0034612B" w:rsidP="0034612B">
      <w:pPr>
        <w:spacing w:before="240"/>
        <w:jc w:val="center"/>
        <w:rPr>
          <w:u w:val="single"/>
          <w:lang w:val="fr-FR"/>
        </w:rPr>
      </w:pPr>
      <w:r>
        <w:rPr>
          <w:u w:val="single"/>
          <w:lang w:val="fr-FR"/>
        </w:rPr>
        <w:tab/>
      </w:r>
      <w:r>
        <w:rPr>
          <w:u w:val="single"/>
          <w:lang w:val="fr-FR"/>
        </w:rPr>
        <w:tab/>
      </w:r>
      <w:r>
        <w:rPr>
          <w:u w:val="single"/>
          <w:lang w:val="fr-FR"/>
        </w:rPr>
        <w:tab/>
      </w:r>
    </w:p>
    <w:sectPr w:rsidR="00C1626B" w:rsidRPr="0034612B" w:rsidSect="00356DB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1104" w14:textId="77777777" w:rsidR="00356DB6" w:rsidRDefault="00356DB6" w:rsidP="00F95C08">
      <w:pPr>
        <w:spacing w:line="240" w:lineRule="auto"/>
      </w:pPr>
    </w:p>
  </w:endnote>
  <w:endnote w:type="continuationSeparator" w:id="0">
    <w:p w14:paraId="296A310C" w14:textId="77777777" w:rsidR="00356DB6" w:rsidRPr="00AC3823" w:rsidRDefault="00356DB6" w:rsidP="00AC3823">
      <w:pPr>
        <w:pStyle w:val="Footer"/>
      </w:pPr>
    </w:p>
  </w:endnote>
  <w:endnote w:type="continuationNotice" w:id="1">
    <w:p w14:paraId="10D853E8" w14:textId="77777777" w:rsidR="00356DB6" w:rsidRDefault="00356D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82FE" w14:textId="77777777" w:rsidR="00356DB6" w:rsidRPr="00356DB6" w:rsidRDefault="00356DB6" w:rsidP="00356DB6">
    <w:pPr>
      <w:pStyle w:val="Footer"/>
      <w:tabs>
        <w:tab w:val="right" w:pos="9638"/>
      </w:tabs>
      <w:rPr>
        <w:sz w:val="18"/>
      </w:rPr>
    </w:pPr>
    <w:r w:rsidRPr="00356DB6">
      <w:rPr>
        <w:b/>
        <w:sz w:val="18"/>
      </w:rPr>
      <w:fldChar w:fldCharType="begin"/>
    </w:r>
    <w:r w:rsidRPr="00356DB6">
      <w:rPr>
        <w:b/>
        <w:sz w:val="18"/>
      </w:rPr>
      <w:instrText xml:space="preserve"> PAGE  \* MERGEFORMAT </w:instrText>
    </w:r>
    <w:r w:rsidRPr="00356DB6">
      <w:rPr>
        <w:b/>
        <w:sz w:val="18"/>
      </w:rPr>
      <w:fldChar w:fldCharType="separate"/>
    </w:r>
    <w:r w:rsidRPr="00356DB6">
      <w:rPr>
        <w:b/>
        <w:noProof/>
        <w:sz w:val="18"/>
      </w:rPr>
      <w:t>2</w:t>
    </w:r>
    <w:r w:rsidRPr="00356D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0F6D" w14:textId="77777777" w:rsidR="00356DB6" w:rsidRPr="00356DB6" w:rsidRDefault="00356DB6" w:rsidP="00356DB6">
    <w:pPr>
      <w:pStyle w:val="Footer"/>
      <w:tabs>
        <w:tab w:val="right" w:pos="9638"/>
      </w:tabs>
      <w:rPr>
        <w:b/>
        <w:sz w:val="18"/>
      </w:rPr>
    </w:pPr>
    <w:r>
      <w:tab/>
    </w:r>
    <w:r w:rsidRPr="00356DB6">
      <w:rPr>
        <w:b/>
        <w:sz w:val="18"/>
      </w:rPr>
      <w:fldChar w:fldCharType="begin"/>
    </w:r>
    <w:r w:rsidRPr="00356DB6">
      <w:rPr>
        <w:b/>
        <w:sz w:val="18"/>
      </w:rPr>
      <w:instrText xml:space="preserve"> PAGE  \* MERGEFORMAT </w:instrText>
    </w:r>
    <w:r w:rsidRPr="00356DB6">
      <w:rPr>
        <w:b/>
        <w:sz w:val="18"/>
      </w:rPr>
      <w:fldChar w:fldCharType="separate"/>
    </w:r>
    <w:r w:rsidRPr="00356DB6">
      <w:rPr>
        <w:b/>
        <w:noProof/>
        <w:sz w:val="18"/>
      </w:rPr>
      <w:t>3</w:t>
    </w:r>
    <w:r w:rsidRPr="00356D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120" w14:textId="3536F3F2" w:rsidR="000D3EE9" w:rsidRPr="00356DB6"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5157" w14:textId="77777777" w:rsidR="00356DB6" w:rsidRPr="00AC3823" w:rsidRDefault="00356DB6" w:rsidP="00AC3823">
      <w:pPr>
        <w:pStyle w:val="Footer"/>
        <w:tabs>
          <w:tab w:val="right" w:pos="2155"/>
        </w:tabs>
        <w:spacing w:after="80" w:line="240" w:lineRule="atLeast"/>
        <w:ind w:left="680"/>
        <w:rPr>
          <w:u w:val="single"/>
        </w:rPr>
      </w:pPr>
      <w:r>
        <w:rPr>
          <w:u w:val="single"/>
        </w:rPr>
        <w:tab/>
      </w:r>
    </w:p>
  </w:footnote>
  <w:footnote w:type="continuationSeparator" w:id="0">
    <w:p w14:paraId="7DDA9389" w14:textId="77777777" w:rsidR="00356DB6" w:rsidRPr="00AC3823" w:rsidRDefault="00356DB6" w:rsidP="00AC3823">
      <w:pPr>
        <w:pStyle w:val="Footer"/>
        <w:tabs>
          <w:tab w:val="right" w:pos="2155"/>
        </w:tabs>
        <w:spacing w:after="80" w:line="240" w:lineRule="atLeast"/>
        <w:ind w:left="680"/>
        <w:rPr>
          <w:u w:val="single"/>
        </w:rPr>
      </w:pPr>
      <w:r>
        <w:rPr>
          <w:u w:val="single"/>
        </w:rPr>
        <w:tab/>
      </w:r>
    </w:p>
  </w:footnote>
  <w:footnote w:type="continuationNotice" w:id="1">
    <w:p w14:paraId="4A60F14B" w14:textId="77777777" w:rsidR="00356DB6" w:rsidRPr="00AC3823" w:rsidRDefault="00356DB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CDD3" w14:textId="68E112D2" w:rsidR="00356DB6" w:rsidRPr="00356DB6" w:rsidRDefault="0057760B">
    <w:pPr>
      <w:pStyle w:val="Header"/>
    </w:pPr>
    <w:fldSimple w:instr=" TITLE  \* MERGEFORMAT ">
      <w:r w:rsidR="00BE2960">
        <w:t>ECE/TRANS/WP.15/249/Add.1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81CC" w14:textId="01DC92B2" w:rsidR="00356DB6" w:rsidRPr="00356DB6" w:rsidRDefault="0057760B" w:rsidP="00356DB6">
    <w:pPr>
      <w:pStyle w:val="Header"/>
      <w:jc w:val="right"/>
    </w:pPr>
    <w:fldSimple w:instr=" TITLE  \* MERGEFORMAT ">
      <w:r w:rsidR="00BE2960">
        <w:t>ECE/TRANS/WP.15/249/Add.1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2155"/>
        </w:tabs>
        <w:ind w:left="2155"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56DB6"/>
    <w:rsid w:val="0001207F"/>
    <w:rsid w:val="00017F94"/>
    <w:rsid w:val="00023842"/>
    <w:rsid w:val="000334F9"/>
    <w:rsid w:val="00033EC8"/>
    <w:rsid w:val="0004639C"/>
    <w:rsid w:val="00047DD7"/>
    <w:rsid w:val="00074303"/>
    <w:rsid w:val="0007796D"/>
    <w:rsid w:val="00091E38"/>
    <w:rsid w:val="000942EE"/>
    <w:rsid w:val="000A52BF"/>
    <w:rsid w:val="000B7790"/>
    <w:rsid w:val="000D3EE9"/>
    <w:rsid w:val="000D62F3"/>
    <w:rsid w:val="00111F2F"/>
    <w:rsid w:val="001159AF"/>
    <w:rsid w:val="001269DF"/>
    <w:rsid w:val="001433FD"/>
    <w:rsid w:val="0014365E"/>
    <w:rsid w:val="001541D3"/>
    <w:rsid w:val="00156B77"/>
    <w:rsid w:val="00176178"/>
    <w:rsid w:val="00177140"/>
    <w:rsid w:val="001869E5"/>
    <w:rsid w:val="001D400F"/>
    <w:rsid w:val="001F525A"/>
    <w:rsid w:val="00223272"/>
    <w:rsid w:val="00240333"/>
    <w:rsid w:val="0024779E"/>
    <w:rsid w:val="00262B27"/>
    <w:rsid w:val="002832AC"/>
    <w:rsid w:val="002C7710"/>
    <w:rsid w:val="002D7C93"/>
    <w:rsid w:val="00301D8C"/>
    <w:rsid w:val="003276AB"/>
    <w:rsid w:val="0034612B"/>
    <w:rsid w:val="00356DB6"/>
    <w:rsid w:val="0037241C"/>
    <w:rsid w:val="00377944"/>
    <w:rsid w:val="003819FF"/>
    <w:rsid w:val="003F6F1C"/>
    <w:rsid w:val="00433844"/>
    <w:rsid w:val="00441C3B"/>
    <w:rsid w:val="00446B0A"/>
    <w:rsid w:val="00446FE5"/>
    <w:rsid w:val="00452396"/>
    <w:rsid w:val="004527D2"/>
    <w:rsid w:val="00471288"/>
    <w:rsid w:val="00485DB6"/>
    <w:rsid w:val="0049687C"/>
    <w:rsid w:val="004E468C"/>
    <w:rsid w:val="004F398B"/>
    <w:rsid w:val="005316B0"/>
    <w:rsid w:val="005505B7"/>
    <w:rsid w:val="00573BE5"/>
    <w:rsid w:val="0057760B"/>
    <w:rsid w:val="00586ED3"/>
    <w:rsid w:val="00593392"/>
    <w:rsid w:val="005933CE"/>
    <w:rsid w:val="00596AA9"/>
    <w:rsid w:val="005A5395"/>
    <w:rsid w:val="005B2515"/>
    <w:rsid w:val="005B4D0F"/>
    <w:rsid w:val="00601D78"/>
    <w:rsid w:val="006439B6"/>
    <w:rsid w:val="006C49F7"/>
    <w:rsid w:val="006D2951"/>
    <w:rsid w:val="00703D0F"/>
    <w:rsid w:val="00706363"/>
    <w:rsid w:val="007158BB"/>
    <w:rsid w:val="0071601D"/>
    <w:rsid w:val="00721A87"/>
    <w:rsid w:val="0075410D"/>
    <w:rsid w:val="00781365"/>
    <w:rsid w:val="007A62E6"/>
    <w:rsid w:val="007C5607"/>
    <w:rsid w:val="007D132B"/>
    <w:rsid w:val="0080684C"/>
    <w:rsid w:val="008078DD"/>
    <w:rsid w:val="00810B1C"/>
    <w:rsid w:val="008204DA"/>
    <w:rsid w:val="00832A90"/>
    <w:rsid w:val="008535AD"/>
    <w:rsid w:val="00871C75"/>
    <w:rsid w:val="008767E8"/>
    <w:rsid w:val="008776DC"/>
    <w:rsid w:val="00880F9A"/>
    <w:rsid w:val="00883605"/>
    <w:rsid w:val="008A7D13"/>
    <w:rsid w:val="008B14A4"/>
    <w:rsid w:val="008D49DA"/>
    <w:rsid w:val="008E6043"/>
    <w:rsid w:val="00904299"/>
    <w:rsid w:val="00945580"/>
    <w:rsid w:val="00961E7B"/>
    <w:rsid w:val="009705C8"/>
    <w:rsid w:val="009C1CF4"/>
    <w:rsid w:val="009F02C9"/>
    <w:rsid w:val="00A0539F"/>
    <w:rsid w:val="00A30353"/>
    <w:rsid w:val="00A62D91"/>
    <w:rsid w:val="00A67B5E"/>
    <w:rsid w:val="00A90D54"/>
    <w:rsid w:val="00AA113A"/>
    <w:rsid w:val="00AB7290"/>
    <w:rsid w:val="00AC3823"/>
    <w:rsid w:val="00AE323C"/>
    <w:rsid w:val="00AE751F"/>
    <w:rsid w:val="00AF774C"/>
    <w:rsid w:val="00B00181"/>
    <w:rsid w:val="00B00B0D"/>
    <w:rsid w:val="00B40927"/>
    <w:rsid w:val="00B50E25"/>
    <w:rsid w:val="00B64918"/>
    <w:rsid w:val="00B765F7"/>
    <w:rsid w:val="00B937EA"/>
    <w:rsid w:val="00BA0CA9"/>
    <w:rsid w:val="00BA2EB5"/>
    <w:rsid w:val="00BE2960"/>
    <w:rsid w:val="00C02897"/>
    <w:rsid w:val="00C1626B"/>
    <w:rsid w:val="00C626B2"/>
    <w:rsid w:val="00C66A47"/>
    <w:rsid w:val="00C72142"/>
    <w:rsid w:val="00C7616F"/>
    <w:rsid w:val="00CB16B5"/>
    <w:rsid w:val="00CD781D"/>
    <w:rsid w:val="00CE0608"/>
    <w:rsid w:val="00D128C5"/>
    <w:rsid w:val="00D3439C"/>
    <w:rsid w:val="00D44CF3"/>
    <w:rsid w:val="00D46C8C"/>
    <w:rsid w:val="00DA366D"/>
    <w:rsid w:val="00DB086A"/>
    <w:rsid w:val="00DB1831"/>
    <w:rsid w:val="00DD1935"/>
    <w:rsid w:val="00DD3BFD"/>
    <w:rsid w:val="00DE239D"/>
    <w:rsid w:val="00DF431C"/>
    <w:rsid w:val="00DF6678"/>
    <w:rsid w:val="00E205F8"/>
    <w:rsid w:val="00E32061"/>
    <w:rsid w:val="00E428C8"/>
    <w:rsid w:val="00E77783"/>
    <w:rsid w:val="00EF2E22"/>
    <w:rsid w:val="00F0592C"/>
    <w:rsid w:val="00F06ED4"/>
    <w:rsid w:val="00F24F20"/>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D6FE3F"/>
  <w15:docId w15:val="{7BEEF9C2-94CB-4199-9D38-D2D0B6F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tabs>
        <w:tab w:val="clear" w:pos="2155"/>
        <w:tab w:val="num" w:pos="1701"/>
      </w:tabs>
      <w:spacing w:after="120"/>
      <w:ind w:left="1701"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har">
    <w:name w:val="_ H_1_G Char"/>
    <w:link w:val="H1G"/>
    <w:locked/>
    <w:rsid w:val="00AE751F"/>
    <w:rPr>
      <w:b/>
      <w:sz w:val="24"/>
    </w:rPr>
  </w:style>
  <w:style w:type="character" w:styleId="CommentReference">
    <w:name w:val="annotation reference"/>
    <w:basedOn w:val="DefaultParagraphFont"/>
    <w:semiHidden/>
    <w:unhideWhenUsed/>
    <w:rsid w:val="00C626B2"/>
    <w:rPr>
      <w:sz w:val="16"/>
      <w:szCs w:val="16"/>
    </w:rPr>
  </w:style>
  <w:style w:type="paragraph" w:styleId="CommentText">
    <w:name w:val="annotation text"/>
    <w:basedOn w:val="Normal"/>
    <w:link w:val="CommentTextChar"/>
    <w:semiHidden/>
    <w:unhideWhenUsed/>
    <w:rsid w:val="00C626B2"/>
    <w:pPr>
      <w:kinsoku/>
      <w:overflowPunct/>
      <w:autoSpaceDE/>
      <w:autoSpaceDN/>
      <w:adjustRightInd/>
      <w:snapToGrid/>
      <w:spacing w:line="240" w:lineRule="auto"/>
    </w:pPr>
    <w:rPr>
      <w:lang w:val="en-GB" w:eastAsia="fr-FR"/>
    </w:rPr>
  </w:style>
  <w:style w:type="character" w:customStyle="1" w:styleId="CommentTextChar">
    <w:name w:val="Comment Text Char"/>
    <w:basedOn w:val="DefaultParagraphFont"/>
    <w:link w:val="CommentText"/>
    <w:semiHidden/>
    <w:rsid w:val="00C626B2"/>
    <w:rPr>
      <w:lang w:val="en-GB" w:eastAsia="fr-FR"/>
    </w:rPr>
  </w:style>
  <w:style w:type="paragraph" w:customStyle="1" w:styleId="Default">
    <w:name w:val="Default"/>
    <w:rsid w:val="00C626B2"/>
    <w:pPr>
      <w:autoSpaceDE w:val="0"/>
      <w:autoSpaceDN w:val="0"/>
      <w:adjustRightInd w:val="0"/>
      <w:spacing w:after="0" w:line="240" w:lineRule="auto"/>
    </w:pPr>
    <w:rPr>
      <w:color w:val="000000"/>
      <w:sz w:val="24"/>
      <w:szCs w:val="24"/>
      <w:lang w:val="fr-FR" w:eastAsia="fr-FR"/>
    </w:rPr>
  </w:style>
  <w:style w:type="character" w:customStyle="1" w:styleId="SingleTxtGCar">
    <w:name w:val="_ Single Txt_G Car"/>
    <w:rsid w:val="008A7D1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043">
      <w:bodyDiv w:val="1"/>
      <w:marLeft w:val="0"/>
      <w:marRight w:val="0"/>
      <w:marTop w:val="0"/>
      <w:marBottom w:val="0"/>
      <w:divBdr>
        <w:top w:val="none" w:sz="0" w:space="0" w:color="auto"/>
        <w:left w:val="none" w:sz="0" w:space="0" w:color="auto"/>
        <w:bottom w:val="none" w:sz="0" w:space="0" w:color="auto"/>
        <w:right w:val="none" w:sz="0" w:space="0" w:color="auto"/>
      </w:divBdr>
    </w:div>
    <w:div w:id="541720819">
      <w:bodyDiv w:val="1"/>
      <w:marLeft w:val="0"/>
      <w:marRight w:val="0"/>
      <w:marTop w:val="0"/>
      <w:marBottom w:val="0"/>
      <w:divBdr>
        <w:top w:val="none" w:sz="0" w:space="0" w:color="auto"/>
        <w:left w:val="none" w:sz="0" w:space="0" w:color="auto"/>
        <w:bottom w:val="none" w:sz="0" w:space="0" w:color="auto"/>
        <w:right w:val="none" w:sz="0" w:space="0" w:color="auto"/>
      </w:divBdr>
    </w:div>
    <w:div w:id="614215787">
      <w:bodyDiv w:val="1"/>
      <w:marLeft w:val="0"/>
      <w:marRight w:val="0"/>
      <w:marTop w:val="0"/>
      <w:marBottom w:val="0"/>
      <w:divBdr>
        <w:top w:val="none" w:sz="0" w:space="0" w:color="auto"/>
        <w:left w:val="none" w:sz="0" w:space="0" w:color="auto"/>
        <w:bottom w:val="none" w:sz="0" w:space="0" w:color="auto"/>
        <w:right w:val="none" w:sz="0" w:space="0" w:color="auto"/>
      </w:divBdr>
    </w:div>
    <w:div w:id="681131548">
      <w:bodyDiv w:val="1"/>
      <w:marLeft w:val="0"/>
      <w:marRight w:val="0"/>
      <w:marTop w:val="0"/>
      <w:marBottom w:val="0"/>
      <w:divBdr>
        <w:top w:val="none" w:sz="0" w:space="0" w:color="auto"/>
        <w:left w:val="none" w:sz="0" w:space="0" w:color="auto"/>
        <w:bottom w:val="none" w:sz="0" w:space="0" w:color="auto"/>
        <w:right w:val="none" w:sz="0" w:space="0" w:color="auto"/>
      </w:divBdr>
    </w:div>
    <w:div w:id="891581317">
      <w:bodyDiv w:val="1"/>
      <w:marLeft w:val="0"/>
      <w:marRight w:val="0"/>
      <w:marTop w:val="0"/>
      <w:marBottom w:val="0"/>
      <w:divBdr>
        <w:top w:val="none" w:sz="0" w:space="0" w:color="auto"/>
        <w:left w:val="none" w:sz="0" w:space="0" w:color="auto"/>
        <w:bottom w:val="none" w:sz="0" w:space="0" w:color="auto"/>
        <w:right w:val="none" w:sz="0" w:space="0" w:color="auto"/>
      </w:divBdr>
    </w:div>
    <w:div w:id="1200438807">
      <w:bodyDiv w:val="1"/>
      <w:marLeft w:val="0"/>
      <w:marRight w:val="0"/>
      <w:marTop w:val="0"/>
      <w:marBottom w:val="0"/>
      <w:divBdr>
        <w:top w:val="none" w:sz="0" w:space="0" w:color="auto"/>
        <w:left w:val="none" w:sz="0" w:space="0" w:color="auto"/>
        <w:bottom w:val="none" w:sz="0" w:space="0" w:color="auto"/>
        <w:right w:val="none" w:sz="0" w:space="0" w:color="auto"/>
      </w:divBdr>
    </w:div>
    <w:div w:id="1265769834">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02379937">
      <w:bodyDiv w:val="1"/>
      <w:marLeft w:val="0"/>
      <w:marRight w:val="0"/>
      <w:marTop w:val="0"/>
      <w:marBottom w:val="0"/>
      <w:divBdr>
        <w:top w:val="none" w:sz="0" w:space="0" w:color="auto"/>
        <w:left w:val="none" w:sz="0" w:space="0" w:color="auto"/>
        <w:bottom w:val="none" w:sz="0" w:space="0" w:color="auto"/>
        <w:right w:val="none" w:sz="0" w:space="0" w:color="auto"/>
      </w:divBdr>
    </w:div>
    <w:div w:id="2011448734">
      <w:bodyDiv w:val="1"/>
      <w:marLeft w:val="0"/>
      <w:marRight w:val="0"/>
      <w:marTop w:val="0"/>
      <w:marBottom w:val="0"/>
      <w:divBdr>
        <w:top w:val="none" w:sz="0" w:space="0" w:color="auto"/>
        <w:left w:val="none" w:sz="0" w:space="0" w:color="auto"/>
        <w:bottom w:val="none" w:sz="0" w:space="0" w:color="auto"/>
        <w:right w:val="none" w:sz="0" w:space="0" w:color="auto"/>
      </w:divBdr>
    </w:div>
    <w:div w:id="21010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647</TotalTime>
  <Pages>6</Pages>
  <Words>1828</Words>
  <Characters>10420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ECE/TRANS/WP.15/249/Add.1</vt:lpstr>
      <vt:lpstr>ECE/EX/22</vt:lpstr>
    </vt:vector>
  </TitlesOfParts>
  <Company>DCM</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ECE/TRANS/WP.15/249/Add.1</dc:title>
  <dc:subject>FINAL</dc:subject>
  <dc:creator>UNECE SM</dc:creator>
  <cp:keywords/>
  <dc:description/>
  <cp:lastModifiedBy>Christine Barrio-Champeau</cp:lastModifiedBy>
  <cp:revision>37</cp:revision>
  <cp:lastPrinted>2020-04-28T11:50:00Z</cp:lastPrinted>
  <dcterms:created xsi:type="dcterms:W3CDTF">2020-04-15T09:22:00Z</dcterms:created>
  <dcterms:modified xsi:type="dcterms:W3CDTF">2020-06-02T14:13:00Z</dcterms:modified>
</cp:coreProperties>
</file>