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02DE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02DEB" w:rsidP="00B02DEB">
            <w:pPr>
              <w:jc w:val="right"/>
            </w:pPr>
            <w:r w:rsidRPr="00B02DEB">
              <w:rPr>
                <w:sz w:val="40"/>
              </w:rPr>
              <w:t>ECE</w:t>
            </w:r>
            <w:r>
              <w:t>/TRANS/WP.15/2020/11</w:t>
            </w:r>
          </w:p>
        </w:tc>
      </w:tr>
      <w:tr w:rsidR="002D5AAC" w:rsidRPr="00B02DE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02DEB" w:rsidP="00387CD4">
            <w:pPr>
              <w:spacing w:before="240"/>
              <w:rPr>
                <w:lang w:val="en-US"/>
              </w:rPr>
            </w:pPr>
            <w:r>
              <w:rPr>
                <w:lang w:val="en-US"/>
              </w:rPr>
              <w:t>Distr.: General</w:t>
            </w:r>
          </w:p>
          <w:p w:rsidR="00B02DEB" w:rsidRDefault="00B02DEB" w:rsidP="00B02DEB">
            <w:pPr>
              <w:spacing w:line="240" w:lineRule="exact"/>
              <w:rPr>
                <w:lang w:val="en-US"/>
              </w:rPr>
            </w:pPr>
            <w:r>
              <w:rPr>
                <w:lang w:val="en-US"/>
              </w:rPr>
              <w:t>21 February 2020</w:t>
            </w:r>
          </w:p>
          <w:p w:rsidR="00B02DEB" w:rsidRDefault="00B02DEB" w:rsidP="00B02DEB">
            <w:pPr>
              <w:spacing w:line="240" w:lineRule="exact"/>
              <w:rPr>
                <w:lang w:val="en-US"/>
              </w:rPr>
            </w:pPr>
            <w:r>
              <w:rPr>
                <w:lang w:val="en-US"/>
              </w:rPr>
              <w:t>Russian</w:t>
            </w:r>
          </w:p>
          <w:p w:rsidR="00B02DEB" w:rsidRPr="008D53B6" w:rsidRDefault="00B02DEB" w:rsidP="00B02DEB">
            <w:pPr>
              <w:spacing w:line="240" w:lineRule="exact"/>
              <w:rPr>
                <w:lang w:val="en-US"/>
              </w:rPr>
            </w:pPr>
            <w:r>
              <w:rPr>
                <w:lang w:val="en-US"/>
              </w:rPr>
              <w:t>Original: French</w:t>
            </w:r>
          </w:p>
        </w:tc>
      </w:tr>
    </w:tbl>
    <w:p w:rsidR="00B02DEB" w:rsidRDefault="008A37C8" w:rsidP="00255343">
      <w:pPr>
        <w:spacing w:before="120"/>
        <w:rPr>
          <w:b/>
          <w:sz w:val="28"/>
          <w:szCs w:val="28"/>
        </w:rPr>
      </w:pPr>
      <w:r w:rsidRPr="00245892">
        <w:rPr>
          <w:b/>
          <w:sz w:val="28"/>
          <w:szCs w:val="28"/>
        </w:rPr>
        <w:t>Европейская экономическая комиссия</w:t>
      </w:r>
    </w:p>
    <w:p w:rsidR="00B02DEB" w:rsidRPr="00EE427E" w:rsidRDefault="00B02DEB" w:rsidP="00B02DEB">
      <w:pPr>
        <w:spacing w:before="120"/>
        <w:rPr>
          <w:sz w:val="28"/>
          <w:szCs w:val="28"/>
        </w:rPr>
      </w:pPr>
      <w:r w:rsidRPr="00EE427E">
        <w:rPr>
          <w:sz w:val="28"/>
          <w:szCs w:val="28"/>
        </w:rPr>
        <w:t>Комитет по внутреннему транспорту</w:t>
      </w:r>
    </w:p>
    <w:p w:rsidR="00B02DEB" w:rsidRPr="00EE427E" w:rsidRDefault="00B02DEB" w:rsidP="00B02DEB">
      <w:pPr>
        <w:spacing w:before="120"/>
        <w:rPr>
          <w:b/>
          <w:sz w:val="24"/>
          <w:szCs w:val="24"/>
        </w:rPr>
      </w:pPr>
      <w:r w:rsidRPr="00EE427E">
        <w:rPr>
          <w:b/>
          <w:bCs/>
          <w:sz w:val="24"/>
          <w:szCs w:val="24"/>
        </w:rPr>
        <w:t>Рабочая группа по перевозкам опасных грузов</w:t>
      </w:r>
    </w:p>
    <w:p w:rsidR="00B02DEB" w:rsidRPr="00EE427E" w:rsidRDefault="00B02DEB" w:rsidP="00B02DEB">
      <w:pPr>
        <w:spacing w:before="120"/>
        <w:rPr>
          <w:b/>
        </w:rPr>
      </w:pPr>
      <w:r>
        <w:rPr>
          <w:b/>
          <w:bCs/>
        </w:rPr>
        <w:t>108-я сессия</w:t>
      </w:r>
    </w:p>
    <w:p w:rsidR="00B02DEB" w:rsidRPr="00EE427E" w:rsidRDefault="00B02DEB" w:rsidP="00B02DEB">
      <w:pPr>
        <w:rPr>
          <w:rFonts w:eastAsia="SimSun"/>
        </w:rPr>
      </w:pPr>
      <w:r>
        <w:t xml:space="preserve">Женева, 11–15 мая 2020 года </w:t>
      </w:r>
    </w:p>
    <w:p w:rsidR="00B02DEB" w:rsidRPr="00EE427E" w:rsidRDefault="00B02DEB" w:rsidP="00B02DEB">
      <w:r>
        <w:t>Пункт 5 b) предварительной повестки дня</w:t>
      </w:r>
    </w:p>
    <w:p w:rsidR="00B02DEB" w:rsidRPr="00EE427E" w:rsidRDefault="00B02DEB" w:rsidP="00B02DEB">
      <w:pPr>
        <w:rPr>
          <w:b/>
          <w:bCs/>
        </w:rPr>
      </w:pPr>
      <w:r>
        <w:rPr>
          <w:b/>
          <w:bCs/>
        </w:rPr>
        <w:t xml:space="preserve">Предложения о внесении поправок </w:t>
      </w:r>
      <w:r>
        <w:rPr>
          <w:b/>
          <w:bCs/>
        </w:rPr>
        <w:br/>
        <w:t>в приложения А и B к ДОПОГ:</w:t>
      </w:r>
    </w:p>
    <w:p w:rsidR="00E12C5F" w:rsidRDefault="00B02DEB" w:rsidP="00B02DEB">
      <w:r>
        <w:rPr>
          <w:b/>
          <w:bCs/>
        </w:rPr>
        <w:t>различные предложения</w:t>
      </w:r>
    </w:p>
    <w:p w:rsidR="00B02DEB" w:rsidRPr="00EE427E" w:rsidRDefault="00B02DEB" w:rsidP="00B02DEB">
      <w:pPr>
        <w:pStyle w:val="HChG"/>
        <w:rPr>
          <w:sz w:val="24"/>
          <w:szCs w:val="24"/>
        </w:rPr>
      </w:pPr>
      <w:r>
        <w:rPr>
          <w:bCs/>
        </w:rPr>
        <w:tab/>
      </w:r>
      <w:r>
        <w:rPr>
          <w:bCs/>
        </w:rPr>
        <w:tab/>
        <w:t>Текст пункта 9.1.3.4</w:t>
      </w:r>
      <w:r>
        <w:t xml:space="preserve"> </w:t>
      </w:r>
    </w:p>
    <w:p w:rsidR="00B02DEB" w:rsidRPr="00EE427E" w:rsidRDefault="00B02DEB" w:rsidP="00B02DEB">
      <w:pPr>
        <w:pStyle w:val="H1G"/>
      </w:pPr>
      <w:r>
        <w:tab/>
      </w:r>
      <w:r>
        <w:tab/>
      </w:r>
      <w:r>
        <w:rPr>
          <w:bCs/>
        </w:rPr>
        <w:t>Записка секретариата</w:t>
      </w:r>
      <w:r w:rsidRPr="00B02DEB">
        <w:rPr>
          <w:b w:val="0"/>
          <w:sz w:val="20"/>
        </w:rPr>
        <w:footnoteReference w:customMarkFollows="1" w:id="1"/>
        <w:sym w:font="Symbol" w:char="F02A"/>
      </w:r>
    </w:p>
    <w:p w:rsidR="00B02DEB" w:rsidRPr="00EE427E" w:rsidRDefault="00B02DEB" w:rsidP="00B02DEB">
      <w:pPr>
        <w:pStyle w:val="HChG"/>
      </w:pPr>
      <w:r>
        <w:tab/>
      </w:r>
      <w:r>
        <w:tab/>
      </w:r>
      <w:r>
        <w:rPr>
          <w:bCs/>
        </w:rPr>
        <w:t>Введение</w:t>
      </w:r>
    </w:p>
    <w:p w:rsidR="00B02DEB" w:rsidRPr="00EE427E" w:rsidRDefault="00B02DEB" w:rsidP="00B02DEB">
      <w:pPr>
        <w:pStyle w:val="SingleTxtG"/>
      </w:pPr>
      <w:r>
        <w:t>1.</w:t>
      </w:r>
      <w:r>
        <w:tab/>
        <w:t xml:space="preserve">Поправки к ДОПОГ, вступающие в силу 1 января 2021 года (см. ECE/TRANS/WP.15/249), включают добавление нового второго абзаца в пункт 9.1.3.4. </w:t>
      </w:r>
    </w:p>
    <w:p w:rsidR="00B02DEB" w:rsidRPr="00EE427E" w:rsidRDefault="00B02DEB" w:rsidP="00B02DEB">
      <w:pPr>
        <w:pStyle w:val="SingleTxtG"/>
      </w:pPr>
      <w:r>
        <w:t>2.</w:t>
      </w:r>
      <w:r>
        <w:tab/>
        <w:t>Пункт 9.1.3.4 с внесенными в него поправками гласит следующее (новый текст подчеркнут):</w:t>
      </w:r>
    </w:p>
    <w:p w:rsidR="00B02DEB" w:rsidRPr="00EE427E" w:rsidRDefault="00B02DEB" w:rsidP="00B02DEB">
      <w:pPr>
        <w:pStyle w:val="SingleTxtG"/>
      </w:pPr>
      <w:r>
        <w:t>«9.1.3.4</w:t>
      </w:r>
      <w:r>
        <w:tab/>
        <w:t xml:space="preserve">Срок действия свидетельства о допущении к перевозке истекает не позднее чем через один год после даты технического осмотра транспортного средства, предшествовавшего выдаче свидетельства. При этом следующий срок действия начинается с номинальной даты истечения предыдущего срока действия, если технический осмотр осуществляется в течение одного месяца до или после этой даты. </w:t>
      </w:r>
    </w:p>
    <w:p w:rsidR="00B02DEB" w:rsidRPr="00EE427E" w:rsidRDefault="00B02DEB" w:rsidP="00B02DEB">
      <w:pPr>
        <w:pStyle w:val="SingleTxtG"/>
        <w:rPr>
          <w:u w:val="single"/>
        </w:rPr>
      </w:pPr>
      <w:r>
        <w:rPr>
          <w:u w:val="single"/>
        </w:rPr>
        <w:t>Транспортное средство не должно использоваться для перевозки опасных грузов после номинальной даты истечения срока действия свидетельства о допущении до тех пор, пока транспортное средство не будет иметь действительного свидетельства о допущении.</w:t>
      </w:r>
    </w:p>
    <w:p w:rsidR="00B02DEB" w:rsidRPr="00EE427E" w:rsidRDefault="00B02DEB" w:rsidP="00B02DEB">
      <w:pPr>
        <w:pStyle w:val="SingleTxtG"/>
      </w:pPr>
      <w:r>
        <w:t>Однако в случае цистерн, подлежащих обязательной периодической проверке, это положение не означает, что испытания на герметичность, испытания на гидравлическое давление или внутренние осмотры цистерн должны проводиться через более короткие промежутки времени, чем интервалы, предусмотренные в главах 6.8 и 6.9.».</w:t>
      </w:r>
    </w:p>
    <w:p w:rsidR="00B02DEB" w:rsidRPr="00EE427E" w:rsidRDefault="00B02DEB" w:rsidP="00B02DEB">
      <w:pPr>
        <w:pStyle w:val="SingleTxtG"/>
      </w:pPr>
      <w:r>
        <w:t>3.</w:t>
      </w:r>
      <w:r>
        <w:tab/>
        <w:t xml:space="preserve">С добавлением нового второго абзаца слова «это положение», содержащиеся в последнем абзаце, следует уточнить, поскольку они относятся к положению, </w:t>
      </w:r>
      <w:r>
        <w:lastRenderedPageBreak/>
        <w:t xml:space="preserve">содержащемуся в первом абзаце (см. предложение 1). Кроме того, после обсуждения с Председателем Рабочей группы выяснилось, что последний абзац можно было бы дополнительно уточнить (см. предложение 2). </w:t>
      </w:r>
    </w:p>
    <w:p w:rsidR="00B02DEB" w:rsidRPr="00EE427E" w:rsidRDefault="00B02DEB" w:rsidP="00B02DEB">
      <w:pPr>
        <w:pStyle w:val="HChG"/>
      </w:pPr>
      <w:r>
        <w:tab/>
      </w:r>
      <w:r>
        <w:tab/>
      </w:r>
      <w:r>
        <w:rPr>
          <w:bCs/>
        </w:rPr>
        <w:t>Предложения по поправкам</w:t>
      </w:r>
    </w:p>
    <w:p w:rsidR="00B02DEB" w:rsidRPr="00EE427E" w:rsidRDefault="00B02DEB" w:rsidP="00B02DEB">
      <w:pPr>
        <w:pStyle w:val="H1G"/>
      </w:pPr>
      <w:r>
        <w:tab/>
      </w:r>
      <w:r>
        <w:tab/>
      </w:r>
      <w:r>
        <w:rPr>
          <w:bCs/>
        </w:rPr>
        <w:t>Предложение 1</w:t>
      </w:r>
    </w:p>
    <w:p w:rsidR="00B02DEB" w:rsidRPr="00EE427E" w:rsidRDefault="00B02DEB" w:rsidP="00B02DEB">
      <w:pPr>
        <w:pStyle w:val="SingleTxtG"/>
      </w:pPr>
      <w:r>
        <w:t>4.</w:t>
      </w:r>
      <w:r>
        <w:tab/>
        <w:t xml:space="preserve">Предлагается заменить «это положение не означает» на «эти положения не означают». </w:t>
      </w:r>
    </w:p>
    <w:p w:rsidR="00B02DEB" w:rsidRPr="00EE427E" w:rsidRDefault="00B02DEB" w:rsidP="00B02DEB">
      <w:pPr>
        <w:pStyle w:val="H1G"/>
      </w:pPr>
      <w:r>
        <w:tab/>
      </w:r>
      <w:r>
        <w:tab/>
      </w:r>
      <w:r>
        <w:rPr>
          <w:bCs/>
        </w:rPr>
        <w:t>Предложение 2</w:t>
      </w:r>
    </w:p>
    <w:p w:rsidR="00B02DEB" w:rsidRPr="00EE427E" w:rsidRDefault="00B02DEB" w:rsidP="00B02DEB">
      <w:pPr>
        <w:pStyle w:val="SingleTxtG"/>
      </w:pPr>
      <w:r>
        <w:t>5.</w:t>
      </w:r>
      <w:r>
        <w:tab/>
        <w:t>В качестве альтернативы Рабочая группа, возможно, пожелает изменить последний абзац пункта 9.1.3.4 следующим образом:</w:t>
      </w:r>
    </w:p>
    <w:p w:rsidR="00B02DEB" w:rsidRPr="00EE427E" w:rsidRDefault="00B02DEB" w:rsidP="00B02DEB">
      <w:pPr>
        <w:pStyle w:val="SingleTxtG"/>
      </w:pPr>
      <w:r>
        <w:t>«Однако эти положения не подразумевают, что проверки цистерн должны проводиться через более короткие промежутки времени, чем те, которые предусмотрены в главах 6.8, 6.9 или 6.10.».</w:t>
      </w:r>
    </w:p>
    <w:p w:rsidR="00B02DEB" w:rsidRPr="00EE427E" w:rsidRDefault="00B02DEB" w:rsidP="00B02DEB">
      <w:pPr>
        <w:pStyle w:val="HChG"/>
      </w:pPr>
      <w:r>
        <w:tab/>
      </w:r>
      <w:r>
        <w:tab/>
      </w:r>
      <w:r>
        <w:rPr>
          <w:bCs/>
        </w:rPr>
        <w:t>Вступление в силу</w:t>
      </w:r>
    </w:p>
    <w:p w:rsidR="00B02DEB" w:rsidRDefault="00B02DEB" w:rsidP="00B02DEB">
      <w:pPr>
        <w:pStyle w:val="SingleTxtG"/>
      </w:pPr>
      <w:r>
        <w:t>6.</w:t>
      </w:r>
      <w:r>
        <w:tab/>
        <w:t>Предлагается принять эту поправку для вступления в силу 1 января 2021 года одновременно с добавлением нового второго абзаца.</w:t>
      </w:r>
    </w:p>
    <w:p w:rsidR="00B02DEB" w:rsidRPr="00B02DEB" w:rsidRDefault="00B02DEB" w:rsidP="00B02DEB">
      <w:pPr>
        <w:pStyle w:val="SingleTxtG"/>
        <w:spacing w:before="240" w:after="0"/>
        <w:jc w:val="center"/>
        <w:rPr>
          <w:u w:val="single"/>
        </w:rPr>
      </w:pPr>
      <w:r>
        <w:rPr>
          <w:u w:val="single"/>
        </w:rPr>
        <w:tab/>
      </w:r>
      <w:r>
        <w:rPr>
          <w:u w:val="single"/>
        </w:rPr>
        <w:tab/>
      </w:r>
      <w:r>
        <w:rPr>
          <w:u w:val="single"/>
        </w:rPr>
        <w:tab/>
      </w:r>
      <w:r>
        <w:rPr>
          <w:u w:val="single"/>
        </w:rPr>
        <w:tab/>
      </w:r>
    </w:p>
    <w:sectPr w:rsidR="00B02DEB" w:rsidRPr="00B02DEB" w:rsidSect="00B02DE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964" w:rsidRPr="00A312BC" w:rsidRDefault="004E0964" w:rsidP="00A312BC"/>
  </w:endnote>
  <w:endnote w:type="continuationSeparator" w:id="0">
    <w:p w:rsidR="004E0964" w:rsidRPr="00A312BC" w:rsidRDefault="004E09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EB" w:rsidRPr="00B02DEB" w:rsidRDefault="00B02DEB">
    <w:pPr>
      <w:pStyle w:val="Footer"/>
    </w:pPr>
    <w:r w:rsidRPr="00B02DEB">
      <w:rPr>
        <w:b/>
        <w:sz w:val="18"/>
      </w:rPr>
      <w:fldChar w:fldCharType="begin"/>
    </w:r>
    <w:r w:rsidRPr="00B02DEB">
      <w:rPr>
        <w:b/>
        <w:sz w:val="18"/>
      </w:rPr>
      <w:instrText xml:space="preserve"> PAGE  \* MERGEFORMAT </w:instrText>
    </w:r>
    <w:r w:rsidRPr="00B02DEB">
      <w:rPr>
        <w:b/>
        <w:sz w:val="18"/>
      </w:rPr>
      <w:fldChar w:fldCharType="separate"/>
    </w:r>
    <w:r w:rsidR="00C2782D">
      <w:rPr>
        <w:b/>
        <w:noProof/>
        <w:sz w:val="18"/>
      </w:rPr>
      <w:t>2</w:t>
    </w:r>
    <w:r w:rsidRPr="00B02DEB">
      <w:rPr>
        <w:b/>
        <w:sz w:val="18"/>
      </w:rPr>
      <w:fldChar w:fldCharType="end"/>
    </w:r>
    <w:r>
      <w:rPr>
        <w:b/>
        <w:sz w:val="18"/>
      </w:rPr>
      <w:tab/>
    </w:r>
    <w:r>
      <w:t>GE.20-02739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EB" w:rsidRPr="00B02DEB" w:rsidRDefault="00B02DEB" w:rsidP="00B02DEB">
    <w:pPr>
      <w:pStyle w:val="Footer"/>
      <w:tabs>
        <w:tab w:val="clear" w:pos="9639"/>
        <w:tab w:val="right" w:pos="9638"/>
      </w:tabs>
      <w:rPr>
        <w:b/>
        <w:sz w:val="18"/>
      </w:rPr>
    </w:pPr>
    <w:r>
      <w:t>GE.20-02739</w:t>
    </w:r>
    <w:r>
      <w:tab/>
    </w:r>
    <w:r w:rsidRPr="00B02DEB">
      <w:rPr>
        <w:b/>
        <w:sz w:val="18"/>
      </w:rPr>
      <w:fldChar w:fldCharType="begin"/>
    </w:r>
    <w:r w:rsidRPr="00B02DEB">
      <w:rPr>
        <w:b/>
        <w:sz w:val="18"/>
      </w:rPr>
      <w:instrText xml:space="preserve"> PAGE  \* MERGEFORMAT </w:instrText>
    </w:r>
    <w:r w:rsidRPr="00B02DEB">
      <w:rPr>
        <w:b/>
        <w:sz w:val="18"/>
      </w:rPr>
      <w:fldChar w:fldCharType="separate"/>
    </w:r>
    <w:r>
      <w:rPr>
        <w:b/>
        <w:noProof/>
        <w:sz w:val="18"/>
      </w:rPr>
      <w:t>3</w:t>
    </w:r>
    <w:r w:rsidRPr="00B02D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02DEB" w:rsidRDefault="00B02DEB" w:rsidP="00B02DEB">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20-02739  (R)</w:t>
    </w:r>
    <w:r w:rsidR="00F31335">
      <w:rPr>
        <w:lang w:val="en-US"/>
      </w:rPr>
      <w:t xml:space="preserve">  240220  240220</w:t>
    </w:r>
    <w:r>
      <w:br/>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sidRPr="00B02DE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20/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964" w:rsidRPr="001075E9" w:rsidRDefault="004E0964" w:rsidP="001075E9">
      <w:pPr>
        <w:tabs>
          <w:tab w:val="right" w:pos="2155"/>
        </w:tabs>
        <w:spacing w:after="80" w:line="240" w:lineRule="auto"/>
        <w:ind w:left="680"/>
        <w:rPr>
          <w:u w:val="single"/>
        </w:rPr>
      </w:pPr>
      <w:r>
        <w:rPr>
          <w:u w:val="single"/>
        </w:rPr>
        <w:tab/>
      </w:r>
    </w:p>
  </w:footnote>
  <w:footnote w:type="continuationSeparator" w:id="0">
    <w:p w:rsidR="004E0964" w:rsidRDefault="004E0964" w:rsidP="00407B78">
      <w:pPr>
        <w:tabs>
          <w:tab w:val="right" w:pos="2155"/>
        </w:tabs>
        <w:spacing w:after="80"/>
        <w:ind w:left="680"/>
        <w:rPr>
          <w:u w:val="single"/>
        </w:rPr>
      </w:pPr>
      <w:r>
        <w:rPr>
          <w:u w:val="single"/>
        </w:rPr>
        <w:tab/>
      </w:r>
    </w:p>
  </w:footnote>
  <w:footnote w:id="1">
    <w:p w:rsidR="00B02DEB" w:rsidRPr="00EE427E" w:rsidRDefault="00B02DEB" w:rsidP="00B02DEB">
      <w:pPr>
        <w:pStyle w:val="FootnoteText"/>
      </w:pPr>
      <w:r>
        <w:tab/>
      </w:r>
      <w:r w:rsidRPr="00B02DEB">
        <w:rPr>
          <w:sz w:val="20"/>
        </w:rPr>
        <w:sym w:font="Symbol" w:char="F02A"/>
      </w:r>
      <w:r>
        <w:tab/>
        <w:t>2020 год (A/74/6 (Раздел 20) и дополнительная информация, Подпрограмма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EB" w:rsidRPr="00B02DEB" w:rsidRDefault="001B10E4">
    <w:pPr>
      <w:pStyle w:val="Header"/>
    </w:pPr>
    <w:r>
      <w:fldChar w:fldCharType="begin"/>
    </w:r>
    <w:r>
      <w:instrText xml:space="preserve"> TITLE  \* MERGEFORMAT </w:instrText>
    </w:r>
    <w:r>
      <w:fldChar w:fldCharType="separate"/>
    </w:r>
    <w:r w:rsidR="00C2782D">
      <w:t>ECE/TRANS/WP.15/2020/11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EB" w:rsidRPr="00B02DEB" w:rsidRDefault="001B10E4" w:rsidP="00B02DEB">
    <w:pPr>
      <w:pStyle w:val="Header"/>
      <w:jc w:val="right"/>
    </w:pPr>
    <w:r>
      <w:fldChar w:fldCharType="begin"/>
    </w:r>
    <w:r>
      <w:instrText xml:space="preserve"> TITLE  \* MERGEFORMAT </w:instrText>
    </w:r>
    <w:r>
      <w:fldChar w:fldCharType="separate"/>
    </w:r>
    <w:r w:rsidR="00C2782D">
      <w:t>ECE/TRANS/WP.15/2020/11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6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10E4"/>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4E0964"/>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16D3"/>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2DEB"/>
    <w:rsid w:val="00B10CC7"/>
    <w:rsid w:val="00B36DF7"/>
    <w:rsid w:val="00B539E7"/>
    <w:rsid w:val="00B62458"/>
    <w:rsid w:val="00BC18B2"/>
    <w:rsid w:val="00BD33EE"/>
    <w:rsid w:val="00BE1CC7"/>
    <w:rsid w:val="00C106D6"/>
    <w:rsid w:val="00C119AE"/>
    <w:rsid w:val="00C2782D"/>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1335"/>
    <w:rsid w:val="00F43903"/>
    <w:rsid w:val="00F62E6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1702F2-B08C-4604-95B2-8C510FED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B02DEB"/>
    <w:rPr>
      <w:lang w:val="ru-RU" w:eastAsia="en-US"/>
    </w:rPr>
  </w:style>
  <w:style w:type="character" w:customStyle="1" w:styleId="HChGChar">
    <w:name w:val="_ H _Ch_G Char"/>
    <w:link w:val="HChG"/>
    <w:rsid w:val="00B02DEB"/>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ECE/TRANS/WP.15/2020/11</vt:lpstr>
      <vt:lpstr>A/</vt:lpstr>
      <vt:lpstr>A/</vt:lpstr>
    </vt:vector>
  </TitlesOfParts>
  <Company>DCM</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ECE/TRANS/WP.15/2020/11</dc:title>
  <dc:subject/>
  <dc:creator>Marina KOROTKOVA</dc:creator>
  <cp:keywords/>
  <cp:lastModifiedBy>Christine Barrio-Champeau</cp:lastModifiedBy>
  <cp:revision>2</cp:revision>
  <cp:lastPrinted>2020-02-24T12:54:00Z</cp:lastPrinted>
  <dcterms:created xsi:type="dcterms:W3CDTF">2020-03-05T14:24:00Z</dcterms:created>
  <dcterms:modified xsi:type="dcterms:W3CDTF">2020-03-05T14:24:00Z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