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EE47D3" w:rsidP="00EE47D3">
            <w:pPr>
              <w:jc w:val="right"/>
            </w:pPr>
            <w:r w:rsidRPr="00EE47D3">
              <w:rPr>
                <w:sz w:val="40"/>
              </w:rPr>
              <w:t>ECE</w:t>
            </w:r>
            <w:r>
              <w:t>/TRANS/WP.15/2020/11</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EE47D3" w:rsidP="00EE47D3">
            <w:pPr>
              <w:spacing w:before="240" w:line="240" w:lineRule="exact"/>
            </w:pPr>
            <w:proofErr w:type="spellStart"/>
            <w:r>
              <w:t>Distr</w:t>
            </w:r>
            <w:proofErr w:type="spellEnd"/>
            <w:r>
              <w:t xml:space="preserve">. </w:t>
            </w:r>
            <w:proofErr w:type="gramStart"/>
            <w:r>
              <w:t>générale</w:t>
            </w:r>
            <w:proofErr w:type="gramEnd"/>
          </w:p>
          <w:p w:rsidR="00EE47D3" w:rsidRDefault="00581E9C" w:rsidP="00EE47D3">
            <w:pPr>
              <w:spacing w:line="240" w:lineRule="exact"/>
            </w:pPr>
            <w:r>
              <w:t>21</w:t>
            </w:r>
            <w:r w:rsidR="00EE47D3">
              <w:t xml:space="preserve"> février 2020</w:t>
            </w:r>
          </w:p>
          <w:p w:rsidR="00EE47D3" w:rsidRDefault="00EE47D3" w:rsidP="00EE47D3">
            <w:pPr>
              <w:spacing w:line="240" w:lineRule="exact"/>
            </w:pPr>
          </w:p>
          <w:p w:rsidR="00EE47D3" w:rsidRPr="00DB58B5" w:rsidRDefault="00EE47D3" w:rsidP="00EE47D3">
            <w:pPr>
              <w:spacing w:line="240" w:lineRule="exact"/>
            </w:pPr>
            <w:r>
              <w:t>Original : français</w:t>
            </w:r>
          </w:p>
        </w:tc>
      </w:tr>
    </w:tbl>
    <w:p w:rsidR="00EE47D3" w:rsidRDefault="00EE47D3" w:rsidP="00EE47D3">
      <w:pPr>
        <w:spacing w:before="120"/>
        <w:rPr>
          <w:b/>
          <w:sz w:val="28"/>
          <w:szCs w:val="28"/>
        </w:rPr>
      </w:pPr>
      <w:r>
        <w:rPr>
          <w:b/>
          <w:sz w:val="28"/>
          <w:szCs w:val="28"/>
        </w:rPr>
        <w:t>Commission économique pour l’Europe</w:t>
      </w:r>
    </w:p>
    <w:p w:rsidR="00EE47D3" w:rsidRDefault="00EE47D3" w:rsidP="00EE47D3">
      <w:pPr>
        <w:spacing w:before="120"/>
        <w:rPr>
          <w:sz w:val="28"/>
          <w:szCs w:val="28"/>
        </w:rPr>
      </w:pPr>
      <w:r>
        <w:rPr>
          <w:sz w:val="28"/>
          <w:szCs w:val="28"/>
        </w:rPr>
        <w:t>Comité des transports intérieurs</w:t>
      </w:r>
    </w:p>
    <w:p w:rsidR="00EE47D3" w:rsidRDefault="00EE47D3" w:rsidP="00EE47D3">
      <w:pPr>
        <w:spacing w:before="120"/>
        <w:rPr>
          <w:b/>
          <w:sz w:val="24"/>
          <w:szCs w:val="24"/>
        </w:rPr>
      </w:pPr>
      <w:r>
        <w:rPr>
          <w:b/>
          <w:sz w:val="24"/>
          <w:szCs w:val="24"/>
        </w:rPr>
        <w:t>Groupe de travail des transports de marchandises dangereuses</w:t>
      </w:r>
    </w:p>
    <w:p w:rsidR="00EE47D3" w:rsidRDefault="00EE47D3" w:rsidP="00EE47D3">
      <w:pPr>
        <w:spacing w:before="120"/>
        <w:rPr>
          <w:b/>
        </w:rPr>
      </w:pPr>
      <w:r>
        <w:rPr>
          <w:b/>
        </w:rPr>
        <w:t>108</w:t>
      </w:r>
      <w:r>
        <w:rPr>
          <w:b/>
          <w:vertAlign w:val="superscript"/>
        </w:rPr>
        <w:t xml:space="preserve">e </w:t>
      </w:r>
      <w:r>
        <w:rPr>
          <w:b/>
        </w:rPr>
        <w:t>session</w:t>
      </w:r>
    </w:p>
    <w:p w:rsidR="00EE47D3" w:rsidRDefault="00EE47D3" w:rsidP="00EE47D3">
      <w:pPr>
        <w:rPr>
          <w:rFonts w:eastAsia="SimSun"/>
          <w:lang w:val="fr-FR"/>
        </w:rPr>
      </w:pPr>
      <w:r>
        <w:t xml:space="preserve">Genève, </w:t>
      </w:r>
      <w:r>
        <w:rPr>
          <w:lang w:val="fr-FR"/>
        </w:rPr>
        <w:t xml:space="preserve">11-15 mai 2020 </w:t>
      </w:r>
    </w:p>
    <w:p w:rsidR="00EE47D3" w:rsidRDefault="00EE47D3" w:rsidP="00EE47D3">
      <w:pPr>
        <w:rPr>
          <w:lang w:val="fr-FR"/>
        </w:rPr>
      </w:pPr>
      <w:r>
        <w:rPr>
          <w:lang w:val="fr-FR"/>
        </w:rPr>
        <w:t>Point 5 b) de l’ordre du jour provisoire</w:t>
      </w:r>
    </w:p>
    <w:p w:rsidR="00EE47D3" w:rsidRDefault="00EE47D3" w:rsidP="00EE47D3">
      <w:pPr>
        <w:rPr>
          <w:b/>
          <w:bCs/>
          <w:lang w:val="fr-FR"/>
        </w:rPr>
      </w:pPr>
      <w:r>
        <w:rPr>
          <w:b/>
          <w:bCs/>
          <w:lang w:val="fr-FR"/>
        </w:rPr>
        <w:t>Propositions d’amendement aux annexes A et B de l’ADR :</w:t>
      </w:r>
    </w:p>
    <w:p w:rsidR="00EE47D3" w:rsidRDefault="00EE47D3" w:rsidP="00EE47D3">
      <w:pPr>
        <w:rPr>
          <w:b/>
          <w:bCs/>
          <w:lang w:val="fr-FR"/>
        </w:rPr>
      </w:pPr>
      <w:proofErr w:type="gramStart"/>
      <w:r>
        <w:rPr>
          <w:b/>
          <w:bCs/>
          <w:lang w:val="fr-FR"/>
        </w:rPr>
        <w:t>propositions</w:t>
      </w:r>
      <w:proofErr w:type="gramEnd"/>
      <w:r>
        <w:rPr>
          <w:b/>
          <w:bCs/>
          <w:lang w:val="fr-FR"/>
        </w:rPr>
        <w:t xml:space="preserve"> diverses</w:t>
      </w:r>
    </w:p>
    <w:p w:rsidR="00EE47D3" w:rsidRDefault="00EE47D3" w:rsidP="00EE47D3">
      <w:pPr>
        <w:pStyle w:val="HChG"/>
        <w:rPr>
          <w:sz w:val="24"/>
          <w:szCs w:val="24"/>
          <w:lang w:val="en-GB"/>
        </w:rPr>
      </w:pPr>
      <w:r>
        <w:rPr>
          <w:lang w:val="fr-FR"/>
        </w:rPr>
        <w:tab/>
      </w:r>
      <w:r>
        <w:rPr>
          <w:lang w:val="fr-FR"/>
        </w:rPr>
        <w:tab/>
      </w:r>
      <w:r>
        <w:rPr>
          <w:sz w:val="24"/>
          <w:szCs w:val="24"/>
          <w:lang w:val="en-GB"/>
        </w:rPr>
        <w:t xml:space="preserve"> </w:t>
      </w:r>
      <w:r w:rsidRPr="007256BB">
        <w:rPr>
          <w:rStyle w:val="HChGChar"/>
          <w:b/>
          <w:bCs/>
        </w:rPr>
        <w:t>Texte du 9.1.3.4</w:t>
      </w:r>
      <w:r w:rsidRPr="007256BB">
        <w:rPr>
          <w:sz w:val="20"/>
          <w:vertAlign w:val="superscript"/>
          <w:lang w:val="en-GB"/>
        </w:rPr>
        <w:t xml:space="preserve"> </w:t>
      </w:r>
    </w:p>
    <w:p w:rsidR="00EE47D3" w:rsidRDefault="00EE47D3" w:rsidP="00EE47D3">
      <w:pPr>
        <w:pStyle w:val="H1G"/>
        <w:rPr>
          <w:lang w:val="fr-FR"/>
        </w:rPr>
      </w:pPr>
      <w:r>
        <w:rPr>
          <w:lang w:val="fr-FR"/>
        </w:rPr>
        <w:tab/>
      </w:r>
      <w:r>
        <w:rPr>
          <w:lang w:val="fr-FR"/>
        </w:rPr>
        <w:tab/>
        <w:t>Note du secrétariat</w:t>
      </w:r>
      <w:r w:rsidRPr="007256BB">
        <w:rPr>
          <w:sz w:val="20"/>
          <w:vertAlign w:val="superscript"/>
          <w:lang w:val="fr-FR"/>
        </w:rPr>
        <w:footnoteReference w:customMarkFollows="1" w:id="2"/>
        <w:sym w:font="Symbol" w:char="F02A"/>
      </w:r>
    </w:p>
    <w:p w:rsidR="00EE47D3" w:rsidRPr="00401360" w:rsidRDefault="00EE47D3" w:rsidP="00EE47D3">
      <w:pPr>
        <w:pStyle w:val="HChG"/>
      </w:pPr>
      <w:r>
        <w:tab/>
      </w:r>
      <w:r>
        <w:tab/>
      </w:r>
      <w:r w:rsidRPr="00401360">
        <w:t>Introduction</w:t>
      </w:r>
    </w:p>
    <w:p w:rsidR="00EE47D3" w:rsidRDefault="00EE47D3" w:rsidP="00EE47D3">
      <w:pPr>
        <w:pStyle w:val="SingleTxtG"/>
      </w:pPr>
      <w:r>
        <w:t>1.</w:t>
      </w:r>
      <w:r>
        <w:tab/>
        <w:t>Les amendements à l’ADR entrant en vigueur au 1</w:t>
      </w:r>
      <w:r w:rsidRPr="007F7D68">
        <w:rPr>
          <w:vertAlign w:val="superscript"/>
        </w:rPr>
        <w:t>er</w:t>
      </w:r>
      <w:r>
        <w:t xml:space="preserve"> janvier 2021 (voir ECE/TRANS/WP.15/249) comprennent l’ajout d’un nouveau second paragraphe au 9.1.3.4. </w:t>
      </w:r>
    </w:p>
    <w:p w:rsidR="00EE47D3" w:rsidRDefault="00EE47D3" w:rsidP="00EE47D3">
      <w:pPr>
        <w:pStyle w:val="SingleTxtG"/>
      </w:pPr>
      <w:r>
        <w:t>2.</w:t>
      </w:r>
      <w:r>
        <w:tab/>
        <w:t>Le 9.1.3.4 tel que modifié se li</w:t>
      </w:r>
      <w:r w:rsidR="00F4213B">
        <w:t>t</w:t>
      </w:r>
      <w:r>
        <w:t xml:space="preserve"> (nouveau texte souligné) :</w:t>
      </w:r>
    </w:p>
    <w:p w:rsidR="00EE47D3" w:rsidRPr="00FF33DE" w:rsidRDefault="00EE47D3" w:rsidP="00EE47D3">
      <w:pPr>
        <w:pStyle w:val="SingleTxtG"/>
      </w:pPr>
      <w:r w:rsidRPr="007F7D68">
        <w:t>« 9.1.3.4</w:t>
      </w:r>
      <w:r w:rsidRPr="007F7D68">
        <w:tab/>
        <w:t xml:space="preserve">La validité d’un certificat d'agrément expire au plus tard un an après la date de la visite technique du véhicule précédant la délivrance du certificat. La période de validité suivante dépend cependant de la dernière date d'expiration nominale, si la visite technique est effectuée dans le mois qui précède ou dans le mois qui suit cette date. </w:t>
      </w:r>
    </w:p>
    <w:p w:rsidR="00EE47D3" w:rsidRPr="007F7D68" w:rsidRDefault="00EE47D3" w:rsidP="00EE47D3">
      <w:pPr>
        <w:pStyle w:val="SingleTxtG"/>
        <w:rPr>
          <w:u w:val="single"/>
        </w:rPr>
      </w:pPr>
      <w:r w:rsidRPr="007F7D68">
        <w:rPr>
          <w:u w:val="single"/>
        </w:rPr>
        <w:t>Le véhicule ne doit pas être utilisé pour le transport de marchandises dangereuses après la date d’expiration nominale jusqu'à ce qu'il ait un certificat d’agrément valide.</w:t>
      </w:r>
    </w:p>
    <w:p w:rsidR="00EE47D3" w:rsidRPr="007F7D68" w:rsidRDefault="00EE47D3" w:rsidP="00EE47D3">
      <w:pPr>
        <w:pStyle w:val="SingleTxtG"/>
      </w:pPr>
      <w:r w:rsidRPr="007F7D68">
        <w:t xml:space="preserve">Cette prescription ne saurait, toutefois dans le cas des citernes soumises à l'obligation de contrôles périodiques, avoir pour effet d'imposer des épreuves d'étanchéité, épreuves de pression hydraulique </w:t>
      </w:r>
      <w:bookmarkStart w:id="0" w:name="_GoBack"/>
      <w:bookmarkEnd w:id="0"/>
      <w:r w:rsidRPr="007F7D68">
        <w:t>ou examens intérieurs des citernes à des intervalles plus rapprochés que ceux qui sont prévus aux chapitres 6.8 et 6.9. ».</w:t>
      </w:r>
    </w:p>
    <w:p w:rsidR="00EE47D3" w:rsidRDefault="00EE47D3" w:rsidP="00EE47D3">
      <w:pPr>
        <w:pStyle w:val="SingleTxtG"/>
      </w:pPr>
      <w:r>
        <w:t>3.</w:t>
      </w:r>
      <w:r>
        <w:tab/>
        <w:t xml:space="preserve">Avec l’ajout du nouveau second paragraphe, le terme « Cette prescription » dans le dernier paragraphe devrait être clarifié car il fait référence à la prescription du premier paragraphe (voir Proposition 1). Par ailleurs, après discussion avec la présidente du Groupe de travail, il est apparu que ce dernier paragraphe pouvait être d’avantage clarifié (voir Proposition 2). </w:t>
      </w:r>
    </w:p>
    <w:p w:rsidR="00EE47D3" w:rsidRPr="00401360" w:rsidRDefault="00EE47D3" w:rsidP="00EE47D3">
      <w:pPr>
        <w:pStyle w:val="HChG"/>
      </w:pPr>
      <w:r>
        <w:lastRenderedPageBreak/>
        <w:tab/>
      </w:r>
      <w:r>
        <w:tab/>
      </w:r>
      <w:r w:rsidRPr="00401360">
        <w:t>Propositions d’amendement</w:t>
      </w:r>
    </w:p>
    <w:p w:rsidR="00EE47D3" w:rsidRPr="00401360" w:rsidRDefault="00EE47D3" w:rsidP="00EE47D3">
      <w:pPr>
        <w:pStyle w:val="H1G"/>
      </w:pPr>
      <w:r>
        <w:tab/>
      </w:r>
      <w:r>
        <w:tab/>
      </w:r>
      <w:r w:rsidRPr="00401360">
        <w:t>Proposition 1</w:t>
      </w:r>
    </w:p>
    <w:p w:rsidR="00EE47D3" w:rsidRDefault="00EE47D3" w:rsidP="00EE47D3">
      <w:pPr>
        <w:pStyle w:val="SingleTxtG"/>
      </w:pPr>
      <w:r>
        <w:t>4.</w:t>
      </w:r>
      <w:r>
        <w:tab/>
        <w:t>Il est proposé de remplacer « </w:t>
      </w:r>
      <w:r w:rsidRPr="007F7D68">
        <w:t>Cette prescription ne saurait</w:t>
      </w:r>
      <w:r>
        <w:t xml:space="preserve"> » par « Ces dispositions ne sauraient ». </w:t>
      </w:r>
    </w:p>
    <w:p w:rsidR="00EE47D3" w:rsidRPr="00401360" w:rsidRDefault="00EE47D3" w:rsidP="00EE47D3">
      <w:pPr>
        <w:pStyle w:val="H1G"/>
      </w:pPr>
      <w:r>
        <w:tab/>
      </w:r>
      <w:r>
        <w:tab/>
      </w:r>
      <w:r w:rsidRPr="00401360">
        <w:t>Proposition 2</w:t>
      </w:r>
    </w:p>
    <w:p w:rsidR="00EE47D3" w:rsidRDefault="00EE47D3" w:rsidP="00EE47D3">
      <w:pPr>
        <w:pStyle w:val="SingleTxtG"/>
      </w:pPr>
      <w:r>
        <w:t>5.</w:t>
      </w:r>
      <w:r>
        <w:tab/>
        <w:t>Alternativement, le Groupe de travail souhaitera peut-être modifier le dernier paragraphe du 9.1.3.4 pour lire :</w:t>
      </w:r>
    </w:p>
    <w:p w:rsidR="00EE47D3" w:rsidRDefault="00EE47D3" w:rsidP="00EE47D3">
      <w:pPr>
        <w:pStyle w:val="SingleTxtG"/>
      </w:pPr>
      <w:r>
        <w:t>« </w:t>
      </w:r>
      <w:r>
        <w:rPr>
          <w:rStyle w:val="xtlid-translation"/>
        </w:rPr>
        <w:t>Ces dispositions n'impliquent toutefois pas que les contrôles des citernes doivent être effectués à des intervalles plus courts que ceux prévus aux chapitres 6.8, 6.9 ou 6.10. ».</w:t>
      </w:r>
    </w:p>
    <w:p w:rsidR="00EE47D3" w:rsidRPr="00401360" w:rsidRDefault="00EE47D3" w:rsidP="00EE47D3">
      <w:pPr>
        <w:pStyle w:val="HChG"/>
      </w:pPr>
      <w:r>
        <w:tab/>
      </w:r>
      <w:r>
        <w:tab/>
      </w:r>
      <w:r w:rsidRPr="00401360">
        <w:t>Entrée en vigueur</w:t>
      </w:r>
    </w:p>
    <w:p w:rsidR="00EE47D3" w:rsidRDefault="00EE47D3" w:rsidP="00EE47D3">
      <w:pPr>
        <w:pStyle w:val="SingleTxtG"/>
      </w:pPr>
      <w:r>
        <w:t>6.</w:t>
      </w:r>
      <w:r>
        <w:tab/>
        <w:t xml:space="preserve">Il est proposé d’adopter cette modification pour </w:t>
      </w:r>
      <w:proofErr w:type="spellStart"/>
      <w:r>
        <w:t>entrée</w:t>
      </w:r>
      <w:proofErr w:type="spellEnd"/>
      <w:r>
        <w:t xml:space="preserve"> en vigueur au 1</w:t>
      </w:r>
      <w:r w:rsidRPr="00401360">
        <w:rPr>
          <w:vertAlign w:val="superscript"/>
        </w:rPr>
        <w:t>er</w:t>
      </w:r>
      <w:r>
        <w:t xml:space="preserve"> janvier 2021 en même temps que l’ajout du nouveau second paragraphe.</w:t>
      </w:r>
    </w:p>
    <w:p w:rsidR="00EE47D3" w:rsidRPr="00CF6C94" w:rsidRDefault="00EE47D3" w:rsidP="00EE47D3">
      <w:pPr>
        <w:spacing w:before="240"/>
        <w:jc w:val="center"/>
        <w:rPr>
          <w:u w:val="single"/>
        </w:rPr>
      </w:pPr>
      <w:r>
        <w:rPr>
          <w:u w:val="single"/>
        </w:rPr>
        <w:tab/>
      </w:r>
      <w:r>
        <w:rPr>
          <w:u w:val="single"/>
        </w:rPr>
        <w:tab/>
      </w:r>
      <w:r>
        <w:rPr>
          <w:u w:val="single"/>
        </w:rPr>
        <w:tab/>
      </w:r>
    </w:p>
    <w:p w:rsidR="00C1626B" w:rsidRPr="00EE47D3" w:rsidRDefault="00C1626B" w:rsidP="00F06ED4"/>
    <w:sectPr w:rsidR="00C1626B" w:rsidRPr="00EE47D3" w:rsidSect="00EE47D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D3" w:rsidRDefault="00EE47D3" w:rsidP="00F95C08">
      <w:pPr>
        <w:spacing w:line="240" w:lineRule="auto"/>
      </w:pPr>
    </w:p>
  </w:endnote>
  <w:endnote w:type="continuationSeparator" w:id="0">
    <w:p w:rsidR="00EE47D3" w:rsidRPr="00AC3823" w:rsidRDefault="00EE47D3" w:rsidP="00AC3823">
      <w:pPr>
        <w:pStyle w:val="Footer"/>
      </w:pPr>
    </w:p>
  </w:endnote>
  <w:endnote w:type="continuationNotice" w:id="1">
    <w:p w:rsidR="00EE47D3" w:rsidRDefault="00EE47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D3" w:rsidRPr="00EE47D3" w:rsidRDefault="00EE47D3" w:rsidP="00EE47D3">
    <w:pPr>
      <w:pStyle w:val="Footer"/>
      <w:tabs>
        <w:tab w:val="right" w:pos="9638"/>
      </w:tabs>
      <w:rPr>
        <w:sz w:val="18"/>
      </w:rPr>
    </w:pPr>
    <w:r w:rsidRPr="00EE47D3">
      <w:rPr>
        <w:b/>
        <w:sz w:val="18"/>
      </w:rPr>
      <w:fldChar w:fldCharType="begin"/>
    </w:r>
    <w:r w:rsidRPr="00EE47D3">
      <w:rPr>
        <w:b/>
        <w:sz w:val="18"/>
      </w:rPr>
      <w:instrText xml:space="preserve"> PAGE  \* MERGEFORMAT </w:instrText>
    </w:r>
    <w:r w:rsidRPr="00EE47D3">
      <w:rPr>
        <w:b/>
        <w:sz w:val="18"/>
      </w:rPr>
      <w:fldChar w:fldCharType="separate"/>
    </w:r>
    <w:r w:rsidRPr="00EE47D3">
      <w:rPr>
        <w:b/>
        <w:noProof/>
        <w:sz w:val="18"/>
      </w:rPr>
      <w:t>2</w:t>
    </w:r>
    <w:r w:rsidRPr="00EE47D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D3" w:rsidRPr="00EE47D3" w:rsidRDefault="00EE47D3" w:rsidP="00EE47D3">
    <w:pPr>
      <w:pStyle w:val="Footer"/>
      <w:tabs>
        <w:tab w:val="right" w:pos="9638"/>
      </w:tabs>
      <w:rPr>
        <w:b/>
        <w:sz w:val="18"/>
      </w:rPr>
    </w:pPr>
    <w:r>
      <w:tab/>
    </w:r>
    <w:r w:rsidRPr="00EE47D3">
      <w:rPr>
        <w:b/>
        <w:sz w:val="18"/>
      </w:rPr>
      <w:fldChar w:fldCharType="begin"/>
    </w:r>
    <w:r w:rsidRPr="00EE47D3">
      <w:rPr>
        <w:b/>
        <w:sz w:val="18"/>
      </w:rPr>
      <w:instrText xml:space="preserve"> PAGE  \* MERGEFORMAT </w:instrText>
    </w:r>
    <w:r w:rsidRPr="00EE47D3">
      <w:rPr>
        <w:b/>
        <w:sz w:val="18"/>
      </w:rPr>
      <w:fldChar w:fldCharType="separate"/>
    </w:r>
    <w:r w:rsidRPr="00EE47D3">
      <w:rPr>
        <w:b/>
        <w:noProof/>
        <w:sz w:val="18"/>
      </w:rPr>
      <w:t>3</w:t>
    </w:r>
    <w:r w:rsidRPr="00EE47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EE47D3"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D3" w:rsidRPr="00AC3823" w:rsidRDefault="00EE47D3" w:rsidP="00AC3823">
      <w:pPr>
        <w:pStyle w:val="Footer"/>
        <w:tabs>
          <w:tab w:val="right" w:pos="2155"/>
        </w:tabs>
        <w:spacing w:after="80" w:line="240" w:lineRule="atLeast"/>
        <w:ind w:left="680"/>
        <w:rPr>
          <w:u w:val="single"/>
        </w:rPr>
      </w:pPr>
      <w:r>
        <w:rPr>
          <w:u w:val="single"/>
        </w:rPr>
        <w:tab/>
      </w:r>
    </w:p>
  </w:footnote>
  <w:footnote w:type="continuationSeparator" w:id="0">
    <w:p w:rsidR="00EE47D3" w:rsidRPr="00AC3823" w:rsidRDefault="00EE47D3" w:rsidP="00AC3823">
      <w:pPr>
        <w:pStyle w:val="Footer"/>
        <w:tabs>
          <w:tab w:val="right" w:pos="2155"/>
        </w:tabs>
        <w:spacing w:after="80" w:line="240" w:lineRule="atLeast"/>
        <w:ind w:left="680"/>
        <w:rPr>
          <w:u w:val="single"/>
        </w:rPr>
      </w:pPr>
      <w:r>
        <w:rPr>
          <w:u w:val="single"/>
        </w:rPr>
        <w:tab/>
      </w:r>
    </w:p>
  </w:footnote>
  <w:footnote w:type="continuationNotice" w:id="1">
    <w:p w:rsidR="00EE47D3" w:rsidRPr="00AC3823" w:rsidRDefault="00EE47D3">
      <w:pPr>
        <w:spacing w:line="240" w:lineRule="auto"/>
        <w:rPr>
          <w:sz w:val="2"/>
          <w:szCs w:val="2"/>
        </w:rPr>
      </w:pPr>
    </w:p>
  </w:footnote>
  <w:footnote w:id="2">
    <w:p w:rsidR="00EE47D3" w:rsidRDefault="00EE47D3" w:rsidP="00EE47D3">
      <w:pPr>
        <w:pStyle w:val="FootnoteText"/>
      </w:pPr>
      <w:r>
        <w:rPr>
          <w:sz w:val="20"/>
          <w:lang w:val="fr-FR"/>
        </w:rPr>
        <w:tab/>
      </w:r>
      <w:r>
        <w:rPr>
          <w:rStyle w:val="FootnoteReference"/>
          <w:sz w:val="20"/>
          <w:lang w:val="fr-FR"/>
        </w:rPr>
        <w:sym w:font="Symbol" w:char="F02A"/>
      </w:r>
      <w:r>
        <w:rPr>
          <w:lang w:val="fr-FR"/>
        </w:rPr>
        <w:tab/>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D3" w:rsidRPr="00EE47D3" w:rsidRDefault="00F4213B">
    <w:pPr>
      <w:pStyle w:val="Header"/>
    </w:pPr>
    <w:fldSimple w:instr=" TITLE  \* MERGEFORMAT ">
      <w:r w:rsidR="00581E9C">
        <w:t>ECE/TRANS/WP.15/2020/11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D3" w:rsidRPr="00EE47D3" w:rsidRDefault="00F4213B" w:rsidP="00EE47D3">
    <w:pPr>
      <w:pStyle w:val="Header"/>
      <w:jc w:val="right"/>
    </w:pPr>
    <w:fldSimple w:instr=" TITLE  \* MERGEFORMAT ">
      <w:r w:rsidR="00581E9C">
        <w:t>ECE/TRANS/WP.15/2020/11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EE47D3"/>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1E9C"/>
    <w:rsid w:val="00586ED3"/>
    <w:rsid w:val="00596AA9"/>
    <w:rsid w:val="005B4D0F"/>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E47D3"/>
    <w:rsid w:val="00EF2E22"/>
    <w:rsid w:val="00F0592C"/>
    <w:rsid w:val="00F06ED4"/>
    <w:rsid w:val="00F4213B"/>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7FFBC"/>
  <w15:docId w15:val="{22E13F02-5027-4F5B-8EC1-E761C936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xtlid-translation">
    <w:name w:val="x_tlid-translation"/>
    <w:basedOn w:val="DefaultParagraphFont"/>
    <w:rsid w:val="00EE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8</TotalTime>
  <Pages>2</Pages>
  <Words>419</Words>
  <Characters>2138</Characters>
  <Application>Microsoft Office Word</Application>
  <DocSecurity>0</DocSecurity>
  <Lines>43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ECE/TRANS/WP.15/2020/11</vt:lpstr>
      <vt:lpstr>ECE/EX/22</vt:lpstr>
    </vt:vector>
  </TitlesOfParts>
  <Company>DCM</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ECE/TRANS/WP.15/2020/11</dc:title>
  <dc:subject>FINAL</dc:subject>
  <dc:creator>Christine Barrio-Champeau</dc:creator>
  <cp:keywords/>
  <dc:description/>
  <cp:lastModifiedBy>Christine Barrio-Champeau</cp:lastModifiedBy>
  <cp:revision>3</cp:revision>
  <cp:lastPrinted>2020-02-21T09:33:00Z</cp:lastPrinted>
  <dcterms:created xsi:type="dcterms:W3CDTF">2020-02-19T07:43:00Z</dcterms:created>
  <dcterms:modified xsi:type="dcterms:W3CDTF">2020-02-21T09:39:00Z</dcterms:modified>
</cp:coreProperties>
</file>