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2067B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9E6018" w14:textId="77777777" w:rsidR="002D5AAC" w:rsidRDefault="002D5AAC" w:rsidP="006B79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D94D6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7AB28B" w14:textId="77777777" w:rsidR="002D5AAC" w:rsidRDefault="006B796D" w:rsidP="006B796D">
            <w:pPr>
              <w:jc w:val="right"/>
            </w:pPr>
            <w:r w:rsidRPr="006B796D">
              <w:rPr>
                <w:sz w:val="40"/>
              </w:rPr>
              <w:t>ECE</w:t>
            </w:r>
            <w:r>
              <w:t>/TRANS/WP.15/2020/10</w:t>
            </w:r>
          </w:p>
        </w:tc>
      </w:tr>
      <w:tr w:rsidR="002D5AAC" w:rsidRPr="006B796D" w14:paraId="0D676FD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36F26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5D38CC" wp14:editId="7658BFE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FE31F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D05ED8" w14:textId="77777777" w:rsidR="002D5AAC" w:rsidRDefault="006B79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D37D8E" w14:textId="77777777" w:rsidR="006B796D" w:rsidRDefault="006B796D" w:rsidP="006B79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February 2020</w:t>
            </w:r>
          </w:p>
          <w:p w14:paraId="77847870" w14:textId="77777777" w:rsidR="006B796D" w:rsidRDefault="006B796D" w:rsidP="006B79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0D684F" w14:textId="77777777" w:rsidR="006B796D" w:rsidRPr="008D53B6" w:rsidRDefault="006B796D" w:rsidP="006B79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43AA6CE" w14:textId="77777777" w:rsidR="006B796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91E17E8" w14:textId="77777777" w:rsidR="006B796D" w:rsidRPr="006B796D" w:rsidRDefault="006B796D" w:rsidP="006B796D">
      <w:pPr>
        <w:spacing w:before="120"/>
        <w:rPr>
          <w:sz w:val="28"/>
          <w:szCs w:val="28"/>
        </w:rPr>
      </w:pPr>
      <w:r w:rsidRPr="006B796D">
        <w:rPr>
          <w:sz w:val="28"/>
          <w:szCs w:val="28"/>
        </w:rPr>
        <w:t>Комитет по внутреннему транспорту</w:t>
      </w:r>
    </w:p>
    <w:p w14:paraId="42880EC6" w14:textId="77777777" w:rsidR="006B796D" w:rsidRPr="006B796D" w:rsidRDefault="006B796D" w:rsidP="006B796D">
      <w:pPr>
        <w:spacing w:before="120"/>
        <w:rPr>
          <w:b/>
          <w:sz w:val="24"/>
          <w:szCs w:val="24"/>
        </w:rPr>
      </w:pPr>
      <w:r w:rsidRPr="006B796D">
        <w:rPr>
          <w:b/>
          <w:bCs/>
          <w:sz w:val="24"/>
          <w:szCs w:val="24"/>
        </w:rPr>
        <w:t>Рабочая группа по перевозкам опасных грузов</w:t>
      </w:r>
    </w:p>
    <w:p w14:paraId="78ABA68E" w14:textId="77777777" w:rsidR="006B796D" w:rsidRPr="004464B5" w:rsidRDefault="006B796D" w:rsidP="006B796D">
      <w:pPr>
        <w:spacing w:before="120"/>
        <w:rPr>
          <w:b/>
        </w:rPr>
      </w:pPr>
      <w:r w:rsidRPr="004464B5">
        <w:rPr>
          <w:b/>
          <w:bCs/>
        </w:rPr>
        <w:t>108-я сессия</w:t>
      </w:r>
    </w:p>
    <w:p w14:paraId="6C21939D" w14:textId="77777777" w:rsidR="006B796D" w:rsidRPr="004464B5" w:rsidRDefault="006B796D" w:rsidP="006B796D">
      <w:pPr>
        <w:rPr>
          <w:rFonts w:eastAsia="SimSun"/>
        </w:rPr>
      </w:pPr>
      <w:r w:rsidRPr="004464B5">
        <w:t xml:space="preserve">Женева, 11–15 мая 2020 года </w:t>
      </w:r>
    </w:p>
    <w:p w14:paraId="5F28DBF4" w14:textId="77777777" w:rsidR="006B796D" w:rsidRPr="004464B5" w:rsidRDefault="006B796D" w:rsidP="006B796D">
      <w:r w:rsidRPr="004464B5">
        <w:t>Пункт 5 b) предварительной повестки дня</w:t>
      </w:r>
    </w:p>
    <w:p w14:paraId="3D8B0B77" w14:textId="77777777" w:rsidR="006B796D" w:rsidRPr="004464B5" w:rsidRDefault="006B796D" w:rsidP="006B796D">
      <w:pPr>
        <w:rPr>
          <w:b/>
          <w:bCs/>
        </w:rPr>
      </w:pPr>
      <w:r w:rsidRPr="004464B5">
        <w:rPr>
          <w:b/>
          <w:bCs/>
        </w:rPr>
        <w:t>Предложения о внесении поправок</w:t>
      </w:r>
      <w:r w:rsidR="00083718">
        <w:rPr>
          <w:b/>
          <w:bCs/>
        </w:rPr>
        <w:br/>
      </w:r>
      <w:r w:rsidRPr="004464B5">
        <w:rPr>
          <w:b/>
          <w:bCs/>
        </w:rPr>
        <w:t>в приложения А и B к ДОПОГ:</w:t>
      </w:r>
    </w:p>
    <w:p w14:paraId="1A439652" w14:textId="77777777" w:rsidR="006B796D" w:rsidRPr="004464B5" w:rsidRDefault="006B796D" w:rsidP="006B796D">
      <w:pPr>
        <w:rPr>
          <w:b/>
          <w:bCs/>
        </w:rPr>
      </w:pPr>
      <w:r w:rsidRPr="004464B5">
        <w:rPr>
          <w:b/>
          <w:bCs/>
        </w:rPr>
        <w:t>различные предложения</w:t>
      </w:r>
    </w:p>
    <w:p w14:paraId="2DEA8335" w14:textId="77777777" w:rsidR="006B796D" w:rsidRPr="004464B5" w:rsidRDefault="006B796D" w:rsidP="006B796D">
      <w:pPr>
        <w:pStyle w:val="HChG"/>
      </w:pPr>
      <w:r w:rsidRPr="004464B5">
        <w:tab/>
      </w:r>
      <w:r w:rsidRPr="004464B5">
        <w:tab/>
      </w:r>
      <w:r w:rsidRPr="004464B5">
        <w:rPr>
          <w:bCs/>
        </w:rPr>
        <w:t>Опасные грузы, освобожденные от действия ограничений проезда через туннели</w:t>
      </w:r>
    </w:p>
    <w:p w14:paraId="18B863AB" w14:textId="77777777" w:rsidR="006B796D" w:rsidRDefault="006B796D" w:rsidP="006B796D">
      <w:pPr>
        <w:pStyle w:val="H1G"/>
        <w:rPr>
          <w:b w:val="0"/>
          <w:bCs/>
          <w:sz w:val="20"/>
        </w:rPr>
      </w:pPr>
      <w:r w:rsidRPr="004464B5">
        <w:tab/>
      </w:r>
      <w:r w:rsidRPr="004464B5">
        <w:tab/>
      </w:r>
      <w:r w:rsidRPr="004464B5">
        <w:rPr>
          <w:bCs/>
        </w:rPr>
        <w:t>Передано правительством Швейцарии</w:t>
      </w:r>
      <w:r w:rsidR="00083718" w:rsidRPr="0008371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83718" w:rsidRPr="00083718" w14:paraId="12B3F96D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74D461AC" w14:textId="77777777" w:rsidR="00083718" w:rsidRPr="00083718" w:rsidRDefault="0008371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83718">
              <w:rPr>
                <w:rFonts w:cs="Times New Roman"/>
              </w:rPr>
              <w:tab/>
            </w:r>
            <w:r w:rsidRPr="0008371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83718" w:rsidRPr="00083718" w14:paraId="188B76C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D747A7B" w14:textId="77777777" w:rsidR="00083718" w:rsidRPr="00083718" w:rsidRDefault="00083718" w:rsidP="00083718">
            <w:pPr>
              <w:pStyle w:val="SingleTxtG"/>
              <w:tabs>
                <w:tab w:val="left" w:pos="3535"/>
              </w:tabs>
              <w:ind w:left="3535" w:hanging="2401"/>
            </w:pPr>
            <w:r w:rsidRPr="004464B5">
              <w:rPr>
                <w:b/>
                <w:bCs/>
              </w:rPr>
              <w:t>Существо предложения:</w:t>
            </w:r>
            <w:r w:rsidRPr="004464B5">
              <w:tab/>
              <w:t>Предлагается при расчете в соответствии</w:t>
            </w:r>
            <w:r w:rsidR="0003352C">
              <w:br/>
            </w:r>
            <w:r w:rsidRPr="004464B5">
              <w:t>с пунктом 1.1.3.6.4 не учитывать позиции, для которых в колонке 15 таблицы А главы 3.2 указан знак «(─)», с тем чтобы обеспечить безопасность и облегчить принятие решений относительно проезда через туннели, на которые распространяются ограничения.</w:t>
            </w:r>
          </w:p>
        </w:tc>
      </w:tr>
      <w:tr w:rsidR="00083718" w:rsidRPr="00083718" w14:paraId="1B4C803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958B60A" w14:textId="77777777" w:rsidR="00083718" w:rsidRPr="004464B5" w:rsidRDefault="00083718" w:rsidP="00083718">
            <w:pPr>
              <w:pStyle w:val="SingleTxtG"/>
              <w:tabs>
                <w:tab w:val="left" w:pos="3535"/>
              </w:tabs>
              <w:rPr>
                <w:b/>
                <w:bCs/>
              </w:rPr>
            </w:pPr>
            <w:r w:rsidRPr="004464B5">
              <w:rPr>
                <w:b/>
                <w:bCs/>
              </w:rPr>
              <w:t>Предлагаемое решение:</w:t>
            </w:r>
            <w:r w:rsidRPr="004464B5">
              <w:tab/>
              <w:t>Изменить формулировку пункта 1.1.3.6.4.</w:t>
            </w:r>
          </w:p>
        </w:tc>
      </w:tr>
      <w:tr w:rsidR="00083718" w:rsidRPr="00083718" w14:paraId="1F88151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0E07F7F" w14:textId="77777777" w:rsidR="00083718" w:rsidRPr="00083718" w:rsidRDefault="00083718" w:rsidP="00083718">
            <w:pPr>
              <w:pStyle w:val="SingleTxtG"/>
              <w:tabs>
                <w:tab w:val="left" w:pos="3523"/>
              </w:tabs>
              <w:ind w:left="3523" w:hanging="2389"/>
              <w:jc w:val="left"/>
              <w:rPr>
                <w:b/>
                <w:bCs/>
                <w:lang w:val="en-US"/>
              </w:rPr>
            </w:pPr>
            <w:r w:rsidRPr="004464B5">
              <w:rPr>
                <w:b/>
                <w:bCs/>
              </w:rPr>
              <w:t>Справочные</w:t>
            </w:r>
            <w:r w:rsidRPr="006F3266">
              <w:rPr>
                <w:b/>
                <w:bCs/>
                <w:lang w:val="en-US"/>
              </w:rPr>
              <w:t xml:space="preserve"> </w:t>
            </w:r>
            <w:r w:rsidRPr="004464B5">
              <w:rPr>
                <w:b/>
                <w:bCs/>
              </w:rPr>
              <w:t>документы</w:t>
            </w:r>
            <w:r w:rsidRPr="006F3266">
              <w:rPr>
                <w:b/>
                <w:bCs/>
                <w:lang w:val="en-US"/>
              </w:rPr>
              <w:t>:</w:t>
            </w:r>
            <w:r w:rsidRPr="006F3266">
              <w:rPr>
                <w:lang w:val="en-US"/>
              </w:rPr>
              <w:tab/>
              <w:t xml:space="preserve">ECE/TRANS/WP.15/2019/8, ECE/TRANS/WP.15/246, ECE/TRANS/WP.15/2019/19 </w:t>
            </w:r>
            <w:r w:rsidRPr="004464B5">
              <w:t>и</w:t>
            </w:r>
            <w:r w:rsidRPr="006F3266">
              <w:rPr>
                <w:lang w:val="en-US"/>
              </w:rPr>
              <w:t xml:space="preserve"> ECE/TRANS/WP.15/248.</w:t>
            </w:r>
          </w:p>
        </w:tc>
      </w:tr>
      <w:tr w:rsidR="00083718" w:rsidRPr="00083718" w14:paraId="38F5F5A8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429DC0B0" w14:textId="77777777" w:rsidR="00083718" w:rsidRPr="00083718" w:rsidRDefault="00083718" w:rsidP="00850215">
            <w:pPr>
              <w:rPr>
                <w:rFonts w:cs="Times New Roman"/>
                <w:lang w:val="en-US"/>
              </w:rPr>
            </w:pPr>
          </w:p>
        </w:tc>
      </w:tr>
    </w:tbl>
    <w:p w14:paraId="4EDE0014" w14:textId="77777777" w:rsidR="006B796D" w:rsidRPr="004464B5" w:rsidRDefault="006B796D" w:rsidP="006B796D">
      <w:pPr>
        <w:pStyle w:val="HChG"/>
      </w:pPr>
      <w:r w:rsidRPr="006F3266">
        <w:rPr>
          <w:lang w:val="en-US"/>
        </w:rPr>
        <w:tab/>
      </w:r>
      <w:r w:rsidRPr="006F3266">
        <w:rPr>
          <w:lang w:val="en-US"/>
        </w:rPr>
        <w:tab/>
      </w:r>
      <w:r w:rsidRPr="004464B5">
        <w:rPr>
          <w:bCs/>
        </w:rPr>
        <w:t>Введение</w:t>
      </w:r>
    </w:p>
    <w:p w14:paraId="35B5D522" w14:textId="77777777" w:rsidR="006B796D" w:rsidRPr="004464B5" w:rsidRDefault="006B796D" w:rsidP="006B796D">
      <w:pPr>
        <w:pStyle w:val="SingleTxtG"/>
      </w:pPr>
      <w:r w:rsidRPr="004464B5">
        <w:t>1.</w:t>
      </w:r>
      <w:r w:rsidRPr="004464B5">
        <w:tab/>
        <w:t xml:space="preserve">В ходе 106-й и 107-й сессий были высказаны различные замечания по документам ECE/TRANS/WP.15/2019/8 и ECE/TRANS/WP.15/2019/19, в которых предлагалось уточнить, как следует действовать в случае совместной погрузки опасных грузов, для которых в колонке 15 таблицы А главы 3.2 проставлен знак «(─)», и других опасных грузов, которым назначен код ограничения проезда через туннели, отличный от «(─)». </w:t>
      </w:r>
    </w:p>
    <w:p w14:paraId="1BBE5956" w14:textId="77777777" w:rsidR="006B796D" w:rsidRPr="004464B5" w:rsidRDefault="006B796D" w:rsidP="00083718">
      <w:pPr>
        <w:pStyle w:val="SingleTxtG"/>
        <w:spacing w:line="234" w:lineRule="atLeast"/>
      </w:pPr>
      <w:r w:rsidRPr="004464B5">
        <w:lastRenderedPageBreak/>
        <w:t>2.</w:t>
      </w:r>
      <w:r w:rsidRPr="004464B5">
        <w:tab/>
        <w:t xml:space="preserve">В ходе предыдущих сессий было высказано мнение о том, что соответствующие положения следует включить не только в пункт 5.4.1.1.1 k), как это было предложено в первоначальном документе, но и в раздел 1.9.5 или в главу 8.6. Некоторые делегаты также предложили упомянуть об этом в подразделе 1.1.3.6. </w:t>
      </w:r>
    </w:p>
    <w:p w14:paraId="707605DE" w14:textId="77777777" w:rsidR="006B796D" w:rsidRPr="004464B5" w:rsidRDefault="006B796D" w:rsidP="00083718">
      <w:pPr>
        <w:pStyle w:val="SingleTxtG"/>
        <w:spacing w:line="234" w:lineRule="atLeast"/>
      </w:pPr>
      <w:r w:rsidRPr="004464B5">
        <w:t>3.</w:t>
      </w:r>
      <w:r w:rsidRPr="004464B5">
        <w:tab/>
        <w:t>В ходе проведенных консультаций был поднят вопрос о том, что концепция подраздела 1.1.3.6 касается всего груза транспортной единицы: транспортная единица либо может использовать концепцию подраздела 1.1.3.6, либо нет (как единое целое). Было проведено сравнение со взрывчатыми веществами.</w:t>
      </w:r>
    </w:p>
    <w:p w14:paraId="7ACBF661" w14:textId="77777777" w:rsidR="006B796D" w:rsidRPr="004464B5" w:rsidRDefault="006B796D" w:rsidP="00083718">
      <w:pPr>
        <w:pStyle w:val="SingleTxtG"/>
        <w:spacing w:line="234" w:lineRule="atLeast"/>
      </w:pPr>
      <w:r w:rsidRPr="004464B5">
        <w:t>4.</w:t>
      </w:r>
      <w:r w:rsidRPr="004464B5">
        <w:tab/>
        <w:t xml:space="preserve">Нам представляется, что совместную погрузку № ООН 3077 и 3082 с другими опасными грузами нельзя сравнивать с рисками, возникающими при такой погрузке со взрывчатыми веществами. Поскольку для этих двух позиций указано ограничение на проезд через туннели в виде знака </w:t>
      </w:r>
      <w:r w:rsidR="00083718">
        <w:t>«</w:t>
      </w:r>
      <w:r w:rsidRPr="004464B5">
        <w:t>(-)</w:t>
      </w:r>
      <w:r w:rsidR="00083718">
        <w:t>»</w:t>
      </w:r>
      <w:r w:rsidRPr="004464B5">
        <w:t>, следует иметь в виду, что они не представляют той опасности как при совместной погрузке с другими опасными грузами, ведущей к такому увеличению риска, что это должно учитываться при расчете для применения изъятий, предусмотренных в подразделе 1.1.3.6. В ноябре 2019 года было предложено изменить транспортную категорию 3 для этих двух затрагиваемых позиций – № ООН 3077 и 3082. Однако изменение транспортной категории с 3 на 4 будет иметь последствия для других применимых положений, таких как обязательство иметь консультанта по вопросам безопасности или свидетельство о подготовке водителя ДОПОГ. По этой причине мы не поддержали эту идею.</w:t>
      </w:r>
    </w:p>
    <w:p w14:paraId="7DB7D441" w14:textId="77777777" w:rsidR="006B796D" w:rsidRPr="004464B5" w:rsidRDefault="006B796D" w:rsidP="00083718">
      <w:pPr>
        <w:pStyle w:val="SingleTxtG"/>
        <w:spacing w:line="234" w:lineRule="atLeast"/>
      </w:pPr>
      <w:r w:rsidRPr="004464B5">
        <w:t>5.</w:t>
      </w:r>
      <w:r w:rsidRPr="004464B5">
        <w:tab/>
        <w:t xml:space="preserve">Мы отмечаем, что положения пункта 1.1.3.6.4, касающиеся расчета совместной погрузки, применяются в тех случаях, когда действует пункт 1.1.3.6.4. Наша цель заключается в том, чтобы ограничения на проезд через туннели не применялись, когда другие опасные грузы перевозятся вместе с одной из позиций № ООН 3077 и/или 3082 до тех пор, пока значение, рассчитанное в соответствии с пунктом 1.1.3.6.4 только для других опасных грузов, не превышает 1 000. Во избежание учета № ООН 3077 и 3082 при расчете в соответствии с пунктом 1.1.3.6.4 можно было бы в качестве одного из подходов просто изменить сферу применения, определенную в пункте 1.1.3.6.4, как это предлагается ниже. До тех пор, пока расчетное значение для одной позиции с кодом ограничения проезда через туннели </w:t>
      </w:r>
      <w:r w:rsidR="00083718">
        <w:t>«</w:t>
      </w:r>
      <w:r w:rsidRPr="004464B5">
        <w:t>(-)</w:t>
      </w:r>
      <w:r w:rsidR="00083718">
        <w:t>»</w:t>
      </w:r>
      <w:r w:rsidRPr="004464B5">
        <w:t xml:space="preserve"> (и транспортной категории 3) не превышает 1</w:t>
      </w:r>
      <w:r w:rsidR="00083718">
        <w:t xml:space="preserve"> </w:t>
      </w:r>
      <w:r w:rsidRPr="004464B5">
        <w:t>000, применяются изъятия, предусмотренные в пункте 1.1.3.6.2. Если же это количество опасных грузов перевозится вместе с другими опасными грузами, изъятия, предусмотренные в подразделе 1.1.3.6, более не применяются только в том случае, если значение, рассчитанное в соответствии с пунктом 1.1.3.6.4, превышает 1</w:t>
      </w:r>
      <w:r w:rsidR="00083718">
        <w:t> </w:t>
      </w:r>
      <w:r w:rsidRPr="004464B5">
        <w:t>000 для других позиций.</w:t>
      </w:r>
    </w:p>
    <w:p w14:paraId="1056CCE9" w14:textId="77777777" w:rsidR="006B796D" w:rsidRPr="004464B5" w:rsidRDefault="006B796D" w:rsidP="00083718">
      <w:pPr>
        <w:pStyle w:val="SingleTxtG"/>
        <w:spacing w:line="234" w:lineRule="atLeast"/>
      </w:pPr>
      <w:r w:rsidRPr="004464B5">
        <w:t>6.</w:t>
      </w:r>
      <w:r w:rsidRPr="004464B5">
        <w:tab/>
        <w:t>Это действительно упростило бы условия для № ООН 3077 и 3082 по сравнению с нынешней ситуацией. Вместе с тем такой дополнительный риск, как нам кажется, имеет минимальные последствия для безопасности, учитывая тот вид опасности, который представляют собой рассматриваемые позиции. Это решение восстановит определенную несправедливость в отношении ограничений на проезд через туннели, которые не препятствуют перевозке тысяч тонн грузов, относящихся</w:t>
      </w:r>
      <w:r w:rsidR="00B812E1">
        <w:br/>
      </w:r>
      <w:r w:rsidRPr="004464B5">
        <w:t>к № ООН 3077/3082, в то время как минимальные количества тех же самых веществ в присутствии других опасных грузов запрещены к перевозке на основании правила сложения количеств в соответствии с пунктом 1.1.3.6.4. Например, могут иметь место крайние случаи, когда простая совместная погрузка 1</w:t>
      </w:r>
      <w:r w:rsidR="003F2713">
        <w:t xml:space="preserve"> </w:t>
      </w:r>
      <w:r w:rsidRPr="004464B5">
        <w:t xml:space="preserve">000 л грузов № ООН 3082 с небольшим количеством любых других опасных грузов транспортных категорий 1–3 предполагает немедленное применение всех положений ДОПОГ, включая запрет на проезд через туннели. </w:t>
      </w:r>
    </w:p>
    <w:p w14:paraId="6CFFAD88" w14:textId="77777777" w:rsidR="006B796D" w:rsidRPr="004464B5" w:rsidRDefault="006B796D" w:rsidP="00083718">
      <w:pPr>
        <w:pStyle w:val="HChG"/>
        <w:spacing w:before="300"/>
      </w:pPr>
      <w:r w:rsidRPr="004464B5">
        <w:tab/>
      </w:r>
      <w:r w:rsidRPr="004464B5">
        <w:tab/>
      </w:r>
      <w:r w:rsidRPr="004464B5">
        <w:rPr>
          <w:bCs/>
        </w:rPr>
        <w:t>Предложение</w:t>
      </w:r>
    </w:p>
    <w:p w14:paraId="27B11EAA" w14:textId="77777777" w:rsidR="006B796D" w:rsidRPr="004464B5" w:rsidRDefault="006B796D" w:rsidP="00083718">
      <w:pPr>
        <w:pStyle w:val="SingleTxtG"/>
        <w:spacing w:line="234" w:lineRule="atLeast"/>
      </w:pPr>
      <w:r w:rsidRPr="004464B5">
        <w:t>7.</w:t>
      </w:r>
      <w:r w:rsidRPr="004464B5">
        <w:tab/>
        <w:t>Изменить первый абзац пункта 1.1.3.6.4 следующим образом (новый дополнительный текст выделен жирным шрифтом и подчеркнут):</w:t>
      </w:r>
    </w:p>
    <w:p w14:paraId="50F214BB" w14:textId="77777777" w:rsidR="006B796D" w:rsidRPr="004464B5" w:rsidRDefault="006B796D" w:rsidP="00083718">
      <w:pPr>
        <w:spacing w:after="120" w:line="234" w:lineRule="atLeast"/>
        <w:ind w:left="1134" w:right="1133"/>
        <w:jc w:val="both"/>
      </w:pPr>
      <w:r w:rsidRPr="004464B5">
        <w:t>«1.1.3.6.4</w:t>
      </w:r>
      <w:r w:rsidRPr="004464B5">
        <w:tab/>
        <w:t>Если в одной и той же транспортной единице перевозятся опасные грузы, относящиеся к разным транспортным категориям,</w:t>
      </w:r>
      <w:r w:rsidRPr="004464B5">
        <w:rPr>
          <w:b/>
          <w:bCs/>
          <w:u w:val="single"/>
        </w:rPr>
        <w:t xml:space="preserve"> для которых в качестве кода ограничения проезда через туннели не указан знак "(─)"</w:t>
      </w:r>
      <w:r w:rsidRPr="004464B5">
        <w:t>, сумма:...</w:t>
      </w:r>
      <w:r w:rsidR="00083718">
        <w:t>»</w:t>
      </w:r>
      <w:r w:rsidRPr="004464B5">
        <w:t>.</w:t>
      </w:r>
    </w:p>
    <w:p w14:paraId="721233E1" w14:textId="77777777" w:rsidR="00E12C5F" w:rsidRPr="00083718" w:rsidRDefault="006B796D" w:rsidP="00083718">
      <w:pPr>
        <w:pStyle w:val="SingleTxtG"/>
        <w:spacing w:before="200" w:after="0"/>
        <w:jc w:val="center"/>
        <w:rPr>
          <w:u w:val="single"/>
        </w:rPr>
      </w:pPr>
      <w:r w:rsidRPr="004464B5">
        <w:rPr>
          <w:u w:val="single"/>
        </w:rPr>
        <w:tab/>
      </w:r>
      <w:r w:rsidRPr="004464B5">
        <w:rPr>
          <w:u w:val="single"/>
        </w:rPr>
        <w:tab/>
      </w:r>
      <w:r w:rsidRPr="004464B5">
        <w:rPr>
          <w:u w:val="single"/>
        </w:rPr>
        <w:tab/>
      </w:r>
      <w:r w:rsidR="00083718">
        <w:rPr>
          <w:u w:val="single"/>
        </w:rPr>
        <w:tab/>
      </w:r>
    </w:p>
    <w:sectPr w:rsidR="00E12C5F" w:rsidRPr="00083718" w:rsidSect="006B79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68EDC" w14:textId="77777777" w:rsidR="00530348" w:rsidRPr="00A312BC" w:rsidRDefault="00530348" w:rsidP="00A312BC"/>
  </w:endnote>
  <w:endnote w:type="continuationSeparator" w:id="0">
    <w:p w14:paraId="29374F1F" w14:textId="77777777" w:rsidR="00530348" w:rsidRPr="00A312BC" w:rsidRDefault="0053034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1EA1" w14:textId="77777777" w:rsidR="006B796D" w:rsidRPr="006B796D" w:rsidRDefault="006B796D">
    <w:pPr>
      <w:pStyle w:val="Footer"/>
    </w:pPr>
    <w:r w:rsidRPr="006B796D">
      <w:rPr>
        <w:b/>
        <w:sz w:val="18"/>
      </w:rPr>
      <w:fldChar w:fldCharType="begin"/>
    </w:r>
    <w:r w:rsidRPr="006B796D">
      <w:rPr>
        <w:b/>
        <w:sz w:val="18"/>
      </w:rPr>
      <w:instrText xml:space="preserve"> PAGE  \* MERGEFORMAT </w:instrText>
    </w:r>
    <w:r w:rsidRPr="006B796D">
      <w:rPr>
        <w:b/>
        <w:sz w:val="18"/>
      </w:rPr>
      <w:fldChar w:fldCharType="separate"/>
    </w:r>
    <w:r w:rsidRPr="006B796D">
      <w:rPr>
        <w:b/>
        <w:noProof/>
        <w:sz w:val="18"/>
      </w:rPr>
      <w:t>2</w:t>
    </w:r>
    <w:r w:rsidRPr="006B796D">
      <w:rPr>
        <w:b/>
        <w:sz w:val="18"/>
      </w:rPr>
      <w:fldChar w:fldCharType="end"/>
    </w:r>
    <w:r>
      <w:rPr>
        <w:b/>
        <w:sz w:val="18"/>
      </w:rPr>
      <w:tab/>
    </w:r>
    <w:r>
      <w:t>GE.20-02696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A0C2" w14:textId="77777777" w:rsidR="006B796D" w:rsidRPr="006B796D" w:rsidRDefault="006B796D" w:rsidP="006B796D">
    <w:pPr>
      <w:pStyle w:val="Footer"/>
      <w:tabs>
        <w:tab w:val="clear" w:pos="9639"/>
        <w:tab w:val="right" w:pos="9638"/>
      </w:tabs>
      <w:rPr>
        <w:b/>
        <w:sz w:val="18"/>
      </w:rPr>
    </w:pPr>
    <w:r>
      <w:t>GE.20-02696</w:t>
    </w:r>
    <w:r>
      <w:tab/>
    </w:r>
    <w:r w:rsidRPr="006B796D">
      <w:rPr>
        <w:b/>
        <w:sz w:val="18"/>
      </w:rPr>
      <w:fldChar w:fldCharType="begin"/>
    </w:r>
    <w:r w:rsidRPr="006B796D">
      <w:rPr>
        <w:b/>
        <w:sz w:val="18"/>
      </w:rPr>
      <w:instrText xml:space="preserve"> PAGE  \* MERGEFORMAT </w:instrText>
    </w:r>
    <w:r w:rsidRPr="006B796D">
      <w:rPr>
        <w:b/>
        <w:sz w:val="18"/>
      </w:rPr>
      <w:fldChar w:fldCharType="separate"/>
    </w:r>
    <w:r w:rsidRPr="006B796D">
      <w:rPr>
        <w:b/>
        <w:noProof/>
        <w:sz w:val="18"/>
      </w:rPr>
      <w:t>3</w:t>
    </w:r>
    <w:r w:rsidRPr="006B79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B6B6" w14:textId="77777777" w:rsidR="00042B72" w:rsidRPr="006B796D" w:rsidRDefault="006B796D" w:rsidP="006B796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BC56FAA" wp14:editId="50599C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20-02696  (R)</w:t>
    </w:r>
    <w:r w:rsidR="00083718">
      <w:rPr>
        <w:lang w:val="en-US"/>
      </w:rPr>
      <w:t xml:space="preserve">  020320  040320</w:t>
    </w:r>
    <w:r>
      <w:br/>
    </w:r>
    <w:r w:rsidRPr="006B796D">
      <w:rPr>
        <w:rFonts w:ascii="C39T30Lfz" w:hAnsi="C39T30Lfz"/>
        <w:kern w:val="14"/>
        <w:sz w:val="56"/>
      </w:rPr>
      <w:t></w:t>
    </w:r>
    <w:r w:rsidRPr="006B796D">
      <w:rPr>
        <w:rFonts w:ascii="C39T30Lfz" w:hAnsi="C39T30Lfz"/>
        <w:kern w:val="14"/>
        <w:sz w:val="56"/>
      </w:rPr>
      <w:t></w:t>
    </w:r>
    <w:r w:rsidRPr="006B796D">
      <w:rPr>
        <w:rFonts w:ascii="C39T30Lfz" w:hAnsi="C39T30Lfz"/>
        <w:kern w:val="14"/>
        <w:sz w:val="56"/>
      </w:rPr>
      <w:t></w:t>
    </w:r>
    <w:r w:rsidRPr="006B796D">
      <w:rPr>
        <w:rFonts w:ascii="C39T30Lfz" w:hAnsi="C39T30Lfz"/>
        <w:kern w:val="14"/>
        <w:sz w:val="56"/>
      </w:rPr>
      <w:t></w:t>
    </w:r>
    <w:r w:rsidRPr="006B796D">
      <w:rPr>
        <w:rFonts w:ascii="C39T30Lfz" w:hAnsi="C39T30Lfz"/>
        <w:kern w:val="14"/>
        <w:sz w:val="56"/>
      </w:rPr>
      <w:t></w:t>
    </w:r>
    <w:r w:rsidRPr="006B796D">
      <w:rPr>
        <w:rFonts w:ascii="C39T30Lfz" w:hAnsi="C39T30Lfz"/>
        <w:kern w:val="14"/>
        <w:sz w:val="56"/>
      </w:rPr>
      <w:t></w:t>
    </w:r>
    <w:r w:rsidRPr="006B796D">
      <w:rPr>
        <w:rFonts w:ascii="C39T30Lfz" w:hAnsi="C39T30Lfz"/>
        <w:kern w:val="14"/>
        <w:sz w:val="56"/>
      </w:rPr>
      <w:t></w:t>
    </w:r>
    <w:r w:rsidRPr="006B796D">
      <w:rPr>
        <w:rFonts w:ascii="C39T30Lfz" w:hAnsi="C39T30Lfz"/>
        <w:kern w:val="14"/>
        <w:sz w:val="56"/>
      </w:rPr>
      <w:t></w:t>
    </w:r>
    <w:r w:rsidRPr="006B796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E094A6" wp14:editId="04B3687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20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20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5FCD" w14:textId="77777777" w:rsidR="00530348" w:rsidRPr="001075E9" w:rsidRDefault="0053034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F67D3F" w14:textId="77777777" w:rsidR="00530348" w:rsidRDefault="0053034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BC73FD" w14:textId="77777777" w:rsidR="00083718" w:rsidRPr="00083718" w:rsidRDefault="00083718">
      <w:pPr>
        <w:pStyle w:val="FootnoteText"/>
        <w:rPr>
          <w:sz w:val="20"/>
        </w:rPr>
      </w:pPr>
      <w:r>
        <w:tab/>
      </w:r>
      <w:r w:rsidRPr="00083718">
        <w:rPr>
          <w:rStyle w:val="FootnoteReference"/>
          <w:sz w:val="20"/>
          <w:vertAlign w:val="baseline"/>
        </w:rPr>
        <w:t>*</w:t>
      </w:r>
      <w:r w:rsidRPr="00083718">
        <w:rPr>
          <w:rStyle w:val="FootnoteReference"/>
          <w:vertAlign w:val="baseline"/>
        </w:rPr>
        <w:tab/>
      </w:r>
      <w:r w:rsidRPr="00083718">
        <w:t>2020 год (A/74/6 (Раздел 20) и дополнительная информация, Подпрограмма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19243" w14:textId="7285BB71" w:rsidR="006B796D" w:rsidRPr="006B796D" w:rsidRDefault="000A3BF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442AC">
      <w:t>ECE/TRANS/WP.15/2020/10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790E" w14:textId="0DC4E04D" w:rsidR="006B796D" w:rsidRPr="006B796D" w:rsidRDefault="000A3BFE" w:rsidP="006B796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442AC">
      <w:t>ECE/TRANS/WP.15/2020/10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48"/>
    <w:rsid w:val="0003352C"/>
    <w:rsid w:val="00033EE1"/>
    <w:rsid w:val="00042B72"/>
    <w:rsid w:val="000558BD"/>
    <w:rsid w:val="00083718"/>
    <w:rsid w:val="000A3BF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2713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034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796D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42AC"/>
    <w:rsid w:val="00A84021"/>
    <w:rsid w:val="00A84D35"/>
    <w:rsid w:val="00A917B3"/>
    <w:rsid w:val="00AB4B51"/>
    <w:rsid w:val="00B10CC7"/>
    <w:rsid w:val="00B36DF7"/>
    <w:rsid w:val="00B539E7"/>
    <w:rsid w:val="00B62458"/>
    <w:rsid w:val="00B812E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0CBC0"/>
  <w15:docId w15:val="{9B79189B-D87C-43CC-BA86-DA0BA382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B796D"/>
    <w:rPr>
      <w:lang w:val="ru-RU" w:eastAsia="en-US"/>
    </w:rPr>
  </w:style>
  <w:style w:type="character" w:customStyle="1" w:styleId="HChGChar">
    <w:name w:val="_ H _Ch_G Char"/>
    <w:link w:val="HChG"/>
    <w:rsid w:val="006B796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ECE/TRANS/WP.15/2020/10</vt:lpstr>
      <vt:lpstr>ECE/TRANS/WP.15/2020/10</vt:lpstr>
      <vt:lpstr>A/</vt:lpstr>
    </vt:vector>
  </TitlesOfParts>
  <Company>DCM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ECE/TRANS/WP.15/2020/10</dc:title>
  <dc:subject/>
  <dc:creator>Uliana ANTIPOVA</dc:creator>
  <cp:keywords/>
  <cp:lastModifiedBy>Christine Barrio-Champeau</cp:lastModifiedBy>
  <cp:revision>2</cp:revision>
  <cp:lastPrinted>2020-03-04T07:43:00Z</cp:lastPrinted>
  <dcterms:created xsi:type="dcterms:W3CDTF">2020-03-04T09:40:00Z</dcterms:created>
  <dcterms:modified xsi:type="dcterms:W3CDTF">2020-03-04T09:40:00Z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