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5466A2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E2D6032" w14:textId="77777777" w:rsidR="00F35BAF" w:rsidRPr="00DB58B5" w:rsidRDefault="00F35BAF" w:rsidP="0033595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D0510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C164D8" w14:textId="77777777" w:rsidR="00F35BAF" w:rsidRPr="00DB58B5" w:rsidRDefault="0033595F" w:rsidP="0033595F">
            <w:pPr>
              <w:jc w:val="right"/>
            </w:pPr>
            <w:r w:rsidRPr="0033595F">
              <w:rPr>
                <w:sz w:val="40"/>
              </w:rPr>
              <w:t>ECE</w:t>
            </w:r>
            <w:r>
              <w:t>/TRANS/WP.15/2020/7</w:t>
            </w:r>
          </w:p>
        </w:tc>
      </w:tr>
      <w:tr w:rsidR="00F35BAF" w:rsidRPr="00DB58B5" w14:paraId="789A0BF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62BF5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7FE9790" wp14:editId="0D095A3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536BC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59D4AE" w14:textId="77777777" w:rsidR="00F35BAF" w:rsidRDefault="0033595F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C4103EF" w14:textId="77777777" w:rsidR="0033595F" w:rsidRDefault="0033595F" w:rsidP="0033595F">
            <w:pPr>
              <w:spacing w:line="240" w:lineRule="exact"/>
            </w:pPr>
            <w:r>
              <w:t>21 février 2020</w:t>
            </w:r>
          </w:p>
          <w:p w14:paraId="5540B0CE" w14:textId="77777777" w:rsidR="0033595F" w:rsidRDefault="0033595F" w:rsidP="0033595F">
            <w:pPr>
              <w:spacing w:line="240" w:lineRule="exact"/>
            </w:pPr>
            <w:r>
              <w:t>Français</w:t>
            </w:r>
          </w:p>
          <w:p w14:paraId="2DCBA588" w14:textId="77777777" w:rsidR="0033595F" w:rsidRPr="00DB58B5" w:rsidRDefault="0033595F" w:rsidP="0033595F">
            <w:pPr>
              <w:spacing w:line="240" w:lineRule="exact"/>
            </w:pPr>
            <w:r>
              <w:t>Original : anglais</w:t>
            </w:r>
          </w:p>
        </w:tc>
      </w:tr>
    </w:tbl>
    <w:p w14:paraId="48C9564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D7D8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F00868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2362950" w14:textId="77777777" w:rsidR="0033595F" w:rsidRPr="005515F9" w:rsidRDefault="0033595F" w:rsidP="005515F9">
      <w:pPr>
        <w:spacing w:before="120"/>
        <w:rPr>
          <w:b/>
          <w:sz w:val="24"/>
          <w:szCs w:val="24"/>
        </w:rPr>
      </w:pPr>
      <w:r w:rsidRPr="005515F9">
        <w:rPr>
          <w:b/>
          <w:sz w:val="24"/>
          <w:szCs w:val="24"/>
        </w:rPr>
        <w:t>Groupe de travail des transports de marchandises dangereuses</w:t>
      </w:r>
    </w:p>
    <w:p w14:paraId="72DB9922" w14:textId="77777777" w:rsidR="0033595F" w:rsidRPr="00210938" w:rsidRDefault="0033595F" w:rsidP="00775E20">
      <w:pPr>
        <w:spacing w:before="120"/>
        <w:rPr>
          <w:rFonts w:eastAsia="SimSun"/>
          <w:b/>
        </w:rPr>
      </w:pPr>
      <w:r w:rsidRPr="00210938">
        <w:rPr>
          <w:rFonts w:eastAsia="SimSun"/>
          <w:b/>
        </w:rPr>
        <w:t>108</w:t>
      </w:r>
      <w:r w:rsidRPr="002945A2">
        <w:rPr>
          <w:rFonts w:eastAsia="SimSun"/>
          <w:b/>
          <w:vertAlign w:val="superscript"/>
        </w:rPr>
        <w:t>e</w:t>
      </w:r>
      <w:r w:rsidRPr="00210938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Pr="00210938">
        <w:rPr>
          <w:rFonts w:eastAsia="SimSun"/>
          <w:b/>
        </w:rPr>
        <w:t>session</w:t>
      </w:r>
    </w:p>
    <w:p w14:paraId="6D8E9A99" w14:textId="77777777" w:rsidR="0033595F" w:rsidRPr="00210938" w:rsidRDefault="0033595F" w:rsidP="0033595F">
      <w:pPr>
        <w:rPr>
          <w:rFonts w:eastAsia="SimSun"/>
        </w:rPr>
      </w:pPr>
      <w:r w:rsidRPr="00210938">
        <w:rPr>
          <w:rFonts w:eastAsia="SimSun"/>
        </w:rPr>
        <w:t>Genève, 11</w:t>
      </w:r>
      <w:r w:rsidR="003A0F48">
        <w:rPr>
          <w:rFonts w:eastAsia="SimSun"/>
        </w:rPr>
        <w:t>-</w:t>
      </w:r>
      <w:r w:rsidRPr="00210938">
        <w:rPr>
          <w:rFonts w:eastAsia="SimSun"/>
        </w:rPr>
        <w:t>15 mai 2020</w:t>
      </w:r>
    </w:p>
    <w:p w14:paraId="12CDCA0F" w14:textId="77777777" w:rsidR="0033595F" w:rsidRPr="00210938" w:rsidRDefault="0033595F" w:rsidP="0033595F">
      <w:r w:rsidRPr="00210938">
        <w:rPr>
          <w:rFonts w:eastAsia="SimSun"/>
        </w:rPr>
        <w:t xml:space="preserve">Point </w:t>
      </w:r>
      <w:r w:rsidRPr="00210938">
        <w:t>5 b) de l</w:t>
      </w:r>
      <w:r w:rsidR="005D7D8B">
        <w:t>’</w:t>
      </w:r>
      <w:r w:rsidRPr="00210938">
        <w:t>ordre du jour provisoire</w:t>
      </w:r>
    </w:p>
    <w:p w14:paraId="7BCD5944" w14:textId="77777777" w:rsidR="0033595F" w:rsidRPr="00210938" w:rsidRDefault="0033595F" w:rsidP="0033595F">
      <w:pPr>
        <w:rPr>
          <w:b/>
          <w:bCs/>
        </w:rPr>
      </w:pPr>
      <w:r w:rsidRPr="00210938">
        <w:rPr>
          <w:b/>
          <w:bCs/>
        </w:rPr>
        <w:t>Propositions d</w:t>
      </w:r>
      <w:r w:rsidR="005D7D8B">
        <w:rPr>
          <w:b/>
          <w:bCs/>
        </w:rPr>
        <w:t>’</w:t>
      </w:r>
      <w:r w:rsidRPr="00210938">
        <w:rPr>
          <w:b/>
          <w:bCs/>
        </w:rPr>
        <w:t>amendements aux annexes A et B de l</w:t>
      </w:r>
      <w:r w:rsidR="005D7D8B">
        <w:rPr>
          <w:b/>
          <w:bCs/>
        </w:rPr>
        <w:t>’</w:t>
      </w:r>
      <w:r w:rsidRPr="00210938">
        <w:rPr>
          <w:b/>
          <w:bCs/>
        </w:rPr>
        <w:t>ADR</w:t>
      </w:r>
      <w:r w:rsidR="00775E20">
        <w:rPr>
          <w:b/>
          <w:bCs/>
        </w:rPr>
        <w:t> </w:t>
      </w:r>
      <w:r w:rsidRPr="00210938">
        <w:rPr>
          <w:b/>
          <w:bCs/>
        </w:rPr>
        <w:t>:</w:t>
      </w:r>
      <w:r w:rsidR="00775E20">
        <w:rPr>
          <w:b/>
          <w:bCs/>
        </w:rPr>
        <w:t xml:space="preserve"> </w:t>
      </w:r>
      <w:r w:rsidR="00775E20">
        <w:rPr>
          <w:b/>
          <w:bCs/>
        </w:rPr>
        <w:br/>
      </w:r>
      <w:r w:rsidRPr="00210938">
        <w:rPr>
          <w:b/>
          <w:bCs/>
        </w:rPr>
        <w:t>propositions diverses</w:t>
      </w:r>
    </w:p>
    <w:p w14:paraId="0FE69246" w14:textId="77777777" w:rsidR="0033595F" w:rsidRPr="00210938" w:rsidRDefault="0033595F" w:rsidP="00775E20">
      <w:pPr>
        <w:pStyle w:val="HChG"/>
      </w:pPr>
      <w:r w:rsidRPr="00210938">
        <w:tab/>
      </w:r>
      <w:r w:rsidRPr="00210938">
        <w:tab/>
        <w:t xml:space="preserve">Clarification des règles relatives au transport des véhicules </w:t>
      </w:r>
      <w:proofErr w:type="gramStart"/>
      <w:r w:rsidRPr="00210938">
        <w:t>électriques</w:t>
      </w:r>
      <w:proofErr w:type="gramEnd"/>
      <w:r w:rsidRPr="00210938">
        <w:t xml:space="preserve"> à batterie et des véhicules hybrides </w:t>
      </w:r>
      <w:r>
        <w:t>en tant que chargement</w:t>
      </w:r>
      <w:r w:rsidRPr="00210938">
        <w:t xml:space="preserve">, </w:t>
      </w:r>
      <w:r>
        <w:t>disposition spéciale</w:t>
      </w:r>
      <w:r w:rsidRPr="00210938">
        <w:t> 667</w:t>
      </w:r>
    </w:p>
    <w:p w14:paraId="1B86319E" w14:textId="77777777" w:rsidR="00F9573C" w:rsidRDefault="0033595F" w:rsidP="00775E20">
      <w:pPr>
        <w:pStyle w:val="H1G"/>
      </w:pPr>
      <w:r w:rsidRPr="00210938">
        <w:tab/>
      </w:r>
      <w:r w:rsidRPr="00210938">
        <w:tab/>
        <w:t>Communication du Gouvernement autrichien</w:t>
      </w:r>
      <w:r w:rsidR="00955B8C" w:rsidRPr="00955B8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33595F" w14:paraId="1CB2CA97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62A37FE" w14:textId="77777777" w:rsidR="0033595F" w:rsidRDefault="0033595F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33595F" w14:paraId="75B56C58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212C8FE" w14:textId="77777777" w:rsidR="0033595F" w:rsidRDefault="0033595F" w:rsidP="00955B8C">
            <w:pPr>
              <w:pStyle w:val="SingleTxtG"/>
              <w:ind w:left="3402" w:hanging="2268"/>
            </w:pPr>
            <w:r w:rsidRPr="00210938">
              <w:rPr>
                <w:b/>
                <w:bCs/>
              </w:rPr>
              <w:t>Résumé analytique</w:t>
            </w:r>
            <w:r w:rsidR="00955B8C">
              <w:rPr>
                <w:b/>
                <w:bCs/>
              </w:rPr>
              <w:t> </w:t>
            </w:r>
            <w:r w:rsidRPr="00210938">
              <w:rPr>
                <w:b/>
                <w:bCs/>
              </w:rPr>
              <w:t>:</w:t>
            </w:r>
            <w:r w:rsidRPr="00210938">
              <w:tab/>
              <w:t>L</w:t>
            </w:r>
            <w:r w:rsidR="005D7D8B">
              <w:t>’</w:t>
            </w:r>
            <w:r w:rsidRPr="00210938">
              <w:t>alinéa</w:t>
            </w:r>
            <w:r w:rsidR="00585308">
              <w:t> </w:t>
            </w:r>
            <w:r w:rsidRPr="00210938">
              <w:t>ii) de la disposition spéciale</w:t>
            </w:r>
            <w:r w:rsidR="00585308">
              <w:t> </w:t>
            </w:r>
            <w:r w:rsidRPr="00210938">
              <w:t>667</w:t>
            </w:r>
            <w:r w:rsidR="00585308">
              <w:t> </w:t>
            </w:r>
            <w:r w:rsidRPr="00210938">
              <w:t xml:space="preserve">b) utilise des termes vagues </w:t>
            </w:r>
            <w:r>
              <w:t xml:space="preserve">qui sont </w:t>
            </w:r>
            <w:r w:rsidRPr="00210938">
              <w:t>sujets à interprétation. Il est difficile de comprendre dans quelles conditions</w:t>
            </w:r>
            <w:r w:rsidR="00955B8C">
              <w:t> </w:t>
            </w:r>
            <w:r w:rsidRPr="00210938">
              <w:t>:</w:t>
            </w:r>
          </w:p>
        </w:tc>
      </w:tr>
      <w:tr w:rsidR="0033595F" w14:paraId="484635E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C0A7563" w14:textId="77777777" w:rsidR="0033595F" w:rsidRDefault="00585308" w:rsidP="00955B8C">
            <w:pPr>
              <w:pStyle w:val="SingleTxtG"/>
              <w:ind w:left="3402"/>
            </w:pPr>
            <w:r>
              <w:rPr>
                <w:lang w:val="fr-FR"/>
              </w:rPr>
              <w:t>−</w:t>
            </w:r>
            <w:r w:rsidR="0033595F" w:rsidRPr="00210938">
              <w:t xml:space="preserve"> </w:t>
            </w:r>
            <w:r w:rsidR="0033595F">
              <w:t>« </w:t>
            </w:r>
            <w:r w:rsidR="0033595F" w:rsidRPr="00210938">
              <w:t>il n</w:t>
            </w:r>
            <w:r w:rsidR="005D7D8B">
              <w:t>’</w:t>
            </w:r>
            <w:r w:rsidR="0033595F" w:rsidRPr="00210938">
              <w:t>est pas possible d</w:t>
            </w:r>
            <w:r w:rsidR="005D7D8B">
              <w:t>’</w:t>
            </w:r>
            <w:r w:rsidR="0033595F" w:rsidRPr="00210938">
              <w:t>enlever en toute sécurité la pile ou batterie</w:t>
            </w:r>
            <w:r w:rsidR="0033595F">
              <w:t> »</w:t>
            </w:r>
            <w:r>
              <w:t> </w:t>
            </w:r>
            <w:r w:rsidR="0033595F" w:rsidRPr="00210938">
              <w:t>; et</w:t>
            </w:r>
          </w:p>
        </w:tc>
      </w:tr>
      <w:tr w:rsidR="0033595F" w14:paraId="215F152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88E97B7" w14:textId="77777777" w:rsidR="0033595F" w:rsidRDefault="00585308" w:rsidP="00955B8C">
            <w:pPr>
              <w:pStyle w:val="SingleTxtG"/>
              <w:ind w:left="3402"/>
            </w:pPr>
            <w:r>
              <w:rPr>
                <w:lang w:val="fr-FR"/>
              </w:rPr>
              <w:t>−</w:t>
            </w:r>
            <w:r w:rsidR="0033595F" w:rsidRPr="00210938">
              <w:t xml:space="preserve"> </w:t>
            </w:r>
            <w:r w:rsidR="0033595F">
              <w:t>« </w:t>
            </w:r>
            <w:r w:rsidR="0033595F" w:rsidRPr="00210938">
              <w:t>il est impossible d</w:t>
            </w:r>
            <w:r w:rsidR="005D7D8B">
              <w:t>’</w:t>
            </w:r>
            <w:r w:rsidR="0033595F" w:rsidRPr="00210938">
              <w:t>en vérifier l</w:t>
            </w:r>
            <w:r w:rsidR="005D7D8B">
              <w:t>’</w:t>
            </w:r>
            <w:r w:rsidR="0033595F" w:rsidRPr="00210938">
              <w:t>état</w:t>
            </w:r>
            <w:r w:rsidR="0033595F">
              <w:t> »</w:t>
            </w:r>
            <w:r w:rsidR="0033595F" w:rsidRPr="00210938">
              <w:t>.</w:t>
            </w:r>
          </w:p>
        </w:tc>
      </w:tr>
      <w:tr w:rsidR="0033595F" w14:paraId="72BE3DF7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7BC6D69" w14:textId="77777777" w:rsidR="0033595F" w:rsidRDefault="0033595F" w:rsidP="00955B8C">
            <w:pPr>
              <w:pStyle w:val="SingleTxtG"/>
              <w:ind w:left="3402"/>
            </w:pPr>
            <w:r>
              <w:t>Comme on l</w:t>
            </w:r>
            <w:r w:rsidR="005D7D8B">
              <w:t>’</w:t>
            </w:r>
            <w:r>
              <w:t>a constaté à l</w:t>
            </w:r>
            <w:r w:rsidR="005D7D8B">
              <w:t>’</w:t>
            </w:r>
            <w:r>
              <w:t>occasion d</w:t>
            </w:r>
            <w:r w:rsidR="005D7D8B">
              <w:t>’</w:t>
            </w:r>
            <w:r>
              <w:t>un accident rapporté par les médias, ce libellé a (indirectement) beaucoup retardé le transport d</w:t>
            </w:r>
            <w:r w:rsidR="005D7D8B">
              <w:t>’</w:t>
            </w:r>
            <w:r>
              <w:t>un véhicule électrique à batterie endommagé. Il conviendrait de préciser ces termes.</w:t>
            </w:r>
          </w:p>
        </w:tc>
      </w:tr>
      <w:tr w:rsidR="0033595F" w14:paraId="76DE3703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75C315B" w14:textId="77777777" w:rsidR="0033595F" w:rsidRDefault="0033595F" w:rsidP="00955B8C">
            <w:pPr>
              <w:pStyle w:val="SingleTxtG"/>
              <w:ind w:left="3402" w:hanging="2268"/>
            </w:pPr>
            <w:r>
              <w:rPr>
                <w:b/>
                <w:bCs/>
              </w:rPr>
              <w:t>Mesure à prendre</w:t>
            </w:r>
            <w:r w:rsidR="00955B8C">
              <w:rPr>
                <w:b/>
                <w:bCs/>
              </w:rPr>
              <w:t> </w:t>
            </w:r>
            <w:r w:rsidRPr="00210938">
              <w:rPr>
                <w:b/>
                <w:bCs/>
              </w:rPr>
              <w:t>:</w:t>
            </w:r>
            <w:r w:rsidR="00955B8C">
              <w:rPr>
                <w:b/>
                <w:bCs/>
              </w:rPr>
              <w:tab/>
            </w:r>
            <w:r>
              <w:t>Modifier la disposition spéciale</w:t>
            </w:r>
            <w:r w:rsidR="00585308">
              <w:t> </w:t>
            </w:r>
            <w:r w:rsidRPr="00210938">
              <w:t xml:space="preserve">667 </w:t>
            </w:r>
            <w:r>
              <w:t>en ajoutant une note supplémentaire pour plus de clarté</w:t>
            </w:r>
            <w:r w:rsidRPr="00210938">
              <w:t>.</w:t>
            </w:r>
          </w:p>
        </w:tc>
      </w:tr>
      <w:tr w:rsidR="0033595F" w14:paraId="5A352429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5F16ED1" w14:textId="77777777" w:rsidR="0033595F" w:rsidRDefault="0033595F"/>
        </w:tc>
      </w:tr>
    </w:tbl>
    <w:p w14:paraId="43B929BD" w14:textId="77777777" w:rsidR="0033595F" w:rsidRPr="00210938" w:rsidRDefault="0033595F" w:rsidP="00585308">
      <w:pPr>
        <w:pStyle w:val="HChG"/>
      </w:pPr>
      <w:r>
        <w:br w:type="page"/>
      </w:r>
      <w:r w:rsidRPr="00210938">
        <w:lastRenderedPageBreak/>
        <w:tab/>
      </w:r>
      <w:r w:rsidRPr="00210938">
        <w:tab/>
        <w:t>Introduction</w:t>
      </w:r>
    </w:p>
    <w:p w14:paraId="31830044" w14:textId="77777777" w:rsidR="0033595F" w:rsidRPr="00210938" w:rsidRDefault="0033595F" w:rsidP="00585308">
      <w:pPr>
        <w:pStyle w:val="SingleTxtG"/>
      </w:pPr>
      <w:r w:rsidRPr="00210938">
        <w:t>1.</w:t>
      </w:r>
      <w:r w:rsidRPr="00210938">
        <w:tab/>
      </w:r>
      <w:r>
        <w:t>Lors de la dernière réunion du Groupe de travail, plusieurs représentants ont évoqué pendant les pauses-café la couverture par les médias des suites d</w:t>
      </w:r>
      <w:r w:rsidR="005D7D8B">
        <w:t>’</w:t>
      </w:r>
      <w:r>
        <w:t>un accident ayant impliqué un véhicule électrique à batterie. Après l</w:t>
      </w:r>
      <w:r w:rsidR="005D7D8B">
        <w:t>’</w:t>
      </w:r>
      <w:r>
        <w:t>évacuation du véhicule du lieu de l</w:t>
      </w:r>
      <w:r w:rsidR="005D7D8B">
        <w:t>’</w:t>
      </w:r>
      <w:r>
        <w:t>accident vers un endroit sûr, il semble y avoir eu une mauvaise compréhension des règles à appliquer pour son transport ultérieur. Il a fallu beaucoup de temps au propriétaire pour obtenir que le véhicule endommagé soit finalement transporté comme chargement vers sa destination finale, comme l</w:t>
      </w:r>
      <w:r w:rsidR="005D7D8B">
        <w:t>’</w:t>
      </w:r>
      <w:r>
        <w:t>ont rapporté les médias</w:t>
      </w:r>
      <w:r w:rsidRPr="00210938">
        <w:t>.</w:t>
      </w:r>
    </w:p>
    <w:p w14:paraId="09AE0AEC" w14:textId="77777777" w:rsidR="0033595F" w:rsidRPr="00210938" w:rsidRDefault="0033595F" w:rsidP="00585308">
      <w:pPr>
        <w:pStyle w:val="SingleTxtG"/>
      </w:pPr>
      <w:r w:rsidRPr="00210938">
        <w:t>2.</w:t>
      </w:r>
      <w:r w:rsidRPr="00210938">
        <w:tab/>
      </w:r>
      <w:r>
        <w:t xml:space="preserve">La disposition spéciale </w:t>
      </w:r>
      <w:r w:rsidRPr="00210938">
        <w:t xml:space="preserve">667 </w:t>
      </w:r>
      <w:r>
        <w:t xml:space="preserve">régit les conditions de transport, </w:t>
      </w:r>
      <w:r w:rsidRPr="00D177E5">
        <w:t>en tant que chargement</w:t>
      </w:r>
      <w:r>
        <w:t>,</w:t>
      </w:r>
      <w:r w:rsidRPr="00D177E5">
        <w:t xml:space="preserve"> </w:t>
      </w:r>
      <w:r>
        <w:t xml:space="preserve">des véhicules </w:t>
      </w:r>
      <w:bookmarkStart w:id="1" w:name="_Hlk34052839"/>
      <w:r>
        <w:t xml:space="preserve">électriques à batterie </w:t>
      </w:r>
      <w:bookmarkEnd w:id="1"/>
      <w:r>
        <w:t>endommagés</w:t>
      </w:r>
      <w:r w:rsidRPr="00210938">
        <w:t>.</w:t>
      </w:r>
    </w:p>
    <w:p w14:paraId="74E5A785" w14:textId="77777777" w:rsidR="0033595F" w:rsidRPr="00210938" w:rsidRDefault="0033595F" w:rsidP="00585308">
      <w:pPr>
        <w:pStyle w:val="SingleTxtG"/>
      </w:pPr>
      <w:r w:rsidRPr="00210938">
        <w:t>3.</w:t>
      </w:r>
      <w:r w:rsidRPr="00210938">
        <w:tab/>
      </w:r>
      <w:r>
        <w:t>Cependant, les conditions du transport sont énoncées en termes vagues dans cette disposition</w:t>
      </w:r>
      <w:r w:rsidRPr="00210938">
        <w:t xml:space="preserve">. </w:t>
      </w:r>
      <w:r>
        <w:t>Des problèmes particuliers se posent en ce qui concerne l</w:t>
      </w:r>
      <w:r w:rsidR="005D7D8B">
        <w:t>’</w:t>
      </w:r>
      <w:r>
        <w:t>alinéa ii) de la disposition spéciale 667 b)</w:t>
      </w:r>
      <w:r w:rsidRPr="00210938">
        <w:t>.</w:t>
      </w:r>
    </w:p>
    <w:p w14:paraId="29588477" w14:textId="77777777" w:rsidR="0033595F" w:rsidRPr="00210938" w:rsidRDefault="0033595F" w:rsidP="00585308">
      <w:pPr>
        <w:pStyle w:val="SingleTxtG"/>
      </w:pPr>
      <w:r w:rsidRPr="00210938">
        <w:t>4.</w:t>
      </w:r>
      <w:r w:rsidRPr="00210938">
        <w:tab/>
      </w:r>
      <w:r>
        <w:t>La question se pose tout d</w:t>
      </w:r>
      <w:r w:rsidR="005D7D8B">
        <w:t>’</w:t>
      </w:r>
      <w:r>
        <w:t>abord de savoir ce que l</w:t>
      </w:r>
      <w:r w:rsidR="005D7D8B">
        <w:t>’</w:t>
      </w:r>
      <w:r>
        <w:t>on entend par « </w:t>
      </w:r>
      <w:r w:rsidRPr="00FE35B1">
        <w:t>s</w:t>
      </w:r>
      <w:r w:rsidR="005D7D8B">
        <w:t>’</w:t>
      </w:r>
      <w:r w:rsidRPr="00FE35B1">
        <w:t>il n</w:t>
      </w:r>
      <w:r w:rsidR="005D7D8B">
        <w:t>’</w:t>
      </w:r>
      <w:r w:rsidRPr="00FE35B1">
        <w:t>est pas possible d</w:t>
      </w:r>
      <w:r w:rsidR="005D7D8B">
        <w:t>’</w:t>
      </w:r>
      <w:r w:rsidRPr="00FE35B1">
        <w:t>enlever en toute sécurité</w:t>
      </w:r>
      <w:r>
        <w:t xml:space="preserve"> la pile ou batterie » d</w:t>
      </w:r>
      <w:r w:rsidR="005D7D8B">
        <w:t>’</w:t>
      </w:r>
      <w:r>
        <w:t>un véhicule endommagé ou défectueux. Enlever une pièce d</w:t>
      </w:r>
      <w:r w:rsidR="005D7D8B">
        <w:t>’</w:t>
      </w:r>
      <w:r>
        <w:t>un véhicule n</w:t>
      </w:r>
      <w:r w:rsidR="005D7D8B">
        <w:t>’</w:t>
      </w:r>
      <w:r>
        <w:t>est pas un problème en soi car toutes les pièces peuvent être retirées à l</w:t>
      </w:r>
      <w:r w:rsidR="005D7D8B">
        <w:t>’</w:t>
      </w:r>
      <w:r>
        <w:t>aide d</w:t>
      </w:r>
      <w:r w:rsidR="005D7D8B">
        <w:t>’</w:t>
      </w:r>
      <w:r>
        <w:t>outils tranchants spéciaux et en y consacrant le temps nécessaire</w:t>
      </w:r>
      <w:r w:rsidRPr="00210938">
        <w:t xml:space="preserve">. </w:t>
      </w:r>
      <w:r>
        <w:t>Il faut parfois faire appel à des spécialistes et à un équipement lourd. Cependant, la question est de savoir comment interpréter les termes « en toute sécurité » dans le membre de phrase « e</w:t>
      </w:r>
      <w:r w:rsidRPr="007303DB">
        <w:t>nlever en toute sécurité la pile ou batterie</w:t>
      </w:r>
      <w:r>
        <w:t> » qui figure dans l</w:t>
      </w:r>
      <w:r w:rsidR="005D7D8B">
        <w:t>’</w:t>
      </w:r>
      <w:r w:rsidRPr="00210938">
        <w:t>ADR</w:t>
      </w:r>
      <w:r>
        <w:t>.</w:t>
      </w:r>
    </w:p>
    <w:p w14:paraId="43DE997B" w14:textId="77777777" w:rsidR="0033595F" w:rsidRPr="00210938" w:rsidRDefault="0033595F" w:rsidP="00585308">
      <w:pPr>
        <w:pStyle w:val="SingleTxtG"/>
      </w:pPr>
      <w:r w:rsidRPr="00210938">
        <w:t>5.</w:t>
      </w:r>
      <w:r w:rsidRPr="00210938">
        <w:tab/>
      </w:r>
      <w:r>
        <w:t>Dans le cas p</w:t>
      </w:r>
      <w:r w:rsidRPr="00D177E5">
        <w:t xml:space="preserve">ar exemple </w:t>
      </w:r>
      <w:r>
        <w:t>d</w:t>
      </w:r>
      <w:r w:rsidR="005D7D8B">
        <w:t>’</w:t>
      </w:r>
      <w:r>
        <w:t xml:space="preserve">un véhicule électrique à batterie endommagé qui est resté immobile pendant plusieurs jours, il peut être très dangereux, </w:t>
      </w:r>
      <w:r w:rsidRPr="00D177E5">
        <w:t>même après l</w:t>
      </w:r>
      <w:r w:rsidR="005D7D8B">
        <w:t>’</w:t>
      </w:r>
      <w:r w:rsidRPr="00D177E5">
        <w:t>incendie du véhicule,</w:t>
      </w:r>
      <w:r>
        <w:t xml:space="preserve"> de découper des éléments fixes pour retirer la batterie</w:t>
      </w:r>
      <w:r w:rsidRPr="00210938">
        <w:t xml:space="preserve">. </w:t>
      </w:r>
      <w:r>
        <w:t xml:space="preserve">En présence du </w:t>
      </w:r>
      <w:r w:rsidRPr="00D0680B">
        <w:t>système haute tension</w:t>
      </w:r>
      <w:r>
        <w:t>, les lois du travail imposent le respect de conditions spéciales, comme l</w:t>
      </w:r>
      <w:r w:rsidR="005D7D8B">
        <w:t>’</w:t>
      </w:r>
      <w:r>
        <w:t>utilisation d</w:t>
      </w:r>
      <w:r w:rsidR="005D7D8B">
        <w:t>’</w:t>
      </w:r>
      <w:r>
        <w:t>outils de découpage spécifiques, l</w:t>
      </w:r>
      <w:r w:rsidR="005D7D8B">
        <w:t>’</w:t>
      </w:r>
      <w:r>
        <w:t>emploi de personnel qualifié et le recours à des mesures de protection particulières.</w:t>
      </w:r>
    </w:p>
    <w:p w14:paraId="4DB2CBC4" w14:textId="77777777" w:rsidR="0033595F" w:rsidRPr="00210938" w:rsidRDefault="0033595F" w:rsidP="00585308">
      <w:pPr>
        <w:pStyle w:val="SingleTxtG"/>
      </w:pPr>
      <w:r w:rsidRPr="00210938">
        <w:t>6.</w:t>
      </w:r>
      <w:r w:rsidRPr="00210938">
        <w:tab/>
      </w:r>
      <w:r>
        <w:t>Pour conclure, l</w:t>
      </w:r>
      <w:r w:rsidR="005D7D8B">
        <w:t>’</w:t>
      </w:r>
      <w:r>
        <w:t>enlèvement d</w:t>
      </w:r>
      <w:r w:rsidR="005D7D8B">
        <w:t>’</w:t>
      </w:r>
      <w:r>
        <w:t>une batterie n</w:t>
      </w:r>
      <w:r w:rsidR="005D7D8B">
        <w:t>’</w:t>
      </w:r>
      <w:r>
        <w:t>est pas forcément une opération plus sûre que le transport du véhicule ayant conservé sa batterie, dans les conditions indiquées à l</w:t>
      </w:r>
      <w:r w:rsidR="005D7D8B">
        <w:t>’</w:t>
      </w:r>
      <w:r>
        <w:t xml:space="preserve">alinéa i) de la disposition spéciale </w:t>
      </w:r>
      <w:r w:rsidRPr="00210938">
        <w:t>667 b).</w:t>
      </w:r>
    </w:p>
    <w:p w14:paraId="5F3FEE00" w14:textId="77777777" w:rsidR="0033595F" w:rsidRPr="00210938" w:rsidRDefault="0033595F" w:rsidP="00585308">
      <w:pPr>
        <w:pStyle w:val="SingleTxtG"/>
      </w:pPr>
      <w:r w:rsidRPr="00210938">
        <w:t>7.</w:t>
      </w:r>
      <w:r w:rsidRPr="00210938">
        <w:tab/>
      </w:r>
      <w:r>
        <w:t>La p</w:t>
      </w:r>
      <w:r w:rsidRPr="00210938">
        <w:t>ropos</w:t>
      </w:r>
      <w:r>
        <w:t>ition</w:t>
      </w:r>
      <w:r w:rsidRPr="00210938">
        <w:t xml:space="preserve"> 1 </w:t>
      </w:r>
      <w:r>
        <w:t>vise à clarifier ces scénarios</w:t>
      </w:r>
      <w:r w:rsidRPr="00210938">
        <w:t>.</w:t>
      </w:r>
    </w:p>
    <w:p w14:paraId="329A6100" w14:textId="77777777" w:rsidR="0033595F" w:rsidRPr="00210938" w:rsidRDefault="0033595F" w:rsidP="00585308">
      <w:pPr>
        <w:pStyle w:val="SingleTxtG"/>
      </w:pPr>
      <w:r w:rsidRPr="00210938">
        <w:t>8.</w:t>
      </w:r>
      <w:r w:rsidRPr="00210938">
        <w:tab/>
      </w:r>
      <w:r>
        <w:t>À la lecture des prescriptions de l</w:t>
      </w:r>
      <w:r w:rsidR="005D7D8B">
        <w:t>’</w:t>
      </w:r>
      <w:r w:rsidRPr="00210938">
        <w:t>ADR</w:t>
      </w:r>
      <w:r>
        <w:t xml:space="preserve"> susmentionnées</w:t>
      </w:r>
      <w:r w:rsidRPr="00210938">
        <w:t xml:space="preserve">, </w:t>
      </w:r>
      <w:r>
        <w:t>le membre de phrase « s</w:t>
      </w:r>
      <w:r w:rsidR="005D7D8B">
        <w:t>’</w:t>
      </w:r>
      <w:r>
        <w:t>il est impossible [de] vérifier l</w:t>
      </w:r>
      <w:r w:rsidR="005D7D8B">
        <w:t>’</w:t>
      </w:r>
      <w:r>
        <w:t>état [de la pile ou de la batterie] » suscite une nouvelle interrogation. Si la batterie était ouverte (à l</w:t>
      </w:r>
      <w:r w:rsidR="005D7D8B">
        <w:t>’</w:t>
      </w:r>
      <w:r>
        <w:t>aide d</w:t>
      </w:r>
      <w:r w:rsidR="005D7D8B">
        <w:t>’</w:t>
      </w:r>
      <w:r>
        <w:t xml:space="preserve">outils </w:t>
      </w:r>
      <w:proofErr w:type="gramStart"/>
      <w:r>
        <w:t>lourds..</w:t>
      </w:r>
      <w:proofErr w:type="gramEnd"/>
      <w:r>
        <w:t>), il serait possible d</w:t>
      </w:r>
      <w:r w:rsidR="005D7D8B">
        <w:t>’</w:t>
      </w:r>
      <w:r>
        <w:t>en vérifier l</w:t>
      </w:r>
      <w:r w:rsidR="005D7D8B">
        <w:t>’</w:t>
      </w:r>
      <w:r>
        <w:t>état, même si le cadre aluminium du véhicule avait fondu sur l</w:t>
      </w:r>
      <w:r w:rsidR="005D7D8B">
        <w:t>’</w:t>
      </w:r>
      <w:r>
        <w:t>accumulateur.</w:t>
      </w:r>
    </w:p>
    <w:p w14:paraId="6787FF29" w14:textId="77777777" w:rsidR="0033595F" w:rsidRPr="00210938" w:rsidRDefault="0033595F" w:rsidP="00585308">
      <w:pPr>
        <w:pStyle w:val="SingleTxtG"/>
      </w:pPr>
      <w:r w:rsidRPr="00210938">
        <w:t>9.</w:t>
      </w:r>
      <w:r w:rsidRPr="00210938">
        <w:tab/>
      </w:r>
      <w:r>
        <w:t>Puisque les prescriptions ont pour but de transporter les véhicules en tant que chargement en toute sécurité, il conviendrait de fournir des précisions claires.</w:t>
      </w:r>
      <w:r w:rsidRPr="00210938">
        <w:t xml:space="preserve"> </w:t>
      </w:r>
    </w:p>
    <w:p w14:paraId="6754B0A4" w14:textId="77777777" w:rsidR="0033595F" w:rsidRPr="00210938" w:rsidRDefault="0033595F" w:rsidP="00585308">
      <w:pPr>
        <w:pStyle w:val="SingleTxtG"/>
      </w:pPr>
      <w:r w:rsidRPr="00210938">
        <w:t>10.</w:t>
      </w:r>
      <w:r w:rsidRPr="00210938">
        <w:tab/>
      </w:r>
      <w:r>
        <w:t>Lorsqu</w:t>
      </w:r>
      <w:r w:rsidR="005D7D8B">
        <w:t>’</w:t>
      </w:r>
      <w:r>
        <w:t>il s</w:t>
      </w:r>
      <w:r w:rsidR="005D7D8B">
        <w:t>’</w:t>
      </w:r>
      <w:r>
        <w:t>agit d</w:t>
      </w:r>
      <w:r w:rsidR="005D7D8B">
        <w:t>’</w:t>
      </w:r>
      <w:r>
        <w:t>un défaut du système et que le véhicule n</w:t>
      </w:r>
      <w:r w:rsidR="005D7D8B">
        <w:t>’</w:t>
      </w:r>
      <w:r>
        <w:t>est pas endommagé, il devrait suffire de lire et d</w:t>
      </w:r>
      <w:r w:rsidR="005D7D8B">
        <w:t>’</w:t>
      </w:r>
      <w:r>
        <w:t>évaluer les données des piles ou des batteries obtenues grâce aux capteurs intégrés</w:t>
      </w:r>
      <w:r w:rsidRPr="00210938">
        <w:t xml:space="preserve">. </w:t>
      </w:r>
      <w:r>
        <w:t>Certains véhicules fournissent des données par le biais de leur système d</w:t>
      </w:r>
      <w:r w:rsidR="005D7D8B">
        <w:t>’</w:t>
      </w:r>
      <w:r>
        <w:t xml:space="preserve">autodiagnostic </w:t>
      </w:r>
      <w:r w:rsidRPr="00210938">
        <w:t xml:space="preserve">(OBD I </w:t>
      </w:r>
      <w:r>
        <w:t>ou</w:t>
      </w:r>
      <w:r w:rsidRPr="00210938">
        <w:t xml:space="preserve"> II) o</w:t>
      </w:r>
      <w:r>
        <w:t>u</w:t>
      </w:r>
      <w:r w:rsidRPr="00210938">
        <w:t xml:space="preserve"> </w:t>
      </w:r>
      <w:r>
        <w:t>de systèmes similaires</w:t>
      </w:r>
      <w:r w:rsidRPr="00210938">
        <w:t>.</w:t>
      </w:r>
    </w:p>
    <w:p w14:paraId="3709813C" w14:textId="77777777" w:rsidR="0033595F" w:rsidRPr="00210938" w:rsidRDefault="0033595F" w:rsidP="00585308">
      <w:pPr>
        <w:pStyle w:val="SingleTxtG"/>
      </w:pPr>
      <w:r w:rsidRPr="00210938">
        <w:t>11.</w:t>
      </w:r>
      <w:r w:rsidRPr="00210938">
        <w:tab/>
      </w:r>
      <w:r>
        <w:t>Pour les véhicules endommagés, il paraît raisonnable de procéder à une mesure externe</w:t>
      </w:r>
      <w:r w:rsidRPr="00210938">
        <w:t>.</w:t>
      </w:r>
    </w:p>
    <w:p w14:paraId="02AFA5BB" w14:textId="77777777" w:rsidR="0033595F" w:rsidRPr="00210938" w:rsidRDefault="0033595F" w:rsidP="00585308">
      <w:pPr>
        <w:pStyle w:val="SingleTxtG"/>
      </w:pPr>
      <w:r w:rsidRPr="00210938">
        <w:t>12.</w:t>
      </w:r>
      <w:r w:rsidRPr="00210938">
        <w:tab/>
      </w:r>
      <w:r>
        <w:t>Une clarification s</w:t>
      </w:r>
      <w:r w:rsidR="005D7D8B">
        <w:t>’</w:t>
      </w:r>
      <w:r>
        <w:t>impose donc : si ces méthodes ne permettent pas d</w:t>
      </w:r>
      <w:r w:rsidR="005D7D8B">
        <w:t>’</w:t>
      </w:r>
      <w:r>
        <w:t>obtenir des données, ou que les données ne sont pas fiables, il devient « impossible [de] vérifier l</w:t>
      </w:r>
      <w:r w:rsidR="005D7D8B">
        <w:t>’</w:t>
      </w:r>
      <w:r>
        <w:t>état de la pile ou de la batterie</w:t>
      </w:r>
      <w:r w:rsidR="00242285">
        <w:t> »</w:t>
      </w:r>
      <w:r>
        <w:t>. Par conséquent, le véhicule devrait être transporté en tant que chargement dans les conditions décrites à l</w:t>
      </w:r>
      <w:r w:rsidR="005D7D8B">
        <w:t>’</w:t>
      </w:r>
      <w:r>
        <w:t xml:space="preserve">alinéa i) de la disposition spéciale </w:t>
      </w:r>
      <w:r w:rsidRPr="00210938">
        <w:t>667 b).</w:t>
      </w:r>
    </w:p>
    <w:p w14:paraId="27759CA0" w14:textId="77777777" w:rsidR="0033595F" w:rsidRPr="00210938" w:rsidRDefault="0033595F" w:rsidP="00585308">
      <w:pPr>
        <w:pStyle w:val="HChG"/>
      </w:pPr>
      <w:r w:rsidRPr="00210938">
        <w:lastRenderedPageBreak/>
        <w:tab/>
      </w:r>
      <w:r w:rsidRPr="00210938">
        <w:tab/>
        <w:t>Justification</w:t>
      </w:r>
    </w:p>
    <w:p w14:paraId="6606679D" w14:textId="77777777" w:rsidR="0033595F" w:rsidRPr="00210938" w:rsidRDefault="0033595F" w:rsidP="00585308">
      <w:pPr>
        <w:pStyle w:val="SingleTxtG"/>
      </w:pPr>
      <w:r w:rsidRPr="00210938">
        <w:t>13.</w:t>
      </w:r>
      <w:r w:rsidRPr="00210938">
        <w:tab/>
      </w:r>
      <w:r>
        <w:t>Un accident rapporté par les médias ayant montré que les termes utilisés retardaient (indirectement) beaucoup le transport d</w:t>
      </w:r>
      <w:r w:rsidR="005D7D8B">
        <w:t>’</w:t>
      </w:r>
      <w:r>
        <w:t xml:space="preserve">un véhicule </w:t>
      </w:r>
      <w:r w:rsidRPr="00CE0D78">
        <w:t>électrique à batterie</w:t>
      </w:r>
      <w:r>
        <w:t xml:space="preserve"> endommagé, il conviendrait de les préciser.</w:t>
      </w:r>
    </w:p>
    <w:p w14:paraId="1EC1D970" w14:textId="77777777" w:rsidR="0033595F" w:rsidRPr="00210938" w:rsidRDefault="0033595F" w:rsidP="00585308">
      <w:pPr>
        <w:pStyle w:val="H1G"/>
      </w:pPr>
      <w:r w:rsidRPr="00210938">
        <w:tab/>
      </w:r>
      <w:r w:rsidRPr="00210938">
        <w:tab/>
        <w:t>Propos</w:t>
      </w:r>
      <w:r>
        <w:t>ition</w:t>
      </w:r>
      <w:r w:rsidRPr="00210938">
        <w:t xml:space="preserve"> 1</w:t>
      </w:r>
    </w:p>
    <w:p w14:paraId="0DBF6AA4" w14:textId="77777777" w:rsidR="0033595F" w:rsidRPr="00210938" w:rsidRDefault="0033595F" w:rsidP="00585308">
      <w:pPr>
        <w:pStyle w:val="SingleTxtG"/>
        <w:rPr>
          <w:rFonts w:eastAsia="SimSun"/>
          <w:lang w:eastAsia="zh-CN"/>
        </w:rPr>
      </w:pPr>
      <w:r w:rsidRPr="00210938">
        <w:rPr>
          <w:rFonts w:eastAsia="SimSun"/>
          <w:lang w:eastAsia="zh-CN"/>
        </w:rPr>
        <w:t>14.</w:t>
      </w:r>
      <w:r w:rsidRPr="00210938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 xml:space="preserve">Modifier la disposition spéciale </w:t>
      </w:r>
      <w:r w:rsidRPr="00210938">
        <w:t xml:space="preserve">667 </w:t>
      </w:r>
      <w:r>
        <w:t xml:space="preserve">à des fins de clarification </w:t>
      </w:r>
      <w:r w:rsidRPr="00CE0D78">
        <w:rPr>
          <w:b/>
          <w:u w:val="single"/>
        </w:rPr>
        <w:t xml:space="preserve">en </w:t>
      </w:r>
      <w:bookmarkStart w:id="2" w:name="_Hlk34056351"/>
      <w:r w:rsidRPr="00CE0D78">
        <w:rPr>
          <w:b/>
          <w:u w:val="single"/>
        </w:rPr>
        <w:t xml:space="preserve">ajoutant </w:t>
      </w:r>
      <w:r>
        <w:rPr>
          <w:b/>
          <w:u w:val="single"/>
        </w:rPr>
        <w:t>à l</w:t>
      </w:r>
      <w:r w:rsidR="005D7D8B">
        <w:rPr>
          <w:b/>
          <w:u w:val="single"/>
        </w:rPr>
        <w:t>’</w:t>
      </w:r>
      <w:r>
        <w:rPr>
          <w:b/>
          <w:u w:val="single"/>
        </w:rPr>
        <w:t>alinéa</w:t>
      </w:r>
      <w:r w:rsidR="00DD6FAC">
        <w:rPr>
          <w:b/>
          <w:u w:val="single"/>
        </w:rPr>
        <w:t> </w:t>
      </w:r>
      <w:r w:rsidRPr="00210938">
        <w:rPr>
          <w:b/>
          <w:u w:val="single"/>
        </w:rPr>
        <w:t>b) ii)</w:t>
      </w:r>
      <w:r>
        <w:rPr>
          <w:b/>
          <w:u w:val="single"/>
        </w:rPr>
        <w:t xml:space="preserve"> le nota </w:t>
      </w:r>
      <w:r w:rsidRPr="00CE0D78">
        <w:t>suivant</w:t>
      </w:r>
      <w:bookmarkEnd w:id="2"/>
      <w:r w:rsidR="00585308">
        <w:t> </w:t>
      </w:r>
      <w:r w:rsidRPr="00210938">
        <w:rPr>
          <w:rFonts w:eastAsia="SimSun"/>
          <w:lang w:eastAsia="zh-CN"/>
        </w:rPr>
        <w:t>:</w:t>
      </w:r>
    </w:p>
    <w:p w14:paraId="036ADDF6" w14:textId="77777777" w:rsidR="0033595F" w:rsidRPr="00210938" w:rsidRDefault="0033595F" w:rsidP="00585308">
      <w:pPr>
        <w:pStyle w:val="SingleTxtG"/>
        <w:ind w:left="1701"/>
      </w:pPr>
      <w:r>
        <w:t>« </w:t>
      </w:r>
      <w:proofErr w:type="gramStart"/>
      <w:r w:rsidRPr="00210938">
        <w:t>a</w:t>
      </w:r>
      <w:proofErr w:type="gramEnd"/>
      <w:r w:rsidRPr="00210938">
        <w:t>)</w:t>
      </w:r>
      <w:r w:rsidRPr="00210938">
        <w:tab/>
      </w:r>
      <w:r>
        <w:t>L</w:t>
      </w:r>
      <w:r w:rsidRPr="003240C5">
        <w:t xml:space="preserve">es dispositions du </w:t>
      </w:r>
      <w:r>
        <w:t xml:space="preserve">paragraphe </w:t>
      </w:r>
      <w:r w:rsidRPr="003240C5">
        <w:t>2.2.9.1.7</w:t>
      </w:r>
      <w:r w:rsidR="00A402F2">
        <w:t> </w:t>
      </w:r>
      <w:r w:rsidRPr="003240C5">
        <w:t>a) ne s</w:t>
      </w:r>
      <w:r w:rsidR="005D7D8B">
        <w:t>’</w:t>
      </w:r>
      <w:r w:rsidRPr="003240C5">
        <w:t>appliquent pas aux prototypes de pré-production de piles ou batteries au lithium ni aux piles ou batteries issues de séries de production composées d</w:t>
      </w:r>
      <w:r w:rsidR="005D7D8B">
        <w:t>’</w:t>
      </w:r>
      <w:r w:rsidRPr="003240C5">
        <w:t xml:space="preserve">au plus 100 piles ou batteries installées dans les véhicules, moteurs, machines ou objets. </w:t>
      </w:r>
    </w:p>
    <w:p w14:paraId="35D1EBAD" w14:textId="77777777" w:rsidR="0033595F" w:rsidRPr="00210938" w:rsidRDefault="0033595F" w:rsidP="00585308">
      <w:pPr>
        <w:pStyle w:val="SingleTxtG"/>
        <w:ind w:left="1701"/>
      </w:pPr>
      <w:r w:rsidRPr="00210938">
        <w:t>b)</w:t>
      </w:r>
      <w:r w:rsidRPr="00210938">
        <w:tab/>
      </w:r>
      <w:r>
        <w:t>Le</w:t>
      </w:r>
      <w:r w:rsidRPr="003240C5">
        <w:t xml:space="preserve">s dispositions du </w:t>
      </w:r>
      <w:r>
        <w:t xml:space="preserve">paragraphe </w:t>
      </w:r>
      <w:r w:rsidRPr="003240C5">
        <w:t>2.2.9.1.7 ne s</w:t>
      </w:r>
      <w:r w:rsidR="005D7D8B">
        <w:t>’</w:t>
      </w:r>
      <w:r w:rsidRPr="003240C5">
        <w:t>appliquent pas aux piles ou batteries au lithium installées dans des véhicules, moteurs, machines ou objets endommagés ou défectueux. Dans ce cas les conditions suivantes doivent être satisfaites</w:t>
      </w:r>
      <w:r w:rsidR="00585308">
        <w:t> </w:t>
      </w:r>
      <w:r w:rsidRPr="00210938">
        <w:t>:</w:t>
      </w:r>
    </w:p>
    <w:p w14:paraId="514B265C" w14:textId="77777777" w:rsidR="0033595F" w:rsidRPr="00842112" w:rsidRDefault="0033595F" w:rsidP="00585308">
      <w:pPr>
        <w:pStyle w:val="SingleTxtG"/>
        <w:ind w:left="2268"/>
      </w:pPr>
      <w:r w:rsidRPr="00210938">
        <w:t>i)</w:t>
      </w:r>
      <w:r w:rsidRPr="00210938">
        <w:tab/>
      </w:r>
      <w:r w:rsidRPr="00842112">
        <w:t>le dommage ou défaut n</w:t>
      </w:r>
      <w:r w:rsidR="005D7D8B">
        <w:t>’</w:t>
      </w:r>
      <w:r w:rsidRPr="00842112">
        <w:t>a pas d</w:t>
      </w:r>
      <w:r w:rsidR="005D7D8B">
        <w:t>’</w:t>
      </w:r>
      <w:r w:rsidRPr="00842112">
        <w:t>impact significatif sur la</w:t>
      </w:r>
      <w:r>
        <w:t xml:space="preserve"> </w:t>
      </w:r>
      <w:r w:rsidRPr="00842112">
        <w:t>sécurité de la pile ou batterie, les véhicules, moteurs, machines ou objets endommagés</w:t>
      </w:r>
      <w:r>
        <w:t xml:space="preserve"> </w:t>
      </w:r>
      <w:r w:rsidRPr="00842112">
        <w:t>ou défectueux peuvent être transportés sous les conditions définies dans les dispositions spéciales 363 ou 666, comme approprié</w:t>
      </w:r>
      <w:r w:rsidR="005D7D8B">
        <w:t> </w:t>
      </w:r>
      <w:r w:rsidRPr="00842112">
        <w:t>;</w:t>
      </w:r>
    </w:p>
    <w:p w14:paraId="4B0B8172" w14:textId="77777777" w:rsidR="0033595F" w:rsidRPr="00842112" w:rsidRDefault="0033595F" w:rsidP="00585308">
      <w:pPr>
        <w:pStyle w:val="SingleTxtG"/>
        <w:ind w:left="2268"/>
      </w:pPr>
      <w:r w:rsidRPr="00210938">
        <w:t>ii)</w:t>
      </w:r>
      <w:r w:rsidRPr="00210938">
        <w:tab/>
      </w:r>
      <w:r w:rsidRPr="00842112">
        <w:t>le dommage ou défaut sur le véhicule a un impact significatif sur la sécurité de la pile ou batterie, la pile ou batterie au lithium doit être enlevée et transportée conformément à la disposition spéciale 376. Cependant, s</w:t>
      </w:r>
      <w:r w:rsidR="005D7D8B">
        <w:t>’</w:t>
      </w:r>
      <w:r w:rsidRPr="00842112">
        <w:t>il n</w:t>
      </w:r>
      <w:r w:rsidR="005D7D8B">
        <w:t>’</w:t>
      </w:r>
      <w:r w:rsidRPr="00842112">
        <w:t>est pas possible d</w:t>
      </w:r>
      <w:r w:rsidR="005D7D8B">
        <w:t>’</w:t>
      </w:r>
      <w:r w:rsidRPr="00842112">
        <w:t>enlever en toute sécurité</w:t>
      </w:r>
      <w:r>
        <w:t xml:space="preserve"> </w:t>
      </w:r>
      <w:r w:rsidRPr="00842112">
        <w:t>la pile ou batterie ou s</w:t>
      </w:r>
      <w:r w:rsidR="005D7D8B">
        <w:t>’</w:t>
      </w:r>
      <w:r w:rsidRPr="00842112">
        <w:t>il est impossible d</w:t>
      </w:r>
      <w:r w:rsidR="005D7D8B">
        <w:t>’</w:t>
      </w:r>
      <w:r w:rsidRPr="00842112">
        <w:t>en vérifier l</w:t>
      </w:r>
      <w:r w:rsidR="005D7D8B">
        <w:t>’</w:t>
      </w:r>
      <w:r w:rsidRPr="00842112">
        <w:t>état, le véhicule, le moteur, la machine ou l</w:t>
      </w:r>
      <w:r w:rsidR="005D7D8B">
        <w:t>’</w:t>
      </w:r>
      <w:r w:rsidRPr="00842112">
        <w:t>objet peut être remorqué ou transporté comme indiqué en i).</w:t>
      </w:r>
    </w:p>
    <w:p w14:paraId="1371CD15" w14:textId="77777777" w:rsidR="0033595F" w:rsidRPr="00210938" w:rsidRDefault="0033595F" w:rsidP="00585308">
      <w:pPr>
        <w:pStyle w:val="SingleTxtG"/>
        <w:ind w:left="2268"/>
        <w:rPr>
          <w:b/>
          <w:i/>
          <w:iCs/>
          <w:u w:val="single"/>
        </w:rPr>
      </w:pPr>
      <w:r w:rsidRPr="00210938">
        <w:rPr>
          <w:b/>
          <w:i/>
          <w:iCs/>
          <w:u w:val="single"/>
        </w:rPr>
        <w:t>NOT</w:t>
      </w:r>
      <w:r>
        <w:rPr>
          <w:b/>
          <w:i/>
          <w:iCs/>
          <w:u w:val="single"/>
        </w:rPr>
        <w:t>A</w:t>
      </w:r>
      <w:r w:rsidR="00585308">
        <w:rPr>
          <w:b/>
          <w:i/>
          <w:iCs/>
          <w:u w:val="single"/>
        </w:rPr>
        <w:t> </w:t>
      </w:r>
      <w:r w:rsidRPr="00210938">
        <w:rPr>
          <w:b/>
          <w:i/>
          <w:iCs/>
          <w:u w:val="single"/>
        </w:rPr>
        <w:t xml:space="preserve">: </w:t>
      </w:r>
      <w:r>
        <w:rPr>
          <w:b/>
          <w:i/>
          <w:iCs/>
          <w:u w:val="single"/>
        </w:rPr>
        <w:t>Par exemple, il n</w:t>
      </w:r>
      <w:r w:rsidR="005D7D8B">
        <w:rPr>
          <w:b/>
          <w:i/>
          <w:iCs/>
          <w:u w:val="single"/>
        </w:rPr>
        <w:t>’</w:t>
      </w:r>
      <w:r>
        <w:rPr>
          <w:b/>
          <w:i/>
          <w:iCs/>
          <w:u w:val="single"/>
        </w:rPr>
        <w:t>est pas pos</w:t>
      </w:r>
      <w:r w:rsidRPr="00210938">
        <w:rPr>
          <w:b/>
          <w:i/>
          <w:iCs/>
          <w:u w:val="single"/>
        </w:rPr>
        <w:t xml:space="preserve">sible </w:t>
      </w:r>
      <w:r>
        <w:rPr>
          <w:b/>
          <w:i/>
          <w:iCs/>
          <w:u w:val="single"/>
        </w:rPr>
        <w:t>d</w:t>
      </w:r>
      <w:r w:rsidR="005D7D8B">
        <w:rPr>
          <w:b/>
          <w:i/>
          <w:iCs/>
          <w:u w:val="single"/>
        </w:rPr>
        <w:t>’</w:t>
      </w:r>
      <w:r>
        <w:rPr>
          <w:b/>
          <w:i/>
          <w:iCs/>
          <w:u w:val="single"/>
        </w:rPr>
        <w:t>enlever en toute sécurité la pile ou la batterie</w:t>
      </w:r>
      <w:r w:rsidRPr="00210938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>si un</w:t>
      </w:r>
      <w:r w:rsidRPr="00210938">
        <w:rPr>
          <w:b/>
          <w:i/>
          <w:iCs/>
          <w:u w:val="single"/>
        </w:rPr>
        <w:t xml:space="preserve"> accident d</w:t>
      </w:r>
      <w:r>
        <w:rPr>
          <w:b/>
          <w:i/>
          <w:iCs/>
          <w:u w:val="single"/>
        </w:rPr>
        <w:t>éforme le véhicule</w:t>
      </w:r>
      <w:r w:rsidRPr="00210938">
        <w:rPr>
          <w:b/>
          <w:i/>
          <w:iCs/>
          <w:u w:val="single"/>
        </w:rPr>
        <w:t xml:space="preserve">, </w:t>
      </w:r>
      <w:r>
        <w:rPr>
          <w:b/>
          <w:i/>
          <w:iCs/>
          <w:u w:val="single"/>
        </w:rPr>
        <w:t>la pile ou la batterie et que le transport de la batterie à l</w:t>
      </w:r>
      <w:r w:rsidR="005D7D8B">
        <w:rPr>
          <w:b/>
          <w:i/>
          <w:iCs/>
          <w:u w:val="single"/>
        </w:rPr>
        <w:t>’</w:t>
      </w:r>
      <w:r>
        <w:rPr>
          <w:b/>
          <w:i/>
          <w:iCs/>
          <w:u w:val="single"/>
        </w:rPr>
        <w:t>intérieur du véhicule, dans les conditions décrites à l</w:t>
      </w:r>
      <w:r w:rsidR="005D7D8B">
        <w:rPr>
          <w:b/>
          <w:i/>
          <w:iCs/>
          <w:u w:val="single"/>
        </w:rPr>
        <w:t>’</w:t>
      </w:r>
      <w:r>
        <w:rPr>
          <w:b/>
          <w:i/>
          <w:iCs/>
          <w:u w:val="single"/>
        </w:rPr>
        <w:t>alinéa i), est plus sûr que l</w:t>
      </w:r>
      <w:r w:rsidR="005D7D8B">
        <w:rPr>
          <w:b/>
          <w:i/>
          <w:iCs/>
          <w:u w:val="single"/>
        </w:rPr>
        <w:t>’</w:t>
      </w:r>
      <w:r>
        <w:rPr>
          <w:b/>
          <w:i/>
          <w:iCs/>
          <w:u w:val="single"/>
        </w:rPr>
        <w:t>enlèvement de la pile ou de la batterie, en particulier si l</w:t>
      </w:r>
      <w:r w:rsidR="005D7D8B">
        <w:rPr>
          <w:b/>
          <w:i/>
          <w:iCs/>
          <w:u w:val="single"/>
        </w:rPr>
        <w:t>’</w:t>
      </w:r>
      <w:r>
        <w:rPr>
          <w:b/>
          <w:i/>
          <w:iCs/>
          <w:u w:val="single"/>
        </w:rPr>
        <w:t>enlèvement requiert en outre :</w:t>
      </w:r>
    </w:p>
    <w:p w14:paraId="0FD549DE" w14:textId="77777777" w:rsidR="0033595F" w:rsidRPr="00210938" w:rsidRDefault="00585308" w:rsidP="00585308">
      <w:pPr>
        <w:pStyle w:val="SingleTxtG"/>
        <w:ind w:left="2835"/>
        <w:rPr>
          <w:b/>
          <w:i/>
          <w:iCs/>
          <w:u w:val="single"/>
        </w:rPr>
      </w:pPr>
      <w:r w:rsidRPr="00585308">
        <w:rPr>
          <w:b/>
          <w:i/>
          <w:u w:val="single"/>
          <w:lang w:val="fr-FR"/>
        </w:rPr>
        <w:t>−</w:t>
      </w:r>
      <w:r w:rsidR="0033595F" w:rsidRPr="00210938">
        <w:rPr>
          <w:b/>
          <w:i/>
          <w:iCs/>
          <w:u w:val="single"/>
        </w:rPr>
        <w:t xml:space="preserve"> </w:t>
      </w:r>
      <w:r w:rsidR="0033595F">
        <w:rPr>
          <w:b/>
          <w:i/>
          <w:iCs/>
          <w:u w:val="single"/>
        </w:rPr>
        <w:t>une méthode d</w:t>
      </w:r>
      <w:r w:rsidR="005D7D8B">
        <w:rPr>
          <w:b/>
          <w:i/>
          <w:iCs/>
          <w:u w:val="single"/>
        </w:rPr>
        <w:t>’</w:t>
      </w:r>
      <w:r w:rsidR="0033595F">
        <w:rPr>
          <w:b/>
          <w:i/>
          <w:iCs/>
          <w:u w:val="single"/>
        </w:rPr>
        <w:t xml:space="preserve">extraction différente de la méthode utilisée pour les véhicules non endommagés, comme un découpage des pièces fixes ; </w:t>
      </w:r>
      <w:proofErr w:type="gramStart"/>
      <w:r w:rsidR="0033595F">
        <w:rPr>
          <w:b/>
          <w:i/>
          <w:iCs/>
          <w:u w:val="single"/>
        </w:rPr>
        <w:t>ou</w:t>
      </w:r>
      <w:proofErr w:type="gramEnd"/>
    </w:p>
    <w:p w14:paraId="047F75B6" w14:textId="77777777" w:rsidR="0033595F" w:rsidRPr="00210938" w:rsidRDefault="00585308" w:rsidP="00585308">
      <w:pPr>
        <w:pStyle w:val="SingleTxtG"/>
        <w:ind w:left="2835"/>
        <w:rPr>
          <w:b/>
          <w:i/>
          <w:iCs/>
          <w:u w:val="single"/>
        </w:rPr>
      </w:pPr>
      <w:r w:rsidRPr="00585308">
        <w:rPr>
          <w:b/>
          <w:i/>
          <w:u w:val="single"/>
          <w:lang w:val="fr-FR"/>
        </w:rPr>
        <w:t>−</w:t>
      </w:r>
      <w:r w:rsidR="0033595F" w:rsidRPr="00210938">
        <w:rPr>
          <w:b/>
          <w:i/>
          <w:iCs/>
          <w:u w:val="single"/>
        </w:rPr>
        <w:t xml:space="preserve"> </w:t>
      </w:r>
      <w:r w:rsidR="0033595F">
        <w:rPr>
          <w:b/>
          <w:i/>
          <w:iCs/>
          <w:u w:val="single"/>
        </w:rPr>
        <w:t>une formation ou une protection spéciale en raison du système haute tension</w:t>
      </w:r>
      <w:r w:rsidR="00DD0950">
        <w:rPr>
          <w:b/>
          <w:i/>
          <w:iCs/>
          <w:u w:val="single"/>
        </w:rPr>
        <w:t>.</w:t>
      </w:r>
    </w:p>
    <w:p w14:paraId="28D3731A" w14:textId="77777777" w:rsidR="0033595F" w:rsidRPr="00210938" w:rsidRDefault="0033595F" w:rsidP="00585308">
      <w:pPr>
        <w:pStyle w:val="SingleTxtG"/>
        <w:ind w:left="1701"/>
      </w:pPr>
      <w:r w:rsidRPr="00210938">
        <w:t>c)</w:t>
      </w:r>
      <w:r w:rsidRPr="00210938">
        <w:tab/>
      </w:r>
      <w:r>
        <w:t>L</w:t>
      </w:r>
      <w:r w:rsidRPr="009343EC">
        <w:t>es procédures décrites à l</w:t>
      </w:r>
      <w:r w:rsidR="005D7D8B">
        <w:t>’</w:t>
      </w:r>
      <w:r w:rsidRPr="009343EC">
        <w:t>alinéa</w:t>
      </w:r>
      <w:r w:rsidR="00DD0950">
        <w:t> </w:t>
      </w:r>
      <w:r w:rsidRPr="009343EC">
        <w:t>b) s</w:t>
      </w:r>
      <w:r w:rsidR="005D7D8B">
        <w:t>’</w:t>
      </w:r>
      <w:r w:rsidRPr="009343EC">
        <w:t>appliquent aussi aux piles ou batteries au lithium endommagées contenues dans les véhicules, moteurs, machines ou objets</w:t>
      </w:r>
      <w:r w:rsidRPr="00210938">
        <w:t>.</w:t>
      </w:r>
      <w:r>
        <w:t> »</w:t>
      </w:r>
      <w:r w:rsidRPr="00210938">
        <w:t>.</w:t>
      </w:r>
    </w:p>
    <w:p w14:paraId="52F377D3" w14:textId="77777777" w:rsidR="0033595F" w:rsidRPr="00210938" w:rsidRDefault="0033595F" w:rsidP="00585308">
      <w:pPr>
        <w:pStyle w:val="H1G"/>
      </w:pPr>
      <w:r w:rsidRPr="00210938">
        <w:lastRenderedPageBreak/>
        <w:tab/>
      </w:r>
      <w:r w:rsidRPr="00210938">
        <w:tab/>
        <w:t>Propos</w:t>
      </w:r>
      <w:r>
        <w:t>ition</w:t>
      </w:r>
      <w:r w:rsidRPr="00210938">
        <w:t xml:space="preserve"> 2</w:t>
      </w:r>
    </w:p>
    <w:p w14:paraId="6148A926" w14:textId="77777777" w:rsidR="0033595F" w:rsidRPr="00210938" w:rsidRDefault="0033595F" w:rsidP="00DD0950">
      <w:pPr>
        <w:pStyle w:val="SingleTxtG"/>
        <w:keepNext/>
      </w:pPr>
      <w:r w:rsidRPr="00210938">
        <w:rPr>
          <w:rFonts w:eastAsia="SimSun"/>
          <w:lang w:eastAsia="zh-CN"/>
        </w:rPr>
        <w:t>15.</w:t>
      </w:r>
      <w:r w:rsidRPr="00210938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 xml:space="preserve">Comme pour la </w:t>
      </w:r>
      <w:r w:rsidRPr="00585308">
        <w:t>proposition</w:t>
      </w:r>
      <w:r w:rsidRPr="00210938">
        <w:rPr>
          <w:rFonts w:eastAsia="SimSun"/>
          <w:lang w:eastAsia="zh-CN"/>
        </w:rPr>
        <w:t xml:space="preserve"> 1, </w:t>
      </w:r>
      <w:r>
        <w:rPr>
          <w:rFonts w:eastAsia="SimSun"/>
          <w:lang w:eastAsia="zh-CN"/>
        </w:rPr>
        <w:t xml:space="preserve">modifier la disposition spéciale </w:t>
      </w:r>
      <w:r w:rsidRPr="00210938">
        <w:rPr>
          <w:rFonts w:eastAsia="SimSun"/>
          <w:lang w:eastAsia="zh-CN"/>
        </w:rPr>
        <w:t xml:space="preserve">667 </w:t>
      </w:r>
      <w:r w:rsidRPr="00EF4044">
        <w:rPr>
          <w:rFonts w:eastAsia="SimSun"/>
          <w:b/>
          <w:u w:val="single"/>
          <w:lang w:eastAsia="zh-CN"/>
        </w:rPr>
        <w:t xml:space="preserve">en </w:t>
      </w:r>
      <w:r w:rsidRPr="00CE0D78">
        <w:rPr>
          <w:b/>
          <w:u w:val="single"/>
        </w:rPr>
        <w:t xml:space="preserve">ajoutant </w:t>
      </w:r>
      <w:r>
        <w:rPr>
          <w:b/>
          <w:u w:val="single"/>
        </w:rPr>
        <w:t>à l</w:t>
      </w:r>
      <w:r w:rsidR="005D7D8B">
        <w:rPr>
          <w:b/>
          <w:u w:val="single"/>
        </w:rPr>
        <w:t>’</w:t>
      </w:r>
      <w:r>
        <w:rPr>
          <w:b/>
          <w:u w:val="single"/>
        </w:rPr>
        <w:t xml:space="preserve">alinéa </w:t>
      </w:r>
      <w:r w:rsidRPr="00210938">
        <w:rPr>
          <w:b/>
          <w:u w:val="single"/>
        </w:rPr>
        <w:t>b) ii)</w:t>
      </w:r>
      <w:r>
        <w:rPr>
          <w:b/>
          <w:u w:val="single"/>
        </w:rPr>
        <w:t xml:space="preserve"> le nota </w:t>
      </w:r>
      <w:r w:rsidRPr="00CE0D78">
        <w:t>suivant</w:t>
      </w:r>
      <w:r w:rsidR="005D7D8B">
        <w:t> </w:t>
      </w:r>
      <w:r w:rsidRPr="00210938">
        <w:rPr>
          <w:rFonts w:eastAsia="SimSun"/>
          <w:lang w:eastAsia="zh-CN"/>
        </w:rPr>
        <w:t>:</w:t>
      </w:r>
    </w:p>
    <w:p w14:paraId="3B8E0C4B" w14:textId="77777777" w:rsidR="0033595F" w:rsidRPr="00210938" w:rsidRDefault="0033595F" w:rsidP="00DD0950">
      <w:pPr>
        <w:pStyle w:val="SingleTxtG"/>
        <w:keepNext/>
        <w:ind w:left="1701"/>
        <w:rPr>
          <w:b/>
          <w:bCs/>
          <w:i/>
          <w:iCs/>
        </w:rPr>
      </w:pPr>
      <w:r w:rsidRPr="00DD6FAC">
        <w:rPr>
          <w:bCs/>
          <w:iCs/>
        </w:rPr>
        <w:t>« </w:t>
      </w:r>
      <w:r w:rsidRPr="00210938">
        <w:rPr>
          <w:b/>
          <w:bCs/>
          <w:i/>
          <w:iCs/>
        </w:rPr>
        <w:t>NOT</w:t>
      </w:r>
      <w:r>
        <w:rPr>
          <w:b/>
          <w:bCs/>
          <w:i/>
          <w:iCs/>
        </w:rPr>
        <w:t>A</w:t>
      </w:r>
      <w:r w:rsidR="00DD6FAC">
        <w:rPr>
          <w:b/>
          <w:bCs/>
          <w:i/>
          <w:iCs/>
        </w:rPr>
        <w:t> </w:t>
      </w:r>
      <w:r w:rsidRPr="00210938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Par </w:t>
      </w:r>
      <w:r w:rsidRPr="00F96918">
        <w:rPr>
          <w:b/>
          <w:i/>
          <w:iCs/>
        </w:rPr>
        <w:t>exemple</w:t>
      </w:r>
      <w:r>
        <w:rPr>
          <w:b/>
          <w:bCs/>
          <w:i/>
          <w:iCs/>
        </w:rPr>
        <w:t>, il n</w:t>
      </w:r>
      <w:r w:rsidR="005D7D8B">
        <w:rPr>
          <w:b/>
          <w:bCs/>
          <w:i/>
          <w:iCs/>
        </w:rPr>
        <w:t>’</w:t>
      </w:r>
      <w:r>
        <w:rPr>
          <w:b/>
          <w:bCs/>
          <w:i/>
          <w:iCs/>
        </w:rPr>
        <w:t>est pas possible de vérifier l</w:t>
      </w:r>
      <w:r w:rsidR="005D7D8B">
        <w:rPr>
          <w:b/>
          <w:bCs/>
          <w:i/>
          <w:iCs/>
        </w:rPr>
        <w:t>’</w:t>
      </w:r>
      <w:r>
        <w:rPr>
          <w:b/>
          <w:bCs/>
          <w:i/>
          <w:iCs/>
        </w:rPr>
        <w:t>état de la pile ou de la batterie si</w:t>
      </w:r>
      <w:r w:rsidR="00DD6FAC">
        <w:rPr>
          <w:b/>
          <w:bCs/>
          <w:i/>
          <w:iCs/>
        </w:rPr>
        <w:t> </w:t>
      </w:r>
      <w:r w:rsidRPr="00210938">
        <w:rPr>
          <w:b/>
          <w:bCs/>
          <w:i/>
          <w:iCs/>
        </w:rPr>
        <w:t xml:space="preserve">: </w:t>
      </w:r>
    </w:p>
    <w:p w14:paraId="537A6BE4" w14:textId="77777777" w:rsidR="0033595F" w:rsidRPr="00210938" w:rsidRDefault="00DD6FAC" w:rsidP="00DD0950">
      <w:pPr>
        <w:pStyle w:val="SingleTxtG"/>
        <w:keepNext/>
        <w:ind w:left="1701"/>
        <w:rPr>
          <w:b/>
          <w:bCs/>
          <w:i/>
          <w:iCs/>
        </w:rPr>
      </w:pPr>
      <w:r w:rsidRPr="00DD6FAC">
        <w:rPr>
          <w:b/>
          <w:i/>
          <w:lang w:val="fr-FR"/>
        </w:rPr>
        <w:t>−</w:t>
      </w:r>
      <w:r w:rsidR="0033595F" w:rsidRPr="00210938">
        <w:rPr>
          <w:b/>
          <w:bCs/>
          <w:i/>
          <w:iCs/>
        </w:rPr>
        <w:tab/>
      </w:r>
      <w:r w:rsidR="0033595F">
        <w:rPr>
          <w:b/>
          <w:bCs/>
          <w:i/>
          <w:iCs/>
        </w:rPr>
        <w:t>un défaut du système de mesure intégré d</w:t>
      </w:r>
      <w:r w:rsidR="005D7D8B">
        <w:rPr>
          <w:b/>
          <w:bCs/>
          <w:i/>
          <w:iCs/>
        </w:rPr>
        <w:t>’</w:t>
      </w:r>
      <w:r w:rsidR="0033595F">
        <w:rPr>
          <w:b/>
          <w:bCs/>
          <w:i/>
          <w:iCs/>
        </w:rPr>
        <w:t>un véhicule non endommagé empêche la lecture ou l</w:t>
      </w:r>
      <w:r w:rsidR="005D7D8B">
        <w:rPr>
          <w:b/>
          <w:bCs/>
          <w:i/>
          <w:iCs/>
        </w:rPr>
        <w:t>’</w:t>
      </w:r>
      <w:r w:rsidR="0033595F">
        <w:rPr>
          <w:b/>
          <w:bCs/>
          <w:i/>
          <w:iCs/>
        </w:rPr>
        <w:t>évaluation des données des piles ou de la batterie communiquées, par exemple, par le système d</w:t>
      </w:r>
      <w:r w:rsidR="005D7D8B">
        <w:rPr>
          <w:b/>
          <w:bCs/>
          <w:i/>
          <w:iCs/>
        </w:rPr>
        <w:t>’</w:t>
      </w:r>
      <w:r w:rsidR="0033595F">
        <w:rPr>
          <w:b/>
          <w:bCs/>
          <w:i/>
          <w:iCs/>
        </w:rPr>
        <w:t xml:space="preserve">autodiagnostic ; </w:t>
      </w:r>
      <w:proofErr w:type="gramStart"/>
      <w:r w:rsidR="0033595F">
        <w:rPr>
          <w:b/>
          <w:bCs/>
          <w:i/>
          <w:iCs/>
        </w:rPr>
        <w:t>ou</w:t>
      </w:r>
      <w:proofErr w:type="gramEnd"/>
      <w:r w:rsidR="0033595F">
        <w:rPr>
          <w:b/>
          <w:bCs/>
          <w:i/>
          <w:iCs/>
        </w:rPr>
        <w:t xml:space="preserve"> </w:t>
      </w:r>
    </w:p>
    <w:p w14:paraId="1A89F115" w14:textId="77777777" w:rsidR="0033595F" w:rsidRDefault="00DD6FAC" w:rsidP="00DD0950">
      <w:pPr>
        <w:pStyle w:val="SingleTxtG"/>
        <w:keepNext/>
        <w:ind w:left="1701"/>
        <w:rPr>
          <w:b/>
          <w:bCs/>
          <w:i/>
          <w:iCs/>
        </w:rPr>
      </w:pPr>
      <w:r w:rsidRPr="00DD6FAC">
        <w:rPr>
          <w:b/>
          <w:i/>
          <w:lang w:val="fr-FR"/>
        </w:rPr>
        <w:t>−</w:t>
      </w:r>
      <w:r w:rsidR="0033595F" w:rsidRPr="00210938">
        <w:rPr>
          <w:b/>
          <w:bCs/>
          <w:i/>
          <w:iCs/>
        </w:rPr>
        <w:tab/>
      </w:r>
      <w:r w:rsidR="0033595F">
        <w:rPr>
          <w:b/>
          <w:bCs/>
          <w:i/>
          <w:iCs/>
        </w:rPr>
        <w:t>un dommage causé au véhicule, à la batterie ou aux piles empêche l</w:t>
      </w:r>
      <w:r w:rsidR="005D7D8B">
        <w:rPr>
          <w:b/>
          <w:bCs/>
          <w:i/>
          <w:iCs/>
        </w:rPr>
        <w:t>’</w:t>
      </w:r>
      <w:r w:rsidR="0033595F">
        <w:rPr>
          <w:b/>
          <w:bCs/>
          <w:i/>
          <w:iCs/>
        </w:rPr>
        <w:t>accès aux systèmes de mesure internes ou externes</w:t>
      </w:r>
      <w:r w:rsidR="0033595F" w:rsidRPr="00210938">
        <w:rPr>
          <w:b/>
          <w:bCs/>
          <w:i/>
          <w:iCs/>
        </w:rPr>
        <w:t>.</w:t>
      </w:r>
      <w:r w:rsidR="0033595F">
        <w:rPr>
          <w:b/>
          <w:bCs/>
          <w:i/>
          <w:iCs/>
        </w:rPr>
        <w:t> </w:t>
      </w:r>
      <w:r w:rsidR="0033595F" w:rsidRPr="00DD6FAC">
        <w:rPr>
          <w:bCs/>
          <w:iCs/>
        </w:rPr>
        <w:t>».</w:t>
      </w:r>
    </w:p>
    <w:p w14:paraId="38F271A5" w14:textId="77777777" w:rsidR="00DD6FAC" w:rsidRPr="00DD6FAC" w:rsidRDefault="00DD6FAC" w:rsidP="00DD6F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6FAC" w:rsidRPr="00DD6FAC" w:rsidSect="003359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DF3D7" w14:textId="77777777" w:rsidR="008A156A" w:rsidRDefault="008A156A" w:rsidP="00F95C08">
      <w:pPr>
        <w:spacing w:line="240" w:lineRule="auto"/>
      </w:pPr>
    </w:p>
  </w:endnote>
  <w:endnote w:type="continuationSeparator" w:id="0">
    <w:p w14:paraId="2994E024" w14:textId="77777777" w:rsidR="008A156A" w:rsidRPr="00AC3823" w:rsidRDefault="008A156A" w:rsidP="00AC3823">
      <w:pPr>
        <w:pStyle w:val="Footer"/>
      </w:pPr>
    </w:p>
  </w:endnote>
  <w:endnote w:type="continuationNotice" w:id="1">
    <w:p w14:paraId="5196B997" w14:textId="77777777" w:rsidR="008A156A" w:rsidRDefault="008A15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5FDA" w14:textId="77777777" w:rsidR="0033595F" w:rsidRPr="0033595F" w:rsidRDefault="0033595F" w:rsidP="0033595F">
    <w:pPr>
      <w:pStyle w:val="Footer"/>
      <w:tabs>
        <w:tab w:val="right" w:pos="9638"/>
      </w:tabs>
    </w:pPr>
    <w:r w:rsidRPr="0033595F">
      <w:rPr>
        <w:b/>
        <w:sz w:val="18"/>
      </w:rPr>
      <w:fldChar w:fldCharType="begin"/>
    </w:r>
    <w:r w:rsidRPr="0033595F">
      <w:rPr>
        <w:b/>
        <w:sz w:val="18"/>
      </w:rPr>
      <w:instrText xml:space="preserve"> PAGE  \* MERGEFORMAT </w:instrText>
    </w:r>
    <w:r w:rsidRPr="0033595F">
      <w:rPr>
        <w:b/>
        <w:sz w:val="18"/>
      </w:rPr>
      <w:fldChar w:fldCharType="separate"/>
    </w:r>
    <w:r w:rsidRPr="0033595F">
      <w:rPr>
        <w:b/>
        <w:noProof/>
        <w:sz w:val="18"/>
      </w:rPr>
      <w:t>2</w:t>
    </w:r>
    <w:r w:rsidRPr="0033595F">
      <w:rPr>
        <w:b/>
        <w:sz w:val="18"/>
      </w:rPr>
      <w:fldChar w:fldCharType="end"/>
    </w:r>
    <w:r>
      <w:rPr>
        <w:b/>
        <w:sz w:val="18"/>
      </w:rPr>
      <w:tab/>
    </w:r>
    <w:r>
      <w:t>GE.20-02735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FD4A" w14:textId="77777777" w:rsidR="0033595F" w:rsidRPr="0033595F" w:rsidRDefault="0033595F" w:rsidP="0033595F">
    <w:pPr>
      <w:pStyle w:val="Footer"/>
      <w:tabs>
        <w:tab w:val="right" w:pos="9638"/>
      </w:tabs>
      <w:rPr>
        <w:b/>
        <w:sz w:val="18"/>
      </w:rPr>
    </w:pPr>
    <w:r>
      <w:t>GE.20-02735</w:t>
    </w:r>
    <w:r>
      <w:tab/>
    </w:r>
    <w:r w:rsidRPr="0033595F">
      <w:rPr>
        <w:b/>
        <w:sz w:val="18"/>
      </w:rPr>
      <w:fldChar w:fldCharType="begin"/>
    </w:r>
    <w:r w:rsidRPr="0033595F">
      <w:rPr>
        <w:b/>
        <w:sz w:val="18"/>
      </w:rPr>
      <w:instrText xml:space="preserve"> PAGE  \* MERGEFORMAT </w:instrText>
    </w:r>
    <w:r w:rsidRPr="0033595F">
      <w:rPr>
        <w:b/>
        <w:sz w:val="18"/>
      </w:rPr>
      <w:fldChar w:fldCharType="separate"/>
    </w:r>
    <w:r w:rsidRPr="0033595F">
      <w:rPr>
        <w:b/>
        <w:noProof/>
        <w:sz w:val="18"/>
      </w:rPr>
      <w:t>3</w:t>
    </w:r>
    <w:r w:rsidRPr="003359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77BC" w14:textId="77777777" w:rsidR="007F20FA" w:rsidRPr="0033595F" w:rsidRDefault="0033595F" w:rsidP="0033595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70010D" wp14:editId="55E505B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02735  (</w:t>
    </w:r>
    <w:proofErr w:type="gramEnd"/>
    <w:r>
      <w:rPr>
        <w:sz w:val="20"/>
      </w:rPr>
      <w:t>F)</w:t>
    </w:r>
    <w:r w:rsidR="00585308">
      <w:rPr>
        <w:sz w:val="20"/>
      </w:rPr>
      <w:t xml:space="preserve">    170320    180320</w:t>
    </w:r>
    <w:r>
      <w:rPr>
        <w:sz w:val="20"/>
      </w:rPr>
      <w:br/>
    </w:r>
    <w:r w:rsidRPr="0033595F">
      <w:rPr>
        <w:rFonts w:ascii="C39T30Lfz" w:hAnsi="C39T30Lfz"/>
        <w:sz w:val="56"/>
      </w:rPr>
      <w:t></w:t>
    </w:r>
    <w:r w:rsidRPr="0033595F">
      <w:rPr>
        <w:rFonts w:ascii="C39T30Lfz" w:hAnsi="C39T30Lfz"/>
        <w:sz w:val="56"/>
      </w:rPr>
      <w:t></w:t>
    </w:r>
    <w:r w:rsidRPr="0033595F">
      <w:rPr>
        <w:rFonts w:ascii="C39T30Lfz" w:hAnsi="C39T30Lfz"/>
        <w:sz w:val="56"/>
      </w:rPr>
      <w:t></w:t>
    </w:r>
    <w:r w:rsidRPr="0033595F">
      <w:rPr>
        <w:rFonts w:ascii="C39T30Lfz" w:hAnsi="C39T30Lfz"/>
        <w:sz w:val="56"/>
      </w:rPr>
      <w:t></w:t>
    </w:r>
    <w:r w:rsidRPr="0033595F">
      <w:rPr>
        <w:rFonts w:ascii="C39T30Lfz" w:hAnsi="C39T30Lfz"/>
        <w:sz w:val="56"/>
      </w:rPr>
      <w:t></w:t>
    </w:r>
    <w:r w:rsidRPr="0033595F">
      <w:rPr>
        <w:rFonts w:ascii="C39T30Lfz" w:hAnsi="C39T30Lfz"/>
        <w:sz w:val="56"/>
      </w:rPr>
      <w:t></w:t>
    </w:r>
    <w:r w:rsidRPr="0033595F">
      <w:rPr>
        <w:rFonts w:ascii="C39T30Lfz" w:hAnsi="C39T30Lfz"/>
        <w:sz w:val="56"/>
      </w:rPr>
      <w:t></w:t>
    </w:r>
    <w:r w:rsidRPr="0033595F">
      <w:rPr>
        <w:rFonts w:ascii="C39T30Lfz" w:hAnsi="C39T30Lfz"/>
        <w:sz w:val="56"/>
      </w:rPr>
      <w:t></w:t>
    </w:r>
    <w:r w:rsidRPr="0033595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C20E50B" wp14:editId="74FFAEB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2020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65DD" w14:textId="77777777" w:rsidR="008A156A" w:rsidRPr="00AC3823" w:rsidRDefault="008A15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18371E" w14:textId="77777777" w:rsidR="008A156A" w:rsidRPr="00AC3823" w:rsidRDefault="008A15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C51894" w14:textId="77777777" w:rsidR="008A156A" w:rsidRPr="00AC3823" w:rsidRDefault="008A156A">
      <w:pPr>
        <w:spacing w:line="240" w:lineRule="auto"/>
        <w:rPr>
          <w:sz w:val="2"/>
          <w:szCs w:val="2"/>
        </w:rPr>
      </w:pPr>
    </w:p>
  </w:footnote>
  <w:footnote w:id="2">
    <w:p w14:paraId="0FDF570A" w14:textId="77777777" w:rsidR="00955B8C" w:rsidRPr="00955B8C" w:rsidRDefault="00955B8C">
      <w:pPr>
        <w:pStyle w:val="FootnoteText"/>
      </w:pPr>
      <w:r>
        <w:rPr>
          <w:rStyle w:val="FootnoteReference"/>
        </w:rPr>
        <w:tab/>
      </w:r>
      <w:r w:rsidRPr="00955B8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C7250">
        <w:rPr>
          <w:lang w:eastAsia="en-GB"/>
        </w:rPr>
        <w:t>2020 (A/74/6 (Sect.20) et supplément, sous-programme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DB7C" w14:textId="1B255390" w:rsidR="0033595F" w:rsidRPr="0033595F" w:rsidRDefault="00AA30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47980">
      <w:t>ECE/TRANS/WP.15/2020/7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AC59" w14:textId="5845527C" w:rsidR="0033595F" w:rsidRPr="0033595F" w:rsidRDefault="00AA3082" w:rsidP="0033595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47980">
      <w:t>ECE/TRANS/WP.15/2020/7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6A"/>
    <w:rsid w:val="00017F94"/>
    <w:rsid w:val="00023842"/>
    <w:rsid w:val="000334F9"/>
    <w:rsid w:val="00045FEB"/>
    <w:rsid w:val="0007796D"/>
    <w:rsid w:val="000B7790"/>
    <w:rsid w:val="000C2223"/>
    <w:rsid w:val="00111F2F"/>
    <w:rsid w:val="0014365E"/>
    <w:rsid w:val="00143C66"/>
    <w:rsid w:val="00176178"/>
    <w:rsid w:val="00193648"/>
    <w:rsid w:val="001F525A"/>
    <w:rsid w:val="00223272"/>
    <w:rsid w:val="00242285"/>
    <w:rsid w:val="0024779E"/>
    <w:rsid w:val="00257168"/>
    <w:rsid w:val="002744B8"/>
    <w:rsid w:val="002832AC"/>
    <w:rsid w:val="00296293"/>
    <w:rsid w:val="002D7C93"/>
    <w:rsid w:val="00305801"/>
    <w:rsid w:val="0033595F"/>
    <w:rsid w:val="003916DE"/>
    <w:rsid w:val="003A0F48"/>
    <w:rsid w:val="00421996"/>
    <w:rsid w:val="00441C3B"/>
    <w:rsid w:val="00446FE5"/>
    <w:rsid w:val="00452396"/>
    <w:rsid w:val="004837D8"/>
    <w:rsid w:val="004E2EED"/>
    <w:rsid w:val="004E468C"/>
    <w:rsid w:val="005505B7"/>
    <w:rsid w:val="005515F9"/>
    <w:rsid w:val="00573BE5"/>
    <w:rsid w:val="00585308"/>
    <w:rsid w:val="00586ED3"/>
    <w:rsid w:val="00596AA9"/>
    <w:rsid w:val="005D7D8B"/>
    <w:rsid w:val="0071601D"/>
    <w:rsid w:val="00775E20"/>
    <w:rsid w:val="007A62E6"/>
    <w:rsid w:val="007F20FA"/>
    <w:rsid w:val="0080684C"/>
    <w:rsid w:val="00871C75"/>
    <w:rsid w:val="008776DC"/>
    <w:rsid w:val="008A156A"/>
    <w:rsid w:val="009446C0"/>
    <w:rsid w:val="00955B8C"/>
    <w:rsid w:val="009705C8"/>
    <w:rsid w:val="009C1CF4"/>
    <w:rsid w:val="009F6B74"/>
    <w:rsid w:val="00A3029F"/>
    <w:rsid w:val="00A30353"/>
    <w:rsid w:val="00A402F2"/>
    <w:rsid w:val="00AA3082"/>
    <w:rsid w:val="00AC3823"/>
    <w:rsid w:val="00AE323C"/>
    <w:rsid w:val="00AF0CB5"/>
    <w:rsid w:val="00B00181"/>
    <w:rsid w:val="00B00B0D"/>
    <w:rsid w:val="00B45F2E"/>
    <w:rsid w:val="00B47980"/>
    <w:rsid w:val="00B765F7"/>
    <w:rsid w:val="00BA0CA9"/>
    <w:rsid w:val="00C02897"/>
    <w:rsid w:val="00C03259"/>
    <w:rsid w:val="00C97039"/>
    <w:rsid w:val="00D3439C"/>
    <w:rsid w:val="00DB1831"/>
    <w:rsid w:val="00DD0950"/>
    <w:rsid w:val="00DD3BFD"/>
    <w:rsid w:val="00DD6FAC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954BE"/>
  <w15:docId w15:val="{095F0457-A8C3-4C78-AFA2-CF4BB079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33595F"/>
  </w:style>
  <w:style w:type="character" w:customStyle="1" w:styleId="SingleTxtGChar">
    <w:name w:val="_ Single Txt_G Char"/>
    <w:link w:val="SingleTxtG"/>
    <w:rsid w:val="0033595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ECE/TRANS/WP.15/2020/7</vt:lpstr>
      <vt:lpstr>ECE/TRANS/WP.15/2020/7</vt:lpstr>
    </vt:vector>
  </TitlesOfParts>
  <Company>DCM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ECE/TRANS/WP.15/2020/7</dc:title>
  <dc:subject/>
  <dc:creator>Julien OKRZESIK</dc:creator>
  <cp:keywords/>
  <cp:lastModifiedBy>Christine Barrio-Champeau</cp:lastModifiedBy>
  <cp:revision>2</cp:revision>
  <cp:lastPrinted>2020-03-18T10:20:00Z</cp:lastPrinted>
  <dcterms:created xsi:type="dcterms:W3CDTF">2020-03-18T13:35:00Z</dcterms:created>
  <dcterms:modified xsi:type="dcterms:W3CDTF">2020-03-18T13:35:00Z</dcterms:modified>
</cp:coreProperties>
</file>