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E629" w14:textId="77777777" w:rsidR="00817C04" w:rsidRPr="00817C04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b/>
          <w:color w:val="000000"/>
          <w:sz w:val="28"/>
          <w:szCs w:val="28"/>
          <w:lang w:val="ru-RU" w:eastAsia="en-US"/>
        </w:rPr>
      </w:pPr>
      <w:r w:rsidRPr="00817C04">
        <w:rPr>
          <w:rFonts w:ascii="Times New Roman" w:eastAsia="Calibri" w:hAnsi="Times New Roman" w:cs="Arial"/>
          <w:b/>
          <w:color w:val="000000"/>
          <w:sz w:val="28"/>
          <w:szCs w:val="28"/>
          <w:lang w:val="ru-RU" w:eastAsia="en-US"/>
        </w:rPr>
        <w:t>Европейская экономическая комиссия</w:t>
      </w:r>
    </w:p>
    <w:p w14:paraId="12AA60FB" w14:textId="77777777" w:rsidR="00817C04" w:rsidRPr="00817C04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color w:val="000000"/>
          <w:sz w:val="28"/>
          <w:szCs w:val="28"/>
          <w:lang w:val="ru-RU" w:eastAsia="en-US"/>
        </w:rPr>
      </w:pPr>
      <w:r w:rsidRPr="00817C04">
        <w:rPr>
          <w:rFonts w:ascii="Times New Roman" w:eastAsia="Calibri" w:hAnsi="Times New Roman" w:cs="Arial"/>
          <w:color w:val="000000"/>
          <w:sz w:val="28"/>
          <w:szCs w:val="28"/>
          <w:lang w:val="ru-RU" w:eastAsia="en-US"/>
        </w:rPr>
        <w:t>Комитет по внутреннему транспорту</w:t>
      </w:r>
    </w:p>
    <w:p w14:paraId="2D57257F" w14:textId="116A6422" w:rsidR="00817C04" w:rsidRPr="00817C04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b/>
          <w:color w:val="000000"/>
          <w:sz w:val="24"/>
          <w:szCs w:val="24"/>
          <w:lang w:val="ru-RU" w:eastAsia="en-US"/>
        </w:rPr>
      </w:pPr>
      <w:r w:rsidRPr="00817C04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>Рабочая группа по перевозкам опасных грузов</w:t>
      </w:r>
      <w:r w:rsidRPr="00DC67F4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ru-RU" w:eastAsia="en-US"/>
        </w:rPr>
        <w:tab/>
      </w:r>
    </w:p>
    <w:p w14:paraId="03464857" w14:textId="42667BA3" w:rsidR="00817C04" w:rsidRPr="00817C04" w:rsidRDefault="00817C04" w:rsidP="00817C04">
      <w:pPr>
        <w:kinsoku/>
        <w:overflowPunct/>
        <w:autoSpaceDE/>
        <w:autoSpaceDN/>
        <w:adjustRightInd/>
        <w:snapToGrid/>
        <w:spacing w:before="120"/>
        <w:rPr>
          <w:rFonts w:ascii="Times New Roman" w:eastAsia="Calibri" w:hAnsi="Times New Roman" w:cs="Arial"/>
          <w:b/>
          <w:color w:val="000000"/>
          <w:sz w:val="20"/>
          <w:lang w:val="ru-RU" w:eastAsia="en-US"/>
        </w:rPr>
      </w:pPr>
      <w:r w:rsidRPr="00817C0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>108-я сессия</w:t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ab/>
      </w:r>
      <w:r w:rsidR="00FE345D" w:rsidRPr="00FE345D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>22 октября 2020 г.</w:t>
      </w:r>
    </w:p>
    <w:p w14:paraId="3A51E4DB" w14:textId="38EF834D" w:rsidR="00817C04" w:rsidRPr="00817C04" w:rsidRDefault="00817C04" w:rsidP="00817C04">
      <w:pPr>
        <w:kinsoku/>
        <w:overflowPunct/>
        <w:autoSpaceDE/>
        <w:autoSpaceDN/>
        <w:adjustRightInd/>
        <w:snapToGrid/>
        <w:rPr>
          <w:rFonts w:ascii="Times New Roman" w:eastAsia="Calibri" w:hAnsi="Times New Roman" w:cs="Arial"/>
          <w:color w:val="000000"/>
          <w:sz w:val="20"/>
          <w:lang w:val="ru-RU" w:eastAsia="en-US"/>
        </w:rPr>
      </w:pPr>
      <w:r w:rsidRPr="00817C04">
        <w:rPr>
          <w:rFonts w:ascii="Times New Roman" w:eastAsia="Calibri" w:hAnsi="Times New Roman" w:cs="Arial"/>
          <w:color w:val="000000"/>
          <w:sz w:val="20"/>
          <w:lang w:val="ru-RU" w:eastAsia="en-US"/>
        </w:rPr>
        <w:t xml:space="preserve">Женева, </w:t>
      </w:r>
      <w:r w:rsidRPr="00DC67F4">
        <w:rPr>
          <w:rFonts w:ascii="Times New Roman" w:eastAsia="Calibri" w:hAnsi="Times New Roman" w:cs="Arial"/>
          <w:color w:val="000000"/>
          <w:sz w:val="20"/>
          <w:lang w:val="ru-RU" w:eastAsia="en-US"/>
        </w:rPr>
        <w:t>10</w:t>
      </w:r>
      <w:r w:rsidRPr="00817C04">
        <w:rPr>
          <w:rFonts w:ascii="Times New Roman" w:eastAsia="Calibri" w:hAnsi="Times New Roman" w:cs="Arial"/>
          <w:color w:val="000000"/>
          <w:sz w:val="20"/>
          <w:lang w:val="ru-RU" w:eastAsia="en-US"/>
        </w:rPr>
        <w:t>–13 ноября 2020 года</w:t>
      </w:r>
    </w:p>
    <w:p w14:paraId="72C588B0" w14:textId="5317D66B" w:rsidR="00817C04" w:rsidRPr="00817C04" w:rsidRDefault="00817C04" w:rsidP="00817C04">
      <w:pPr>
        <w:kinsoku/>
        <w:overflowPunct/>
        <w:autoSpaceDE/>
        <w:autoSpaceDN/>
        <w:adjustRightInd/>
        <w:snapToGrid/>
        <w:rPr>
          <w:rFonts w:ascii="Times New Roman" w:eastAsia="Calibri" w:hAnsi="Times New Roman" w:cs="Arial"/>
          <w:color w:val="000000"/>
          <w:sz w:val="20"/>
          <w:lang w:val="ru-RU" w:eastAsia="en-US"/>
        </w:rPr>
      </w:pPr>
      <w:r w:rsidRPr="00817C04">
        <w:rPr>
          <w:rFonts w:ascii="Times New Roman" w:eastAsia="Calibri" w:hAnsi="Times New Roman" w:cs="Arial"/>
          <w:color w:val="000000"/>
          <w:sz w:val="20"/>
          <w:lang w:val="ru-RU" w:eastAsia="en-US"/>
        </w:rPr>
        <w:t xml:space="preserve">Пункт </w:t>
      </w:r>
      <w:r w:rsidRPr="00DC67F4">
        <w:rPr>
          <w:rFonts w:ascii="Times New Roman" w:eastAsia="Calibri" w:hAnsi="Times New Roman" w:cs="Arial"/>
          <w:color w:val="000000"/>
          <w:sz w:val="20"/>
          <w:lang w:val="ru-RU" w:eastAsia="en-US"/>
        </w:rPr>
        <w:t>4</w:t>
      </w:r>
      <w:r w:rsidRPr="00817C04">
        <w:rPr>
          <w:rFonts w:ascii="Times New Roman" w:eastAsia="Calibri" w:hAnsi="Times New Roman" w:cs="Arial"/>
          <w:color w:val="000000"/>
          <w:sz w:val="20"/>
          <w:lang w:val="ru-RU" w:eastAsia="en-US"/>
        </w:rPr>
        <w:t xml:space="preserve"> предварительной повестки дня</w:t>
      </w:r>
    </w:p>
    <w:p w14:paraId="1F19C4B2" w14:textId="22BAAE32" w:rsidR="00817C04" w:rsidRPr="00817C04" w:rsidRDefault="00BC17DF" w:rsidP="00817C04">
      <w:pPr>
        <w:kinsoku/>
        <w:overflowPunct/>
        <w:autoSpaceDE/>
        <w:autoSpaceDN/>
        <w:adjustRightInd/>
        <w:snapToGrid/>
        <w:rPr>
          <w:rFonts w:ascii="Times New Roman" w:eastAsia="Calibri" w:hAnsi="Times New Roman" w:cs="Arial"/>
          <w:b/>
          <w:color w:val="000000"/>
          <w:sz w:val="20"/>
          <w:lang w:val="ru-RU" w:eastAsia="en-US"/>
        </w:rPr>
      </w:pPr>
      <w:r w:rsidRPr="00DC67F4">
        <w:rPr>
          <w:rFonts w:ascii="Times New Roman" w:eastAsia="Calibri" w:hAnsi="Times New Roman" w:cs="Arial"/>
          <w:b/>
          <w:bCs/>
          <w:color w:val="000000"/>
          <w:sz w:val="20"/>
          <w:lang w:val="ru-RU" w:eastAsia="en-US"/>
        </w:rPr>
        <w:t>Работа Совместного совещания МПОГ/ДОПОГ/ВОПОГ</w:t>
      </w:r>
    </w:p>
    <w:p w14:paraId="4D43AE5F" w14:textId="71EC956A" w:rsidR="001A5103" w:rsidRPr="00DC67F4" w:rsidRDefault="001A5103" w:rsidP="001A510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</w:pPr>
      <w:r w:rsidRPr="00DC67F4"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  <w:tab/>
      </w:r>
      <w:r w:rsidRPr="00DC67F4"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  <w:tab/>
      </w:r>
      <w:r w:rsidR="00C6546D" w:rsidRPr="00DC67F4"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  <w:t>Проект поправок, принятый Совместным совещанием на его осенней сессии 2020 г. (10-18 сентября 2020 г.)</w:t>
      </w:r>
    </w:p>
    <w:p w14:paraId="38855E1C" w14:textId="40E43BED" w:rsidR="001A5103" w:rsidRPr="00DC67F4" w:rsidRDefault="001A5103" w:rsidP="001A510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</w:pPr>
      <w:r w:rsidRPr="00DC67F4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ab/>
      </w:r>
      <w:r w:rsidRPr="00DC67F4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ab/>
      </w:r>
      <w:r w:rsidR="00DC67F4" w:rsidRPr="00DC67F4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>Записка секретариата</w:t>
      </w:r>
    </w:p>
    <w:p w14:paraId="298C0A8C" w14:textId="0F7E6FEF" w:rsidR="001A5103" w:rsidRPr="00DC67F4" w:rsidRDefault="001A5103" w:rsidP="001A510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</w:pPr>
      <w:r w:rsidRPr="00DC67F4"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  <w:tab/>
      </w:r>
      <w:r w:rsidRPr="00DC67F4"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  <w:tab/>
      </w:r>
      <w:r w:rsidR="00397630" w:rsidRPr="00397630">
        <w:rPr>
          <w:rFonts w:ascii="Times New Roman" w:eastAsia="Times New Roman" w:hAnsi="Times New Roman" w:cs="Times New Roman"/>
          <w:b/>
          <w:sz w:val="24"/>
          <w:szCs w:val="20"/>
          <w:lang w:val="ru-RU" w:eastAsia="fr-FR"/>
        </w:rPr>
        <w:t>Проект поправок к ДОПОГ для вступления в силу 1 января 2023 года</w:t>
      </w:r>
    </w:p>
    <w:p w14:paraId="3F4CC1A7" w14:textId="0C56C978" w:rsidR="000168F4" w:rsidRPr="00DC67F4" w:rsidRDefault="00F378FF" w:rsidP="000168F4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</w:pPr>
      <w:r w:rsidRPr="00F378FF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Справочный документ</w:t>
      </w:r>
      <w:r w:rsidR="000168F4" w:rsidRPr="00DC67F4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 xml:space="preserve">: ECE/TRANS/WP.15/AC.1/158, </w:t>
      </w:r>
      <w:r w:rsidR="001B1DF2" w:rsidRPr="001B1DF2">
        <w:rPr>
          <w:rFonts w:ascii="Times New Roman" w:eastAsia="Times New Roman" w:hAnsi="Times New Roman" w:cs="Times New Roman"/>
          <w:sz w:val="20"/>
          <w:szCs w:val="20"/>
          <w:lang w:val="ru-RU" w:eastAsia="fr-FR"/>
        </w:rPr>
        <w:t>Приложение II</w:t>
      </w:r>
    </w:p>
    <w:p w14:paraId="083F1362" w14:textId="77777777" w:rsidR="00B24309" w:rsidRPr="00B24309" w:rsidRDefault="00B24309" w:rsidP="00B24309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243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B243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B243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1.1</w:t>
      </w:r>
    </w:p>
    <w:p w14:paraId="76D75C31" w14:textId="77777777" w:rsidR="00B24309" w:rsidRPr="00B24309" w:rsidRDefault="00B24309" w:rsidP="00B2430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B2430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1.1.3.6.3</w:t>
      </w:r>
      <w:r w:rsidRPr="00B2430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графе таблицы для транспортной категории 2 заменить в строке для класса 9 во второй колонке «и 3481» на «, 3481 и 3536».</w:t>
      </w:r>
    </w:p>
    <w:p w14:paraId="3EF8C9A9" w14:textId="77777777" w:rsidR="00B24309" w:rsidRPr="00B24309" w:rsidRDefault="00B24309" w:rsidP="00B2430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B2430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ECE/TRANS/WP.15/AC.1/2020/66, предложение 2)</w:t>
      </w:r>
    </w:p>
    <w:p w14:paraId="06F0E572" w14:textId="77777777" w:rsidR="00227EFF" w:rsidRPr="00227EFF" w:rsidRDefault="00227EFF" w:rsidP="00227EFF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27EF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227EF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227E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1.2</w:t>
      </w:r>
    </w:p>
    <w:p w14:paraId="629EED3A" w14:textId="77777777" w:rsidR="00227EFF" w:rsidRPr="00227EFF" w:rsidRDefault="00227EFF" w:rsidP="00227EFF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sz w:val="20"/>
          <w:lang w:val="ru-RU" w:eastAsia="en-US"/>
        </w:rPr>
      </w:pPr>
      <w:r w:rsidRPr="00227EFF">
        <w:rPr>
          <w:rFonts w:ascii="Times New Roman" w:eastAsia="Calibri" w:hAnsi="Times New Roman" w:cs="Arial"/>
          <w:sz w:val="20"/>
          <w:lang w:val="ru-RU" w:eastAsia="en-US"/>
        </w:rPr>
        <w:t>[1.2</w:t>
      </w:r>
      <w:r w:rsidRPr="00227EFF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227EFF">
        <w:rPr>
          <w:rFonts w:ascii="Times New Roman" w:eastAsia="Calibri" w:hAnsi="Times New Roman" w:cs="Arial"/>
          <w:sz w:val="20"/>
          <w:lang w:val="ru-RU" w:eastAsia="en-US"/>
        </w:rPr>
        <w:tab/>
        <w:t>Изменить заголовок следующим образом:</w:t>
      </w:r>
    </w:p>
    <w:p w14:paraId="05FFBE5B" w14:textId="77777777" w:rsidR="00227EFF" w:rsidRPr="00227EFF" w:rsidRDefault="00227EFF" w:rsidP="00227EFF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sz w:val="20"/>
          <w:lang w:val="ru-RU" w:eastAsia="en-US"/>
        </w:rPr>
      </w:pPr>
      <w:r w:rsidRPr="00227EFF">
        <w:rPr>
          <w:rFonts w:ascii="Times New Roman" w:eastAsia="Calibri" w:hAnsi="Times New Roman" w:cs="Arial"/>
          <w:sz w:val="20"/>
          <w:lang w:val="ru-RU" w:eastAsia="en-US"/>
        </w:rPr>
        <w:t>«ОПРЕДЕЛЕНИЯ, ЕДИНИЦЫ ИЗМЕРЕНИЯ И СОКРАЩЕНИЯ».]</w:t>
      </w:r>
    </w:p>
    <w:p w14:paraId="3F3649A7" w14:textId="77777777" w:rsidR="00227EFF" w:rsidRPr="00227EFF" w:rsidRDefault="00227EFF" w:rsidP="00227EFF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227EFF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ECE/TRANS/WP.15/AC.1/2020/13)</w:t>
      </w:r>
    </w:p>
    <w:p w14:paraId="20B46609" w14:textId="77777777" w:rsidR="00227EFF" w:rsidRPr="00227EFF" w:rsidRDefault="00227EFF" w:rsidP="00227EFF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227EFF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[1.2.1</w:t>
      </w:r>
      <w:r w:rsidRPr="00227EFF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227EFF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Исключить следующие определения:</w:t>
      </w:r>
    </w:p>
    <w:p w14:paraId="43BB1CFE" w14:textId="0C466B1A" w:rsidR="00227EFF" w:rsidRPr="00227EFF" w:rsidRDefault="00227EFF" w:rsidP="00227EFF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227EFF">
        <w:rPr>
          <w:rFonts w:ascii="Times New Roman" w:eastAsia="Calibri" w:hAnsi="Times New Roman" w:cs="Arial"/>
          <w:sz w:val="20"/>
          <w:lang w:val="ru-RU" w:eastAsia="en-US"/>
        </w:rPr>
        <w:t>«АСГ», «ASTM», «ВОПОГ», «ГТЕ», «EN», «ЕЭК ООН», «ИКАО», «ИМО», «ISO», «КБК», «КДПГ», «КМС», «КПГ», «МАГАТЭ», «MEMU», «МКМПОГ», «МПОГ», «МСЖД», «МЭГК», «ОТИФ», «СГС», «СНГ», «СПГ», «ТСУП», «ТСУР», «ЦИМ».]</w:t>
      </w:r>
    </w:p>
    <w:p w14:paraId="7C541F2D" w14:textId="77777777" w:rsidR="00227EFF" w:rsidRPr="00227EFF" w:rsidRDefault="00227EFF" w:rsidP="00227EFF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227EFF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ECE/TRANS/WP.15/AC.1/2020/13)</w:t>
      </w:r>
    </w:p>
    <w:p w14:paraId="6D28D4AC" w14:textId="77777777" w:rsidR="007A3089" w:rsidRPr="007A3089" w:rsidRDefault="007A3089" w:rsidP="007A3089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[Добавить новый раздел 1.2.3 следующего содержания: </w:t>
      </w:r>
    </w:p>
    <w:p w14:paraId="5273A90B" w14:textId="77777777" w:rsidR="007A3089" w:rsidRPr="007A3089" w:rsidRDefault="007A3089" w:rsidP="007A3089">
      <w:pPr>
        <w:tabs>
          <w:tab w:val="left" w:pos="1985"/>
        </w:tabs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7A308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</w:t>
      </w:r>
      <w:r w:rsidRPr="007A308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1.2.3</w:t>
      </w:r>
      <w:r w:rsidRPr="007A308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7A308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Список сокращений</w:t>
      </w:r>
    </w:p>
    <w:p w14:paraId="3A28EDD4" w14:textId="7A7FDB87" w:rsidR="007A3089" w:rsidRPr="007A3089" w:rsidRDefault="007A3089" w:rsidP="007A3089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sz w:val="20"/>
          <w:lang w:val="ru-RU" w:eastAsia="en-US"/>
        </w:rPr>
        <w:t>В ДОПОГ используются сокращения, акронимы и сокращенные обозначения нормативных документов со следующим значением:</w:t>
      </w:r>
    </w:p>
    <w:p w14:paraId="4F38A7E5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en-US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А</w:t>
      </w:r>
    </w:p>
    <w:p w14:paraId="4B8DD9C7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iCs/>
          <w:sz w:val="20"/>
          <w:lang w:val="en-US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en-US" w:eastAsia="en-US"/>
        </w:rPr>
        <w:t>“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АСГ</w:t>
      </w:r>
      <w:r w:rsidRPr="007A3089">
        <w:rPr>
          <w:rFonts w:ascii="Times New Roman" w:eastAsia="Calibri" w:hAnsi="Times New Roman" w:cs="Arial"/>
          <w:i/>
          <w:iCs/>
          <w:sz w:val="20"/>
          <w:lang w:val="en-US" w:eastAsia="en-US"/>
        </w:rPr>
        <w:t xml:space="preserve">”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означает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Ассоциацию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по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сжатым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газам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(CGA, 14501 George Carter Way, Suite 103, Chantilly, VA 20151, United States of America),</w:t>
      </w:r>
      <w:r w:rsidRPr="007A3089">
        <w:rPr>
          <w:rFonts w:ascii="Times New Roman" w:eastAsia="Calibri" w:hAnsi="Times New Roman" w:cs="Arial"/>
          <w:sz w:val="20"/>
          <w:lang w:val="en-US" w:eastAsia="en-US"/>
        </w:rPr>
        <w:t xml:space="preserve"> </w:t>
      </w:r>
      <w:hyperlink r:id="rId11" w:history="1">
        <w:r w:rsidRPr="007A3089">
          <w:rPr>
            <w:rFonts w:ascii="Times New Roman" w:eastAsia="Calibri" w:hAnsi="Times New Roman" w:cs="Arial"/>
            <w:color w:val="0000FF"/>
            <w:sz w:val="20"/>
            <w:lang w:val="en-US" w:eastAsia="en-US"/>
          </w:rPr>
          <w:t>www.cganet.com</w:t>
        </w:r>
      </w:hyperlink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>.</w:t>
      </w:r>
    </w:p>
    <w:p w14:paraId="1BE87C1D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en-US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en-US" w:eastAsia="en-US"/>
        </w:rPr>
        <w:t>“ASTM”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означает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Американское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общество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по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испытаниям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и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материалам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 xml:space="preserve"> (ASTM International, 100 Barr Harbor Drive, PO Box C700, West Conshohocken, PA, 19428-2959, United States of America),</w:t>
      </w:r>
      <w:r w:rsidRPr="007A3089">
        <w:rPr>
          <w:rFonts w:ascii="Times New Roman" w:eastAsia="Calibri" w:hAnsi="Times New Roman" w:cs="Arial"/>
          <w:sz w:val="20"/>
          <w:lang w:val="en-US" w:eastAsia="en-US"/>
        </w:rPr>
        <w:t xml:space="preserve"> </w:t>
      </w:r>
      <w:hyperlink r:id="rId12" w:history="1">
        <w:r w:rsidRPr="007A3089">
          <w:rPr>
            <w:rFonts w:ascii="Times New Roman" w:eastAsia="Calibri" w:hAnsi="Times New Roman" w:cs="Arial"/>
            <w:color w:val="0000FF"/>
            <w:sz w:val="20"/>
            <w:lang w:val="en-US" w:eastAsia="en-US"/>
          </w:rPr>
          <w:t>www.astm.org</w:t>
        </w:r>
      </w:hyperlink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>.</w:t>
      </w:r>
    </w:p>
    <w:p w14:paraId="40EE2FB0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В</w:t>
      </w:r>
    </w:p>
    <w:p w14:paraId="0CA853E6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iCs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“ВОПОГ”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означает Европейское соглашение о международной перевозке опасных грузов по внутренним водным путям.</w:t>
      </w:r>
    </w:p>
    <w:p w14:paraId="30A753AE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lastRenderedPageBreak/>
        <w:t>Г</w:t>
      </w:r>
    </w:p>
    <w:p w14:paraId="1E420BBC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Cs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bCs/>
          <w:i/>
          <w:iCs/>
          <w:sz w:val="20"/>
          <w:lang w:val="ru-RU" w:eastAsia="en-US"/>
        </w:rPr>
        <w:t>ГТЕ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bCs/>
          <w:sz w:val="20"/>
          <w:lang w:val="ru-RU" w:eastAsia="en-US"/>
        </w:rPr>
        <w:t xml:space="preserve">: 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bCs/>
          <w:sz w:val="20"/>
          <w:lang w:val="ru-RU" w:eastAsia="en-US"/>
        </w:rPr>
        <w:t>Грузовая транспортная единица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” в разделе 1.2.1.</w:t>
      </w:r>
      <w:r w:rsidRPr="007A3089">
        <w:rPr>
          <w:rFonts w:ascii="Times New Roman" w:eastAsia="Calibri" w:hAnsi="Times New Roman" w:cs="Arial"/>
          <w:bCs/>
          <w:sz w:val="20"/>
          <w:lang w:val="ru-RU" w:eastAsia="en-US"/>
        </w:rPr>
        <w:t xml:space="preserve"> </w:t>
      </w:r>
    </w:p>
    <w:p w14:paraId="4ABA865A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Е</w:t>
      </w:r>
    </w:p>
    <w:p w14:paraId="70C10E6C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“EN”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(стандарт) означает европейский стандарт, опубликованный Европейским комитетом по стандартизации (ЕКС) (CEN,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Avenue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Marnix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, 17, B-1000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Brussels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, </w:t>
      </w:r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>Belgium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), </w:t>
      </w:r>
      <w:hyperlink r:id="rId13" w:history="1">
        <w:r w:rsidRPr="007A3089">
          <w:rPr>
            <w:rFonts w:ascii="Times New Roman" w:eastAsia="Calibri" w:hAnsi="Times New Roman" w:cs="Arial"/>
            <w:iCs/>
            <w:color w:val="0000FF"/>
            <w:sz w:val="20"/>
            <w:lang w:val="ru-RU" w:eastAsia="en-US"/>
          </w:rPr>
          <w:t>www.cen.eu</w:t>
        </w:r>
      </w:hyperlink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.</w:t>
      </w:r>
    </w:p>
    <w:p w14:paraId="39533C5F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“ЕЭК ООН”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означает Европейскую экономическую комиссию Организации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Объединенных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Наций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(UNECE, Palais des Nations, 8–14 avenue de la Paix, CH-1211 Geneva 10,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Switzerland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eastAsia="en-US"/>
        </w:rPr>
        <w:t>),</w:t>
      </w:r>
      <w:r w:rsidRPr="007A3089">
        <w:rPr>
          <w:rFonts w:ascii="Times New Roman" w:eastAsia="Calibri" w:hAnsi="Times New Roman" w:cs="Arial"/>
          <w:sz w:val="20"/>
          <w:lang w:eastAsia="en-US"/>
        </w:rPr>
        <w:t xml:space="preserve"> </w:t>
      </w:r>
      <w:hyperlink r:id="rId14" w:history="1">
        <w:r w:rsidRPr="007A3089">
          <w:rPr>
            <w:rFonts w:ascii="Times New Roman" w:eastAsia="Calibri" w:hAnsi="Times New Roman" w:cs="Arial"/>
            <w:color w:val="0000FF"/>
            <w:sz w:val="20"/>
            <w:lang w:eastAsia="en-US"/>
          </w:rPr>
          <w:t>www.unece.org</w:t>
        </w:r>
      </w:hyperlink>
      <w:r w:rsidRPr="007A3089">
        <w:rPr>
          <w:rFonts w:ascii="Times New Roman" w:eastAsia="Calibri" w:hAnsi="Times New Roman" w:cs="Arial"/>
          <w:iCs/>
          <w:sz w:val="20"/>
          <w:lang w:eastAsia="en-US"/>
        </w:rPr>
        <w:t>.</w:t>
      </w:r>
    </w:p>
    <w:p w14:paraId="493FDB28" w14:textId="77777777" w:rsidR="007A3089" w:rsidRPr="007A3089" w:rsidRDefault="007A3089" w:rsidP="007A3089">
      <w:pPr>
        <w:keepNext/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И</w:t>
      </w:r>
    </w:p>
    <w:p w14:paraId="31C774C9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eastAsia="en-US"/>
        </w:rPr>
        <w:t>“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ИКАО</w:t>
      </w:r>
      <w:r w:rsidRPr="007A3089">
        <w:rPr>
          <w:rFonts w:ascii="Times New Roman" w:eastAsia="Calibri" w:hAnsi="Times New Roman" w:cs="Arial"/>
          <w:i/>
          <w:iCs/>
          <w:sz w:val="20"/>
          <w:lang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означает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Международную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организацию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гражданской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авиации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(ICAO, 999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University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Street,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Montreal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,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Quebec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H3C 5H7, Canada),</w:t>
      </w:r>
      <w:r w:rsidRPr="007A3089">
        <w:rPr>
          <w:rFonts w:ascii="Times New Roman" w:eastAsia="Calibri" w:hAnsi="Times New Roman" w:cs="Arial"/>
          <w:sz w:val="20"/>
          <w:lang w:eastAsia="en-US"/>
        </w:rPr>
        <w:t xml:space="preserve"> </w:t>
      </w:r>
      <w:hyperlink r:id="rId15" w:history="1">
        <w:r w:rsidRPr="007A3089">
          <w:rPr>
            <w:rFonts w:ascii="Times New Roman" w:eastAsia="Calibri" w:hAnsi="Times New Roman" w:cs="Arial"/>
            <w:color w:val="0000FF"/>
            <w:sz w:val="20"/>
            <w:lang w:eastAsia="en-US"/>
          </w:rPr>
          <w:t>www.icao.org</w:t>
        </w:r>
      </w:hyperlink>
      <w:r w:rsidRPr="007A3089">
        <w:rPr>
          <w:rFonts w:ascii="Times New Roman" w:eastAsia="Calibri" w:hAnsi="Times New Roman" w:cs="Arial"/>
          <w:iCs/>
          <w:sz w:val="20"/>
          <w:lang w:eastAsia="en-US"/>
        </w:rPr>
        <w:t>.</w:t>
      </w:r>
    </w:p>
    <w:p w14:paraId="4BD80209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eastAsia="en-US"/>
        </w:rPr>
        <w:t>“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ИМО</w:t>
      </w:r>
      <w:r w:rsidRPr="007A3089">
        <w:rPr>
          <w:rFonts w:ascii="Times New Roman" w:eastAsia="Calibri" w:hAnsi="Times New Roman" w:cs="Arial"/>
          <w:i/>
          <w:iCs/>
          <w:sz w:val="20"/>
          <w:lang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означает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Международную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морскую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организацию</w:t>
      </w:r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 (IMO, 4 Albert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Embankment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eastAsia="en-US"/>
        </w:rPr>
        <w:t xml:space="preserve">, London SE1 7SR, United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Kingdom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eastAsia="en-US"/>
        </w:rPr>
        <w:t>),</w:t>
      </w:r>
      <w:r w:rsidRPr="007A3089">
        <w:rPr>
          <w:rFonts w:ascii="Times New Roman" w:eastAsia="Calibri" w:hAnsi="Times New Roman" w:cs="Arial"/>
          <w:sz w:val="20"/>
          <w:lang w:eastAsia="en-US"/>
        </w:rPr>
        <w:t xml:space="preserve"> </w:t>
      </w:r>
      <w:hyperlink r:id="rId16" w:history="1">
        <w:r w:rsidRPr="007A3089">
          <w:rPr>
            <w:rFonts w:ascii="Times New Roman" w:eastAsia="Calibri" w:hAnsi="Times New Roman" w:cs="Arial"/>
            <w:color w:val="0000FF"/>
            <w:sz w:val="20"/>
            <w:lang w:eastAsia="en-US"/>
          </w:rPr>
          <w:t>www.imo.org</w:t>
        </w:r>
      </w:hyperlink>
      <w:r w:rsidRPr="007A3089">
        <w:rPr>
          <w:rFonts w:ascii="Times New Roman" w:eastAsia="Calibri" w:hAnsi="Times New Roman" w:cs="Arial"/>
          <w:iCs/>
          <w:sz w:val="20"/>
          <w:lang w:eastAsia="en-US"/>
        </w:rPr>
        <w:t>.</w:t>
      </w:r>
    </w:p>
    <w:p w14:paraId="38D2E3E5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“ISO”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(стандарт) означает международный стандарт, опубликованный Международной организацией по стандартизации (ISO-1,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rue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de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Varembé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,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CH-1204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Geneva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20,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eastAsia="en-US"/>
        </w:rPr>
        <w:t>Switzerland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), </w:t>
      </w:r>
      <w:hyperlink r:id="rId17" w:history="1">
        <w:r w:rsidRPr="007A3089">
          <w:rPr>
            <w:rFonts w:ascii="Times New Roman" w:eastAsia="Calibri" w:hAnsi="Times New Roman" w:cs="Arial"/>
            <w:color w:val="0000FF"/>
            <w:sz w:val="20"/>
            <w:lang w:val="ru-RU" w:eastAsia="en-US"/>
          </w:rPr>
          <w:t>www.iso.org</w:t>
        </w:r>
      </w:hyperlink>
      <w:r w:rsidRPr="007A3089">
        <w:rPr>
          <w:rFonts w:ascii="Times New Roman" w:eastAsia="Calibri" w:hAnsi="Times New Roman" w:cs="Arial"/>
          <w:sz w:val="20"/>
          <w:lang w:val="ru-RU" w:eastAsia="en-US"/>
        </w:rPr>
        <w:t>.</w:t>
      </w:r>
    </w:p>
    <w:p w14:paraId="0D7D8CC1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К</w:t>
      </w:r>
    </w:p>
    <w:p w14:paraId="248D834F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КБК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означает Международную конвенцию по безопасным контейнерам (Женева, 1972 год) с поправками, опубликованную Международной морской организацией (ИМО), Лондон.</w:t>
      </w:r>
    </w:p>
    <w:p w14:paraId="63F33434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КДПГ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означает Конвенцию о договоре международной дорожной перевозки грузов (Женева, 19 мая 1956 года), с внесенными в нее изменениями.</w:t>
      </w:r>
    </w:p>
    <w:p w14:paraId="0426AC2D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“КПГ”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: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Cs/>
          <w:sz w:val="21"/>
          <w:szCs w:val="21"/>
          <w:lang w:val="ru-RU" w:eastAsia="en-US"/>
        </w:rPr>
        <w:t>Компримированный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природный газ” в разделе 1.2.1.</w:t>
      </w:r>
    </w:p>
    <w:p w14:paraId="5AA7E26F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i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КСМ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: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 xml:space="preserve">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см.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“Контейнер средней грузоподъемности для массовых грузов”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в разделе</w:t>
      </w:r>
      <w:r w:rsidRPr="007A3089">
        <w:rPr>
          <w:rFonts w:ascii="Times New Roman" w:eastAsia="Calibri" w:hAnsi="Times New Roman" w:cs="Arial"/>
          <w:sz w:val="20"/>
          <w:lang w:val="en-US" w:eastAsia="en-US"/>
        </w:rPr>
        <w:t> 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1.2.1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.</w:t>
      </w:r>
    </w:p>
    <w:p w14:paraId="75A69CFB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М</w:t>
      </w:r>
    </w:p>
    <w:p w14:paraId="13E12F2A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“МАГАТЭ”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означает Международное агентство по атомной энергии (IAEA, P.O.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Box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en-US" w:eastAsia="en-US"/>
        </w:rPr>
        <w:t> 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100, A-1400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Vienna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,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</w:t>
      </w:r>
      <w:r w:rsidRPr="007A3089">
        <w:rPr>
          <w:rFonts w:ascii="Times New Roman" w:eastAsia="Calibri" w:hAnsi="Times New Roman" w:cs="Arial"/>
          <w:sz w:val="20"/>
          <w:lang w:val="en-US" w:eastAsia="en-US"/>
        </w:rPr>
        <w:t>Austria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), </w:t>
      </w:r>
      <w:hyperlink r:id="rId18" w:history="1">
        <w:r w:rsidRPr="007A3089">
          <w:rPr>
            <w:rFonts w:ascii="Times New Roman" w:eastAsia="Calibri" w:hAnsi="Times New Roman" w:cs="Arial"/>
            <w:color w:val="0000FF"/>
            <w:sz w:val="20"/>
            <w:lang w:val="ru-RU" w:eastAsia="en-US"/>
          </w:rPr>
          <w:t>www.iaea.org</w:t>
        </w:r>
      </w:hyperlink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.</w:t>
      </w:r>
    </w:p>
    <w:p w14:paraId="30805CBE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i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MEMU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: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см.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“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Cмесительно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-зарядная машина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” в разделе 1.2.1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.</w:t>
      </w:r>
    </w:p>
    <w:p w14:paraId="4772C575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МКМПОГ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: 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Кодекс МПОГ” в разделе 1.2.1. </w:t>
      </w:r>
    </w:p>
    <w:p w14:paraId="45ECF7C6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МПОГ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означает Правила международной перевозки опасных грузов по железным дорогам (Добавление С к КОТИФ (Конвенция о международной перевозке грузов железнодорожным транспортом)).</w:t>
      </w:r>
    </w:p>
    <w:p w14:paraId="2EEA2FC3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“МСЖД”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означает Международный союз железных дорог (UIC, 16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rue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Jean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Rey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,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br/>
      </w:r>
      <w:r w:rsidRPr="007A3089">
        <w:rPr>
          <w:rFonts w:ascii="Times New Roman" w:eastAsia="Calibri" w:hAnsi="Times New Roman" w:cs="Arial"/>
          <w:sz w:val="20"/>
          <w:lang w:val="en-US" w:eastAsia="en-US"/>
        </w:rPr>
        <w:t>F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-75015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Paris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, 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France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),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</w:t>
      </w:r>
      <w:hyperlink r:id="rId19" w:history="1">
        <w:r w:rsidRPr="007A3089">
          <w:rPr>
            <w:rFonts w:ascii="Times New Roman" w:eastAsia="Calibri" w:hAnsi="Times New Roman" w:cs="Arial"/>
            <w:color w:val="0000FF"/>
            <w:sz w:val="20"/>
            <w:lang w:val="ru-RU" w:eastAsia="en-US"/>
          </w:rPr>
          <w:t>www.uic.org</w:t>
        </w:r>
      </w:hyperlink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.</w:t>
      </w:r>
    </w:p>
    <w:p w14:paraId="69371498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МЭГК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: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см.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 xml:space="preserve">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Многоэлементный газовый контейнер” </w:t>
      </w:r>
      <w:bookmarkStart w:id="0" w:name="_Hlk29299545"/>
      <w:r w:rsidRPr="007A3089">
        <w:rPr>
          <w:rFonts w:ascii="Times New Roman" w:eastAsia="Calibri" w:hAnsi="Times New Roman" w:cs="Arial"/>
          <w:sz w:val="20"/>
          <w:lang w:val="ru-RU" w:eastAsia="en-US"/>
        </w:rPr>
        <w:t>в разделе 1.2.1</w:t>
      </w:r>
      <w:bookmarkEnd w:id="0"/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.</w:t>
      </w:r>
    </w:p>
    <w:p w14:paraId="011DF360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Н</w:t>
      </w:r>
    </w:p>
    <w:p w14:paraId="750E496B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Н.У.К.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: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см.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“Позиция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«</w:t>
      </w:r>
      <w:proofErr w:type="spellStart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н.у.к</w:t>
      </w:r>
      <w:proofErr w:type="spellEnd"/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.» (не указанные конкретно)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” в разделе 1.2.1.</w:t>
      </w:r>
    </w:p>
    <w:p w14:paraId="402379C5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О</w:t>
      </w:r>
    </w:p>
    <w:p w14:paraId="3419A62F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Cs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bCs/>
          <w:i/>
          <w:iCs/>
          <w:sz w:val="20"/>
          <w:lang w:val="ru-RU" w:eastAsia="en-US"/>
        </w:rPr>
        <w:t>ОТИФ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bCs/>
          <w:sz w:val="20"/>
          <w:lang w:val="ru-RU" w:eastAsia="en-US"/>
        </w:rPr>
        <w:t xml:space="preserve"> означает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Межправительственную организацию по международным железнодорожным перевозкам (OTIF,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Gryphenhübeliweg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30, CH–3006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Bern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,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Switzerland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), </w:t>
      </w:r>
      <w:hyperlink r:id="rId20" w:history="1">
        <w:r w:rsidRPr="007A3089">
          <w:rPr>
            <w:rFonts w:ascii="Times New Roman" w:eastAsia="Calibri" w:hAnsi="Times New Roman" w:cs="Arial"/>
            <w:color w:val="0000FF"/>
            <w:sz w:val="20"/>
            <w:lang w:val="ru-RU" w:eastAsia="en-US"/>
          </w:rPr>
          <w:t>www.otif.org</w:t>
        </w:r>
      </w:hyperlink>
      <w:r w:rsidRPr="007A3089">
        <w:rPr>
          <w:rFonts w:ascii="Times New Roman" w:eastAsia="Calibri" w:hAnsi="Times New Roman" w:cs="Arial"/>
          <w:color w:val="0000FF"/>
          <w:sz w:val="20"/>
          <w:lang w:val="ru-RU" w:eastAsia="en-US"/>
        </w:rPr>
        <w:t>.</w:t>
      </w:r>
    </w:p>
    <w:p w14:paraId="3F163B97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С</w:t>
      </w:r>
    </w:p>
    <w:p w14:paraId="52F8E952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“СГС”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означает восьмое пересмотренное издание Согласованной на глобальном уровне системы классификации опасности и маркировки химической продукции, опубликованное Организацией Объединенных Наций в качестве документа ST/SG/AC.10/30/Rev.8.</w:t>
      </w:r>
    </w:p>
    <w:p w14:paraId="50D54B10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lastRenderedPageBreak/>
        <w:t>“СНГ”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: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Сжиженный нефтяной газ” в разделе 1.2.1.</w:t>
      </w:r>
    </w:p>
    <w:p w14:paraId="21AD8240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bookmarkStart w:id="1" w:name="_Hlk29300370"/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“СПГ”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: 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Сжиженный природный газ” в разделе 1.2.1.</w:t>
      </w:r>
    </w:p>
    <w:bookmarkEnd w:id="1"/>
    <w:p w14:paraId="186A9823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CSI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: см. “Индекс безопасности по критичности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в разделе 1.2.1.</w:t>
      </w:r>
    </w:p>
    <w:p w14:paraId="4C5B23BF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Т</w:t>
      </w:r>
    </w:p>
    <w:p w14:paraId="5F773698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ТСУП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: 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Температура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самоускоряющейся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полимеризации” </w:t>
      </w:r>
      <w:bookmarkStart w:id="2" w:name="_Hlk29300914"/>
      <w:r w:rsidRPr="007A3089">
        <w:rPr>
          <w:rFonts w:ascii="Times New Roman" w:eastAsia="Calibri" w:hAnsi="Times New Roman" w:cs="Arial"/>
          <w:sz w:val="20"/>
          <w:lang w:val="ru-RU" w:eastAsia="en-US"/>
        </w:rPr>
        <w:t>в разделе 1.2.1.</w:t>
      </w:r>
      <w:bookmarkEnd w:id="2"/>
    </w:p>
    <w:p w14:paraId="7B7647BF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i/>
          <w:sz w:val="20"/>
          <w:lang w:val="ru-RU" w:eastAsia="en-US"/>
        </w:rPr>
        <w:t>ТСУР</w:t>
      </w: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”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: см. 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>“</w:t>
      </w:r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Температура </w:t>
      </w:r>
      <w:proofErr w:type="spellStart"/>
      <w:r w:rsidRPr="007A3089">
        <w:rPr>
          <w:rFonts w:ascii="Times New Roman" w:eastAsia="Calibri" w:hAnsi="Times New Roman" w:cs="Arial"/>
          <w:sz w:val="20"/>
          <w:lang w:val="ru-RU" w:eastAsia="en-US"/>
        </w:rPr>
        <w:t>самоускоряющегося</w:t>
      </w:r>
      <w:proofErr w:type="spellEnd"/>
      <w:r w:rsidRPr="007A3089">
        <w:rPr>
          <w:rFonts w:ascii="Times New Roman" w:eastAsia="Calibri" w:hAnsi="Times New Roman" w:cs="Arial"/>
          <w:sz w:val="20"/>
          <w:lang w:val="ru-RU" w:eastAsia="en-US"/>
        </w:rPr>
        <w:t xml:space="preserve"> разложения” в разделе 1.2.1.</w:t>
      </w:r>
    </w:p>
    <w:p w14:paraId="03AB6520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b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b/>
          <w:sz w:val="20"/>
          <w:lang w:val="ru-RU" w:eastAsia="en-US"/>
        </w:rPr>
        <w:t>Ц</w:t>
      </w:r>
    </w:p>
    <w:p w14:paraId="61531E1E" w14:textId="77777777" w:rsidR="007A3089" w:rsidRPr="007A3089" w:rsidRDefault="007A3089" w:rsidP="007A3089">
      <w:pPr>
        <w:tabs>
          <w:tab w:val="left" w:pos="1134"/>
          <w:tab w:val="left" w:pos="1701"/>
          <w:tab w:val="left" w:pos="2268"/>
        </w:tabs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rFonts w:ascii="Times New Roman" w:eastAsia="Calibri" w:hAnsi="Times New Roman" w:cs="Arial"/>
          <w:iCs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“ЦИМ”</w:t>
      </w:r>
      <w:r w:rsidRPr="007A3089">
        <w:rPr>
          <w:rFonts w:ascii="Times New Roman" w:eastAsia="Calibri" w:hAnsi="Times New Roman" w:cs="Arial"/>
          <w:iCs/>
          <w:sz w:val="20"/>
          <w:lang w:val="ru-RU" w:eastAsia="en-US"/>
        </w:rPr>
        <w:t xml:space="preserve"> означает Единообразные правила, касающиеся договора международной перевозки грузов железнодорожным транспортом (Добавление B к Конвенции о международной перевозке грузов железнодорожным транспортом (КОТИФ)), с внесенными в них изменениями.»]</w:t>
      </w:r>
    </w:p>
    <w:p w14:paraId="4CB74628" w14:textId="77777777" w:rsidR="007A3089" w:rsidRPr="007A3089" w:rsidRDefault="007A3089" w:rsidP="007A3089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7A3089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ECE/TRANS/WP.15/AC.1/2020/13)</w:t>
      </w:r>
    </w:p>
    <w:p w14:paraId="701EFD05" w14:textId="77777777" w:rsidR="009E0ACE" w:rsidRPr="009E0ACE" w:rsidRDefault="009E0ACE" w:rsidP="009E0ACE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E0AC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E0AC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E0AC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1.6</w:t>
      </w:r>
    </w:p>
    <w:p w14:paraId="6FDD89EC" w14:textId="77777777" w:rsidR="009E0ACE" w:rsidRPr="009E0ACE" w:rsidRDefault="009E0ACE" w:rsidP="009E0AC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E0AC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1.6.4.55</w:t>
      </w:r>
      <w:r w:rsidRPr="009E0AC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Добавить новый пункт следующего содержания:</w:t>
      </w:r>
    </w:p>
    <w:p w14:paraId="21010C29" w14:textId="77777777" w:rsidR="009E0ACE" w:rsidRPr="009E0ACE" w:rsidRDefault="009E0ACE" w:rsidP="009E0AC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E0AC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«1.6.4.55</w:t>
      </w:r>
      <w:r w:rsidRPr="009E0AC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Контейнеры-цистерны, не соответствующие требованиям пункта</w:t>
      </w:r>
      <w:r w:rsidRPr="009E0AC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 </w:t>
      </w:r>
      <w:r w:rsidRPr="009E0AC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6.8.3.4.6, применяемым с 1 января 2023 года, могут по-прежнему эксплуатироваться, если промежуточная проверка проводится по крайней мере через шесть лет после каждой периодической проверки, проведенной после 1 июля 2023</w:t>
      </w:r>
      <w:r w:rsidRPr="009E0AC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 </w:t>
      </w:r>
      <w:r w:rsidRPr="009E0AC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года.».</w:t>
      </w:r>
    </w:p>
    <w:p w14:paraId="403C4A40" w14:textId="77777777" w:rsidR="009E0ACE" w:rsidRPr="009E0ACE" w:rsidRDefault="009E0ACE" w:rsidP="009E0AC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9E0AC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(Справочные документы: неофициальный документ INF.64, ECE/TRANS/WP.15/</w:t>
      </w:r>
      <w:r w:rsidRPr="009E0AC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br/>
        <w:t>AC.1/2020/1 и ECE/TRANS/WP.15/AC.1/2020/7)</w:t>
      </w:r>
    </w:p>
    <w:p w14:paraId="3FDB0D16" w14:textId="57C485A2" w:rsidR="001A5103" w:rsidRPr="00DC67F4" w:rsidRDefault="001A5103" w:rsidP="000168F4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right="1134"/>
        <w:rPr>
          <w:rFonts w:ascii="Times New Roman" w:eastAsia="Times New Roman" w:hAnsi="Times New Roman" w:cs="Times New Roman"/>
          <w:b/>
          <w:sz w:val="20"/>
          <w:szCs w:val="20"/>
          <w:lang w:val="ru-RU" w:eastAsia="fr-FR"/>
        </w:rPr>
      </w:pPr>
      <w:r w:rsidRPr="00DC67F4">
        <w:rPr>
          <w:rFonts w:ascii="Times New Roman" w:eastAsia="Times New Roman" w:hAnsi="Times New Roman" w:cs="Times New Roman"/>
          <w:b/>
          <w:sz w:val="20"/>
          <w:szCs w:val="20"/>
          <w:lang w:val="ru-RU" w:eastAsia="fr-FR"/>
        </w:rPr>
        <w:tab/>
      </w:r>
      <w:r w:rsidRPr="00DC67F4">
        <w:rPr>
          <w:rFonts w:ascii="Times New Roman" w:eastAsia="Times New Roman" w:hAnsi="Times New Roman" w:cs="Times New Roman"/>
          <w:b/>
          <w:sz w:val="20"/>
          <w:szCs w:val="20"/>
          <w:lang w:val="ru-RU" w:eastAsia="fr-FR"/>
        </w:rPr>
        <w:tab/>
      </w:r>
      <w:r w:rsidR="009E0ACE" w:rsidRPr="009E0AC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Глава </w:t>
      </w:r>
      <w:r w:rsidRPr="00DC67F4">
        <w:rPr>
          <w:rFonts w:ascii="Times New Roman" w:eastAsia="Times New Roman" w:hAnsi="Times New Roman" w:cs="Times New Roman"/>
          <w:b/>
          <w:sz w:val="20"/>
          <w:szCs w:val="20"/>
          <w:lang w:val="ru-RU" w:eastAsia="fr-FR"/>
        </w:rPr>
        <w:t>1.9</w:t>
      </w:r>
    </w:p>
    <w:p w14:paraId="5EA233C4" w14:textId="77777777" w:rsidR="006F645D" w:rsidRPr="006F645D" w:rsidRDefault="006F645D" w:rsidP="006F645D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1.9.4</w:t>
      </w:r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 xml:space="preserve">После ссылки на сноску 1 добавить ссылку на новую сноску 2, которая будет гласить следующее: </w:t>
      </w:r>
    </w:p>
    <w:p w14:paraId="0FA8BDA6" w14:textId="77777777" w:rsidR="006F645D" w:rsidRPr="006F645D" w:rsidRDefault="006F645D" w:rsidP="006F645D">
      <w:pPr>
        <w:pageBreakBefore/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lastRenderedPageBreak/>
        <w:t>«</w:t>
      </w:r>
      <w:r w:rsidRPr="006F645D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en-US"/>
        </w:rPr>
        <w:t>2</w:t>
      </w:r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С мультимодальными руководящими принципами (</w:t>
      </w:r>
      <w:proofErr w:type="spellStart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Inland</w:t>
      </w:r>
      <w:proofErr w:type="spellEnd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 xml:space="preserve"> TDG </w:t>
      </w:r>
      <w:proofErr w:type="spellStart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Risk</w:t>
      </w:r>
      <w:proofErr w:type="spellEnd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 xml:space="preserve"> </w:t>
      </w:r>
      <w:proofErr w:type="spellStart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Management</w:t>
      </w:r>
      <w:proofErr w:type="spellEnd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 xml:space="preserve"> </w:t>
      </w:r>
      <w:proofErr w:type="spellStart"/>
      <w:r w:rsidRPr="006F645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Framework</w:t>
      </w:r>
      <w:proofErr w:type="spellEnd"/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) можно ознакомиться на веб-сайте Генерального </w:t>
      </w:r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br/>
        <w:t>директората по мобильности и транспорту Европейской комиссии (</w:t>
      </w:r>
      <w:hyperlink r:id="rId21" w:history="1">
        <w:r w:rsidRPr="006F645D">
          <w:rPr>
            <w:rFonts w:ascii="Times New Roman" w:eastAsia="Times New Roman" w:hAnsi="Times New Roman" w:cs="Times New Roman"/>
            <w:color w:val="0000FF"/>
            <w:sz w:val="20"/>
            <w:szCs w:val="20"/>
            <w:lang w:val="ru-RU" w:eastAsia="en-US"/>
          </w:rPr>
          <w:t>https://ec.europa.eu/transport/themes/dangerous_good/risk</w:t>
        </w:r>
        <w:r w:rsidRPr="006F645D">
          <w:rPr>
            <w:rFonts w:ascii="Times New Roman" w:eastAsia="Times New Roman" w:hAnsi="Times New Roman" w:cs="Times New Roman"/>
            <w:color w:val="0000FF"/>
            <w:spacing w:val="-16"/>
            <w:sz w:val="20"/>
            <w:szCs w:val="20"/>
            <w:lang w:val="ru-RU" w:eastAsia="en-US"/>
          </w:rPr>
          <w:t>_</w:t>
        </w:r>
        <w:r w:rsidRPr="006F645D">
          <w:rPr>
            <w:rFonts w:ascii="Times New Roman" w:eastAsia="Times New Roman" w:hAnsi="Times New Roman" w:cs="Times New Roman"/>
            <w:color w:val="0000FF"/>
            <w:sz w:val="20"/>
            <w:szCs w:val="20"/>
            <w:lang w:val="ru-RU" w:eastAsia="en-US"/>
          </w:rPr>
          <w:t>management_framewor</w:t>
        </w:r>
        <w:r w:rsidRPr="006F645D">
          <w:rPr>
            <w:rFonts w:ascii="Times New Roman" w:eastAsia="Times New Roman" w:hAnsi="Times New Roman" w:cs="Times New Roman"/>
            <w:color w:val="0000FF"/>
            <w:spacing w:val="-16"/>
            <w:sz w:val="20"/>
            <w:szCs w:val="20"/>
            <w:lang w:val="ru-RU" w:eastAsia="en-US"/>
          </w:rPr>
          <w:t>k_</w:t>
        </w:r>
        <w:r w:rsidRPr="006F645D">
          <w:rPr>
            <w:rFonts w:ascii="Times New Roman" w:eastAsia="Times New Roman" w:hAnsi="Times New Roman" w:cs="Times New Roman"/>
            <w:color w:val="0000FF"/>
            <w:sz w:val="20"/>
            <w:szCs w:val="20"/>
            <w:lang w:val="ru-RU" w:eastAsia="en-US"/>
          </w:rPr>
          <w:t>en</w:t>
        </w:r>
      </w:hyperlink>
      <w:r w:rsidRPr="006F645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).».</w:t>
      </w:r>
    </w:p>
    <w:p w14:paraId="2CC8ED21" w14:textId="77777777" w:rsidR="0081033E" w:rsidRPr="0081033E" w:rsidRDefault="0081033E" w:rsidP="0081033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81033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INF.62 с поправками)</w:t>
      </w:r>
    </w:p>
    <w:p w14:paraId="2725CFEE" w14:textId="77777777" w:rsidR="003670DE" w:rsidRPr="003670DE" w:rsidRDefault="003670DE" w:rsidP="003670DE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670D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3670D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3670D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2.2</w:t>
      </w:r>
    </w:p>
    <w:p w14:paraId="70A6A95C" w14:textId="77777777" w:rsidR="003670DE" w:rsidRPr="003670DE" w:rsidRDefault="003670DE" w:rsidP="003670DE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3670D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2.2.2.2.2</w:t>
      </w:r>
      <w:r w:rsidRPr="003670D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 пятый подпункт следующим образом:</w:t>
      </w:r>
    </w:p>
    <w:p w14:paraId="44BC2EB3" w14:textId="77777777" w:rsidR="003670DE" w:rsidRPr="003670DE" w:rsidRDefault="003670DE" w:rsidP="003670DE">
      <w:pPr>
        <w:kinsoku/>
        <w:overflowPunct/>
        <w:autoSpaceDE/>
        <w:autoSpaceDN/>
        <w:adjustRightInd/>
        <w:spacing w:before="120" w:after="120"/>
        <w:ind w:left="2268" w:right="1134"/>
        <w:rPr>
          <w:rFonts w:ascii="Times New Roman" w:eastAsia="Calibri" w:hAnsi="Times New Roman" w:cs="Arial"/>
          <w:sz w:val="20"/>
          <w:lang w:val="ru-RU" w:eastAsia="en-US"/>
        </w:rPr>
      </w:pPr>
      <w:r w:rsidRPr="003670DE">
        <w:rPr>
          <w:rFonts w:ascii="Times New Roman" w:eastAsia="Calibri" w:hAnsi="Times New Roman" w:cs="Arial"/>
          <w:sz w:val="20"/>
          <w:lang w:val="ru-RU" w:eastAsia="en-US"/>
        </w:rPr>
        <w:t>«–</w:t>
      </w:r>
      <w:r w:rsidRPr="003670DE">
        <w:rPr>
          <w:rFonts w:ascii="Times New Roman" w:eastAsia="Calibri" w:hAnsi="Times New Roman" w:cs="Arial"/>
          <w:sz w:val="20"/>
          <w:lang w:val="ru-RU" w:eastAsia="en-US"/>
        </w:rPr>
        <w:tab/>
        <w:t xml:space="preserve">растворенные </w:t>
      </w:r>
      <w:proofErr w:type="spellStart"/>
      <w:r w:rsidRPr="003670DE">
        <w:rPr>
          <w:rFonts w:ascii="Times New Roman" w:eastAsia="Calibri" w:hAnsi="Times New Roman" w:cs="Arial"/>
          <w:sz w:val="20"/>
          <w:lang w:val="ru-RU" w:eastAsia="en-US"/>
        </w:rPr>
        <w:t>газы</w:t>
      </w:r>
      <w:proofErr w:type="spellEnd"/>
      <w:r w:rsidRPr="003670DE">
        <w:rPr>
          <w:rFonts w:ascii="Times New Roman" w:eastAsia="Calibri" w:hAnsi="Times New Roman" w:cs="Arial"/>
          <w:sz w:val="20"/>
          <w:lang w:val="ru-RU" w:eastAsia="en-US"/>
        </w:rPr>
        <w:t>, которые не могут быть отнесены к № ООН 1001, 1043, 2073 или 3318. В отношении № ООН 1043 см. специальное положение 642;».</w:t>
      </w:r>
    </w:p>
    <w:p w14:paraId="025861AC" w14:textId="77777777" w:rsidR="003670DE" w:rsidRPr="003670DE" w:rsidRDefault="003670DE" w:rsidP="003670DE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3670DE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ECE/TRANS/WP.15/2020/36)</w:t>
      </w:r>
    </w:p>
    <w:p w14:paraId="40A9B5A7" w14:textId="77777777" w:rsidR="00926B1A" w:rsidRPr="00926B1A" w:rsidRDefault="00926B1A" w:rsidP="00926B1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26B1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26B1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926B1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3.2</w:t>
      </w:r>
    </w:p>
    <w:p w14:paraId="49AA9CC9" w14:textId="77777777" w:rsidR="00926B1A" w:rsidRPr="00926B1A" w:rsidRDefault="00926B1A" w:rsidP="00926B1A">
      <w:pPr>
        <w:keepNext/>
        <w:keepLines/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926B1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Таблица A</w:t>
      </w:r>
    </w:p>
    <w:p w14:paraId="7B8F3848" w14:textId="77777777" w:rsidR="00CF3A95" w:rsidRPr="00CF3A95" w:rsidRDefault="00CF3A95" w:rsidP="00CF3A95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F3A9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№ ООН 1345</w:t>
      </w:r>
      <w:r w:rsidRPr="00CF3A95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колонку 2 добавить «, размером не более 840 микрон с более 45% каучука».</w:t>
      </w:r>
    </w:p>
    <w:p w14:paraId="406F2A60" w14:textId="77777777" w:rsidR="00CF3A95" w:rsidRPr="00CF3A95" w:rsidRDefault="00CF3A95" w:rsidP="00CF3A95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CF3A95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ECE/TRANS/WP.15/2020/37)</w:t>
      </w:r>
    </w:p>
    <w:p w14:paraId="0DE1AD01" w14:textId="77777777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F696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№ ООН 1872</w:t>
      </w: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:</w:t>
      </w:r>
    </w:p>
    <w:p w14:paraId="25B6C0D1" w14:textId="77777777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-</w:t>
      </w: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колонке 3b изменить «OT2» на «O2».</w:t>
      </w:r>
    </w:p>
    <w:p w14:paraId="6F0FCBA8" w14:textId="77777777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-</w:t>
      </w: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колонке 5 исключить «+ 6.1».</w:t>
      </w:r>
    </w:p>
    <w:p w14:paraId="4C04D74A" w14:textId="66763076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-</w:t>
      </w: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колонке 12 изменить «SGAN» на «SGAV».</w:t>
      </w:r>
    </w:p>
    <w:p w14:paraId="70C41FA6" w14:textId="5F2E0644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-</w:t>
      </w: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колонку 17 включить «VC1 VC2 AP6 AP7».</w:t>
      </w:r>
    </w:p>
    <w:p w14:paraId="2EFF277B" w14:textId="03B35206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-</w:t>
      </w:r>
      <w:r w:rsidRPr="004F696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колонке 18 исключить «CW28/CV28». В колонке 20 изменить «56» на «50».</w:t>
      </w:r>
    </w:p>
    <w:p w14:paraId="0D9A5D0C" w14:textId="77777777" w:rsidR="004F696D" w:rsidRPr="004F696D" w:rsidRDefault="004F696D" w:rsidP="004F696D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4F696D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ECE/TRANS/WP.15/AC.1/2020/53)</w:t>
      </w:r>
    </w:p>
    <w:p w14:paraId="3EC3E6A7" w14:textId="77777777" w:rsidR="004E288B" w:rsidRPr="004E288B" w:rsidRDefault="004E288B" w:rsidP="004E288B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E288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№ ООН 2015</w:t>
      </w:r>
      <w:r w:rsidRPr="004E288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первой позиции, в колонке 2, перед существующим текстом включить «ВОДОРОДА ПЕРОКСИД СТАБИЛИЗИРОВАННЫЙ или».</w:t>
      </w:r>
    </w:p>
    <w:p w14:paraId="7C747459" w14:textId="77777777" w:rsidR="004E288B" w:rsidRPr="004E288B" w:rsidRDefault="004E288B" w:rsidP="004E288B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4E288B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ECE/TRANS/WP.15/2020/39)</w:t>
      </w:r>
    </w:p>
    <w:p w14:paraId="52B32650" w14:textId="77777777" w:rsidR="003936A9" w:rsidRPr="003936A9" w:rsidRDefault="003936A9" w:rsidP="003936A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3936A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[Для № ООН 3509: включить «VC1» в колонку 17.]</w:t>
      </w:r>
    </w:p>
    <w:p w14:paraId="3DD1A640" w14:textId="77777777" w:rsidR="003936A9" w:rsidRPr="003936A9" w:rsidRDefault="003936A9" w:rsidP="003936A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3936A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ECE/TRANS/WP.15/AC.1/2020/62)</w:t>
      </w:r>
    </w:p>
    <w:p w14:paraId="2EE3C143" w14:textId="77777777" w:rsidR="003936A9" w:rsidRPr="003936A9" w:rsidRDefault="003936A9" w:rsidP="003936A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3936A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Для № ООН 3536: в колонке 15 в верхней части ячейки заменить «–» на «2».</w:t>
      </w:r>
    </w:p>
    <w:p w14:paraId="727A0346" w14:textId="77777777" w:rsidR="003936A9" w:rsidRPr="003936A9" w:rsidRDefault="003936A9" w:rsidP="003936A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3936A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ECE/TRANS/WP.15/AC.1/2020/66, предложение 2)</w:t>
      </w:r>
    </w:p>
    <w:p w14:paraId="32CB32B5" w14:textId="77777777" w:rsidR="00032D66" w:rsidRPr="00032D66" w:rsidRDefault="00032D66" w:rsidP="00032D6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32D6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032D6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032D6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3.2</w:t>
      </w:r>
    </w:p>
    <w:p w14:paraId="38651BBA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32D6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Таблица B</w:t>
      </w:r>
    </w:p>
    <w:p w14:paraId="19E57D79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2268"/>
        <w:rPr>
          <w:rFonts w:ascii="Times New Roman" w:eastAsia="Calibri" w:hAnsi="Times New Roman" w:cs="Arial"/>
          <w:sz w:val="20"/>
          <w:lang w:val="ru-RU" w:eastAsia="en-US"/>
        </w:rPr>
      </w:pPr>
      <w:r w:rsidRPr="00032D66">
        <w:rPr>
          <w:rFonts w:ascii="Times New Roman" w:eastAsia="Calibri" w:hAnsi="Times New Roman" w:cs="Arial"/>
          <w:sz w:val="20"/>
          <w:lang w:val="ru-RU" w:eastAsia="en-US"/>
        </w:rPr>
        <w:t>В позиции «КАУЧУК В ОТХОДАХ – порошок или гранулы» добавить в колонку 1:</w:t>
      </w:r>
    </w:p>
    <w:p w14:paraId="140B48B3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2268"/>
        <w:rPr>
          <w:rFonts w:ascii="Times New Roman" w:eastAsia="Calibri" w:hAnsi="Times New Roman" w:cs="Arial"/>
          <w:sz w:val="20"/>
          <w:lang w:val="ru-RU" w:eastAsia="en-US"/>
        </w:rPr>
      </w:pPr>
      <w:r w:rsidRPr="00032D66">
        <w:rPr>
          <w:rFonts w:ascii="Times New Roman" w:eastAsia="Calibri" w:hAnsi="Times New Roman" w:cs="Arial"/>
          <w:sz w:val="20"/>
          <w:lang w:val="ru-RU" w:eastAsia="en-US"/>
        </w:rPr>
        <w:t>«размером не более 840 микрон с более 45% каучука».</w:t>
      </w:r>
    </w:p>
    <w:p w14:paraId="0FF0C848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032D66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ECE/TRANS/WP.15/2020/37)</w:t>
      </w:r>
    </w:p>
    <w:p w14:paraId="2340300D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2268"/>
        <w:rPr>
          <w:rFonts w:ascii="Times New Roman" w:eastAsia="Calibri" w:hAnsi="Times New Roman" w:cs="Arial"/>
          <w:sz w:val="20"/>
          <w:lang w:val="ru-RU" w:eastAsia="en-US"/>
        </w:rPr>
      </w:pPr>
      <w:r w:rsidRPr="00032D66">
        <w:rPr>
          <w:rFonts w:ascii="Times New Roman" w:eastAsia="Calibri" w:hAnsi="Times New Roman" w:cs="Arial"/>
          <w:sz w:val="20"/>
          <w:lang w:val="ru-RU" w:eastAsia="en-US"/>
        </w:rPr>
        <w:t>В позиции «КАУЧУК РЕГЕНЕРИРОВАННЫЙ – порошок или гранулы» добавить в колонку 1:</w:t>
      </w:r>
    </w:p>
    <w:p w14:paraId="7080178B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2268"/>
        <w:rPr>
          <w:rFonts w:ascii="Times New Roman" w:eastAsia="Calibri" w:hAnsi="Times New Roman" w:cs="Arial"/>
          <w:sz w:val="20"/>
          <w:lang w:val="ru-RU" w:eastAsia="en-US"/>
        </w:rPr>
      </w:pPr>
      <w:r w:rsidRPr="00032D66">
        <w:rPr>
          <w:rFonts w:ascii="Times New Roman" w:eastAsia="Calibri" w:hAnsi="Times New Roman" w:cs="Arial"/>
          <w:sz w:val="20"/>
          <w:lang w:val="ru-RU" w:eastAsia="en-US"/>
        </w:rPr>
        <w:t>«размером не более 840 микрон с более 45% каучука».</w:t>
      </w:r>
    </w:p>
    <w:p w14:paraId="7D1431DE" w14:textId="77777777" w:rsidR="00032D66" w:rsidRPr="00032D66" w:rsidRDefault="00032D66" w:rsidP="00032D66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032D66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ECE/TRANS/WP.15/2020/37)</w:t>
      </w:r>
    </w:p>
    <w:p w14:paraId="6648092C" w14:textId="77777777" w:rsidR="000F07FB" w:rsidRPr="000F07FB" w:rsidRDefault="000F07FB" w:rsidP="000F07FB">
      <w:pPr>
        <w:kinsoku/>
        <w:overflowPunct/>
        <w:autoSpaceDE/>
        <w:autoSpaceDN/>
        <w:adjustRightInd/>
        <w:spacing w:before="120" w:after="120"/>
        <w:ind w:left="2268"/>
        <w:rPr>
          <w:rFonts w:ascii="Times New Roman" w:eastAsia="Calibri" w:hAnsi="Times New Roman" w:cs="Arial"/>
          <w:sz w:val="20"/>
          <w:lang w:val="ru-RU" w:eastAsia="en-US"/>
        </w:rPr>
      </w:pPr>
      <w:r w:rsidRPr="000F07FB">
        <w:rPr>
          <w:rFonts w:ascii="Times New Roman" w:eastAsia="Calibri" w:hAnsi="Times New Roman" w:cs="Arial"/>
          <w:sz w:val="20"/>
          <w:lang w:val="ru-RU" w:eastAsia="en-US"/>
        </w:rPr>
        <w:t>Включить в алфавитном порядке следующую новую позицию:</w:t>
      </w:r>
    </w:p>
    <w:p w14:paraId="7494CC8D" w14:textId="77777777" w:rsidR="000F07FB" w:rsidRPr="000F07FB" w:rsidRDefault="000F07FB" w:rsidP="000F07FB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sz w:val="20"/>
          <w:lang w:val="ru-RU" w:eastAsia="en-US"/>
        </w:rPr>
      </w:pPr>
      <w:r w:rsidRPr="000F07FB">
        <w:rPr>
          <w:rFonts w:ascii="Times New Roman" w:eastAsia="Calibri" w:hAnsi="Times New Roman" w:cs="Arial"/>
          <w:sz w:val="20"/>
          <w:lang w:val="ru-RU" w:eastAsia="en-US"/>
        </w:rPr>
        <w:t>«</w:t>
      </w:r>
    </w:p>
    <w:tbl>
      <w:tblPr>
        <w:tblStyle w:val="TableGrid2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1276"/>
        <w:gridCol w:w="1412"/>
      </w:tblGrid>
      <w:tr w:rsidR="000F07FB" w:rsidRPr="000F07FB" w14:paraId="5B8DF536" w14:textId="77777777" w:rsidTr="003F3CE0">
        <w:tc>
          <w:tcPr>
            <w:tcW w:w="4531" w:type="dxa"/>
          </w:tcPr>
          <w:p w14:paraId="0B7828D3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lastRenderedPageBreak/>
              <w:t>Наименование и описание</w:t>
            </w:r>
          </w:p>
        </w:tc>
        <w:tc>
          <w:tcPr>
            <w:tcW w:w="992" w:type="dxa"/>
          </w:tcPr>
          <w:p w14:paraId="1BC2D3D6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t>№ ООН</w:t>
            </w:r>
          </w:p>
        </w:tc>
        <w:tc>
          <w:tcPr>
            <w:tcW w:w="1276" w:type="dxa"/>
          </w:tcPr>
          <w:p w14:paraId="1C458087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t>Класс</w:t>
            </w:r>
          </w:p>
        </w:tc>
        <w:tc>
          <w:tcPr>
            <w:tcW w:w="1412" w:type="dxa"/>
          </w:tcPr>
          <w:p w14:paraId="31606EF8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t>Примечания</w:t>
            </w:r>
          </w:p>
        </w:tc>
      </w:tr>
      <w:tr w:rsidR="000F07FB" w:rsidRPr="000F07FB" w14:paraId="7E2C3817" w14:textId="77777777" w:rsidTr="003F3CE0">
        <w:tc>
          <w:tcPr>
            <w:tcW w:w="4531" w:type="dxa"/>
          </w:tcPr>
          <w:p w14:paraId="7004FFA4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t>ВОДОРОДА ПЕРОКСИД СТАБИЛИЗИРОВАННЫЙ</w:t>
            </w:r>
          </w:p>
        </w:tc>
        <w:tc>
          <w:tcPr>
            <w:tcW w:w="992" w:type="dxa"/>
          </w:tcPr>
          <w:p w14:paraId="0AD02D6B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t>2015</w:t>
            </w:r>
          </w:p>
        </w:tc>
        <w:tc>
          <w:tcPr>
            <w:tcW w:w="1276" w:type="dxa"/>
          </w:tcPr>
          <w:p w14:paraId="6F6B18A4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  <w:r w:rsidRPr="000F07FB">
              <w:rPr>
                <w:rFonts w:cs="Arial"/>
              </w:rPr>
              <w:t>5.1</w:t>
            </w:r>
          </w:p>
        </w:tc>
        <w:tc>
          <w:tcPr>
            <w:tcW w:w="1412" w:type="dxa"/>
          </w:tcPr>
          <w:p w14:paraId="7A9D434F" w14:textId="77777777" w:rsidR="000F07FB" w:rsidRPr="000F07FB" w:rsidRDefault="000F07FB" w:rsidP="000F07FB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rPr>
                <w:rFonts w:cs="Arial"/>
              </w:rPr>
            </w:pPr>
          </w:p>
        </w:tc>
      </w:tr>
    </w:tbl>
    <w:p w14:paraId="0170B715" w14:textId="77777777" w:rsidR="000F07FB" w:rsidRPr="000F07FB" w:rsidRDefault="000F07FB" w:rsidP="000F07FB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sz w:val="20"/>
          <w:lang w:val="ru-RU" w:eastAsia="en-US"/>
        </w:rPr>
      </w:pP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</w:r>
      <w:r w:rsidRPr="000F07FB">
        <w:rPr>
          <w:rFonts w:ascii="Times New Roman" w:eastAsia="Calibri" w:hAnsi="Times New Roman" w:cs="Arial"/>
          <w:sz w:val="20"/>
          <w:lang w:val="ru-RU" w:eastAsia="en-US"/>
        </w:rPr>
        <w:tab/>
        <w:t>»</w:t>
      </w:r>
    </w:p>
    <w:p w14:paraId="5C2C4352" w14:textId="77777777" w:rsidR="000F07FB" w:rsidRPr="000F07FB" w:rsidRDefault="000F07FB" w:rsidP="000F07FB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0F07FB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ECE/TRANS/WP.15/2020/39)</w:t>
      </w:r>
    </w:p>
    <w:p w14:paraId="651B38B4" w14:textId="77777777" w:rsidR="00250C25" w:rsidRPr="00250C25" w:rsidRDefault="00250C25" w:rsidP="00250C25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50C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250C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250C2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3.3</w:t>
      </w:r>
    </w:p>
    <w:p w14:paraId="287B9111" w14:textId="77777777" w:rsidR="0025730C" w:rsidRPr="0025730C" w:rsidRDefault="0025730C" w:rsidP="0025730C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25730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СП 389</w:t>
      </w:r>
      <w:r w:rsidRPr="0025730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начале последнего предложения включить «За исключением случаев, предусмотренных в подразделе 1.1.3.6».</w:t>
      </w:r>
    </w:p>
    <w:p w14:paraId="2778F0D9" w14:textId="77777777" w:rsidR="0025730C" w:rsidRPr="0025730C" w:rsidRDefault="0025730C" w:rsidP="0025730C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25730C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ECE/TRANS/WP.15/AC.1/2020/66, предложение 3)</w:t>
      </w:r>
    </w:p>
    <w:p w14:paraId="2C314EB6" w14:textId="77777777" w:rsidR="005D7A4B" w:rsidRPr="005D7A4B" w:rsidRDefault="005D7A4B" w:rsidP="005D7A4B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D7A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СП 591</w:t>
      </w:r>
      <w:r w:rsidRPr="005D7A4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После «Требования» включить:</w:t>
      </w:r>
    </w:p>
    <w:p w14:paraId="7AA57774" w14:textId="77777777" w:rsidR="005D7A4B" w:rsidRPr="005D7A4B" w:rsidRDefault="005D7A4B" w:rsidP="005D7A4B">
      <w:pPr>
        <w:kinsoku/>
        <w:overflowPunct/>
        <w:autoSpaceDE/>
        <w:autoSpaceDN/>
        <w:adjustRightInd/>
        <w:spacing w:before="120" w:after="120"/>
        <w:ind w:left="2268"/>
        <w:rPr>
          <w:rFonts w:ascii="Times New Roman" w:eastAsia="Calibri" w:hAnsi="Times New Roman" w:cs="Arial"/>
          <w:sz w:val="20"/>
          <w:lang w:val="ru-RU" w:eastAsia="en-US"/>
        </w:rPr>
      </w:pPr>
      <w:r w:rsidRPr="005D7A4B">
        <w:rPr>
          <w:rFonts w:ascii="Times New Roman" w:eastAsia="Calibri" w:hAnsi="Times New Roman" w:cs="Arial"/>
          <w:sz w:val="20"/>
          <w:lang w:val="ru-RU" w:eastAsia="en-US"/>
        </w:rPr>
        <w:t>«класса 8».</w:t>
      </w:r>
    </w:p>
    <w:p w14:paraId="38E48717" w14:textId="77777777" w:rsidR="005D7A4B" w:rsidRPr="005D7A4B" w:rsidRDefault="005D7A4B" w:rsidP="005D7A4B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5D7A4B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ECE/RANS/WP.15/AC.1/2020/5)</w:t>
      </w:r>
    </w:p>
    <w:p w14:paraId="3C397D5C" w14:textId="77777777" w:rsidR="0054126B" w:rsidRPr="0054126B" w:rsidRDefault="0054126B" w:rsidP="0054126B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54126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СП 642</w:t>
      </w:r>
      <w:r w:rsidRPr="0054126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конце добавить следующее предложение:</w:t>
      </w:r>
    </w:p>
    <w:p w14:paraId="048AFDE1" w14:textId="77777777" w:rsidR="0054126B" w:rsidRPr="0054126B" w:rsidRDefault="0054126B" w:rsidP="0054126B">
      <w:pPr>
        <w:kinsoku/>
        <w:overflowPunct/>
        <w:autoSpaceDE/>
        <w:autoSpaceDN/>
        <w:adjustRightInd/>
        <w:spacing w:before="120" w:after="120"/>
        <w:ind w:left="2268" w:right="1134"/>
        <w:rPr>
          <w:rFonts w:ascii="Times New Roman" w:eastAsia="Calibri" w:hAnsi="Times New Roman" w:cs="Arial"/>
          <w:sz w:val="20"/>
          <w:lang w:val="ru-RU" w:eastAsia="en-US"/>
        </w:rPr>
      </w:pPr>
      <w:r w:rsidRPr="0054126B">
        <w:rPr>
          <w:rFonts w:ascii="Times New Roman" w:eastAsia="Calibri" w:hAnsi="Times New Roman" w:cs="Arial"/>
          <w:sz w:val="20"/>
          <w:lang w:val="ru-RU" w:eastAsia="en-US"/>
        </w:rPr>
        <w:t>«В противном случае в отношении перевозки раствора аммиака см. № ООН 2073, 2672 и 3318.».</w:t>
      </w:r>
    </w:p>
    <w:p w14:paraId="633A50D7" w14:textId="77777777" w:rsidR="0054126B" w:rsidRPr="0054126B" w:rsidRDefault="0054126B" w:rsidP="0054126B">
      <w:pPr>
        <w:kinsoku/>
        <w:overflowPunct/>
        <w:autoSpaceDE/>
        <w:autoSpaceDN/>
        <w:adjustRightInd/>
        <w:spacing w:before="120" w:after="120"/>
        <w:ind w:left="1134"/>
        <w:rPr>
          <w:rFonts w:ascii="Times New Roman" w:eastAsia="Calibri" w:hAnsi="Times New Roman" w:cs="Arial"/>
          <w:i/>
          <w:iCs/>
          <w:sz w:val="20"/>
          <w:lang w:val="ru-RU" w:eastAsia="en-US"/>
        </w:rPr>
      </w:pPr>
      <w:r w:rsidRPr="0054126B">
        <w:rPr>
          <w:rFonts w:ascii="Times New Roman" w:eastAsia="Calibri" w:hAnsi="Times New Roman" w:cs="Arial"/>
          <w:i/>
          <w:iCs/>
          <w:sz w:val="20"/>
          <w:lang w:val="ru-RU" w:eastAsia="en-US"/>
        </w:rPr>
        <w:t>(Справочный документ: ECE/TRANS/WP.15/2020/36)</w:t>
      </w:r>
    </w:p>
    <w:p w14:paraId="0059AF9E" w14:textId="77777777" w:rsidR="00FB277E" w:rsidRPr="00FB277E" w:rsidRDefault="00FB277E" w:rsidP="00FB277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FB277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ECE/TRANS/WP.15/AC.1/2020/66, предложение 3)</w:t>
      </w:r>
    </w:p>
    <w:p w14:paraId="0BB2EB69" w14:textId="77777777" w:rsidR="00FB277E" w:rsidRPr="00FB277E" w:rsidRDefault="00FB277E" w:rsidP="00FB277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FB277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СП 663</w:t>
      </w:r>
      <w:r w:rsidRPr="00FB277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 первый абзац в разделе «</w:t>
      </w:r>
      <w:r w:rsidRPr="00FB277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Общие положения:</w:t>
      </w:r>
      <w:r w:rsidRPr="00FB277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 следующим образом:</w:t>
      </w:r>
    </w:p>
    <w:p w14:paraId="69FDD8A9" w14:textId="77777777" w:rsidR="00FB277E" w:rsidRPr="00FB277E" w:rsidRDefault="00FB277E" w:rsidP="00FB277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FB277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«Отбракованная порожняя неочищенная тара с остатками, представляющими основную или дополнительную опасность класса 5.1, не должна грузиться навалом совместно с отбракованной порожней неочищенной тарой с остатками, представляющими опасность других классов. Отбракованная порожняя неочищенная тара с остатками, представляющими основную или дополнительную опасность класса 5.1, не должна упаковываться совместно с другой отбракованной порожней неочищенной тарой с остатками, представляющими опасность других классов, в одну и ту же наружную тару.».</w:t>
      </w:r>
    </w:p>
    <w:p w14:paraId="4A6DB87B" w14:textId="77777777" w:rsidR="00FB277E" w:rsidRPr="00FB277E" w:rsidRDefault="00FB277E" w:rsidP="00FB277E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FB277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документ ECE/TRANS/WP.15/AC.1/2020/60 с поправками)</w:t>
      </w:r>
    </w:p>
    <w:p w14:paraId="56B41541" w14:textId="77777777" w:rsidR="002070B7" w:rsidRPr="002070B7" w:rsidRDefault="002070B7" w:rsidP="002070B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070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2070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2070B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4.1</w:t>
      </w:r>
    </w:p>
    <w:p w14:paraId="003EBAD0" w14:textId="77777777" w:rsidR="00C74A98" w:rsidRPr="00C74A98" w:rsidRDefault="00C74A98" w:rsidP="00C74A98">
      <w:pPr>
        <w:kinsoku/>
        <w:overflowPunct/>
        <w:autoSpaceDE/>
        <w:autoSpaceDN/>
        <w:adjustRightInd/>
        <w:snapToGrid/>
        <w:spacing w:after="240"/>
        <w:ind w:left="2835" w:right="1134" w:hanging="170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74A98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4.1.4.1, P200 (13)</w:t>
      </w:r>
      <w:r w:rsidRPr="00C74A98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пункте 2.4 заменить «EN ISO 11114-1:2012» на «EN ISO 11114-1:2020».</w:t>
      </w:r>
    </w:p>
    <w:p w14:paraId="01917ADC" w14:textId="77777777" w:rsidR="00C74A98" w:rsidRPr="00C74A98" w:rsidRDefault="00C74A98" w:rsidP="00C74A98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C74A9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INF.53/Rev.2, сопутствующая поправка)</w:t>
      </w:r>
    </w:p>
    <w:p w14:paraId="2ABF7EF3" w14:textId="77777777" w:rsidR="009514FA" w:rsidRPr="009514FA" w:rsidRDefault="009514FA" w:rsidP="009514FA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514F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4.1.6.15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 следующим образом:</w:t>
      </w:r>
    </w:p>
    <w:p w14:paraId="0F75FE48" w14:textId="77777777" w:rsidR="009514FA" w:rsidRPr="009514FA" w:rsidRDefault="009514FA" w:rsidP="009514FA">
      <w:pPr>
        <w:kinsoku/>
        <w:overflowPunct/>
        <w:autoSpaceDE/>
        <w:autoSpaceDN/>
        <w:adjustRightIn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en-US"/>
        </w:rPr>
      </w:pP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</w:t>
      </w:r>
      <w:r w:rsidRPr="009514F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4.1.6.15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К сосудам под давлением “UN” должны применяться приведенные ниже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 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таблице 1 стандарты ISO и стандарты EN ISO, за исключением стандартов EN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 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ISO 14245 и EN ISO 15995. Информацию о том, какой стандарт должен использоваться на момент изготовления оборудования, см. в подразделе 6.2.2.3.</w:t>
      </w:r>
    </w:p>
    <w:p w14:paraId="3CA8C701" w14:textId="77777777" w:rsidR="009514FA" w:rsidRPr="009514FA" w:rsidRDefault="009514FA" w:rsidP="009514F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отношении других сосудов под давлением требования раздела 4.1.6 считаются выполненными, если, в зависимости от конкретного случая, применяются стандарты, указанные в таблице 1. Информацию о том, какие стандарты должны использоваться для изготовления вентилей с конструктивной защитой, см. в подразделе 6.2.4.1. Информацию о применимости стандартов на изготовление предохранительных колпаков и защитных устройств вентилей см. в таблице 2:</w:t>
      </w:r>
    </w:p>
    <w:p w14:paraId="31E749B4" w14:textId="77777777" w:rsidR="009514FA" w:rsidRPr="009514FA" w:rsidRDefault="009514FA" w:rsidP="009514FA">
      <w:pPr>
        <w:kinsoku/>
        <w:overflowPunct/>
        <w:autoSpaceDE/>
        <w:autoSpaceDN/>
        <w:adjustRightInd/>
        <w:snapToGrid/>
        <w:spacing w:after="120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Таблица 1: Стандарты на сосуды под давлением “UN” и сосуды под давлением, 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br/>
        <w:t>кроме сосудов “UN”</w:t>
      </w:r>
    </w:p>
    <w:tbl>
      <w:tblPr>
        <w:tblW w:w="832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504"/>
        <w:gridCol w:w="4360"/>
      </w:tblGrid>
      <w:tr w:rsidR="009514FA" w:rsidRPr="009514FA" w14:paraId="4959CCC5" w14:textId="77777777" w:rsidTr="003F3CE0">
        <w:tc>
          <w:tcPr>
            <w:tcW w:w="1465" w:type="dxa"/>
            <w:shd w:val="clear" w:color="auto" w:fill="auto"/>
            <w:vAlign w:val="center"/>
          </w:tcPr>
          <w:p w14:paraId="11035E27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lastRenderedPageBreak/>
              <w:t>Применимые пункты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93FB6E3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t>Ссылка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2C580F90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t>Наименование документа</w:t>
            </w:r>
          </w:p>
        </w:tc>
      </w:tr>
      <w:tr w:rsidR="009514FA" w:rsidRPr="009514FA" w14:paraId="01C6FC2D" w14:textId="77777777" w:rsidTr="003F3CE0">
        <w:tc>
          <w:tcPr>
            <w:tcW w:w="1465" w:type="dxa"/>
            <w:vMerge w:val="restart"/>
            <w:shd w:val="clear" w:color="auto" w:fill="auto"/>
          </w:tcPr>
          <w:p w14:paraId="15118A0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4.1.6.2</w:t>
            </w:r>
          </w:p>
        </w:tc>
        <w:tc>
          <w:tcPr>
            <w:tcW w:w="2504" w:type="dxa"/>
            <w:shd w:val="clear" w:color="auto" w:fill="auto"/>
          </w:tcPr>
          <w:p w14:paraId="5CE89D3C" w14:textId="228BE6CD" w:rsidR="009514FA" w:rsidRPr="009514FA" w:rsidRDefault="00C71169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C71169">
              <w:rPr>
                <w:rFonts w:ascii="Times New Roman" w:eastAsia="Calibri" w:hAnsi="Times New Roman" w:cs="Arial"/>
                <w:sz w:val="20"/>
                <w:lang w:val="ru-RU" w:eastAsia="en-US"/>
              </w:rPr>
              <w:t>EN ISO 11114-1:2020</w:t>
            </w:r>
          </w:p>
        </w:tc>
        <w:tc>
          <w:tcPr>
            <w:tcW w:w="4360" w:type="dxa"/>
            <w:shd w:val="clear" w:color="auto" w:fill="auto"/>
          </w:tcPr>
          <w:p w14:paraId="62E4E23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– Совместимость материалов баллонов и вентилей с газовым содержимым – Часть 1: Металлические материалы</w:t>
            </w:r>
          </w:p>
        </w:tc>
      </w:tr>
      <w:tr w:rsidR="009514FA" w:rsidRPr="009514FA" w14:paraId="05D7953E" w14:textId="77777777" w:rsidTr="003F3CE0">
        <w:tc>
          <w:tcPr>
            <w:tcW w:w="1465" w:type="dxa"/>
            <w:vMerge/>
            <w:shd w:val="clear" w:color="auto" w:fill="auto"/>
          </w:tcPr>
          <w:p w14:paraId="49C4F38F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shd w:val="clear" w:color="auto" w:fill="auto"/>
          </w:tcPr>
          <w:p w14:paraId="23C08B0C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EN ISO 11114-2:2013</w:t>
            </w:r>
          </w:p>
        </w:tc>
        <w:tc>
          <w:tcPr>
            <w:tcW w:w="4360" w:type="dxa"/>
            <w:shd w:val="clear" w:color="auto" w:fill="auto"/>
          </w:tcPr>
          <w:p w14:paraId="2CA30A87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– Совместимость материалов баллонов и вентилей с газовым содержимым – Часть 2: Неметаллические материалы</w:t>
            </w:r>
          </w:p>
        </w:tc>
      </w:tr>
      <w:tr w:rsidR="009514FA" w:rsidRPr="009514FA" w14:paraId="0D2BCE88" w14:textId="77777777" w:rsidTr="003F3CE0">
        <w:tc>
          <w:tcPr>
            <w:tcW w:w="1465" w:type="dxa"/>
            <w:shd w:val="clear" w:color="auto" w:fill="auto"/>
          </w:tcPr>
          <w:p w14:paraId="3A8527D7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4.1.6.4</w:t>
            </w:r>
          </w:p>
        </w:tc>
        <w:tc>
          <w:tcPr>
            <w:tcW w:w="2504" w:type="dxa"/>
            <w:shd w:val="clear" w:color="auto" w:fill="auto"/>
          </w:tcPr>
          <w:p w14:paraId="2156456A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ISO 11621:1997 или EN ISO 11621:2005</w:t>
            </w:r>
          </w:p>
        </w:tc>
        <w:tc>
          <w:tcPr>
            <w:tcW w:w="4360" w:type="dxa"/>
            <w:shd w:val="clear" w:color="auto" w:fill="auto"/>
          </w:tcPr>
          <w:p w14:paraId="05B1B2FA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Газовые баллоны – Процедуры подготовки под другие </w:t>
            </w:r>
            <w:proofErr w:type="spellStart"/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газы</w:t>
            </w:r>
            <w:proofErr w:type="spellEnd"/>
          </w:p>
        </w:tc>
      </w:tr>
      <w:tr w:rsidR="009514FA" w:rsidRPr="009514FA" w14:paraId="67D6B7C6" w14:textId="77777777" w:rsidTr="003F3CE0">
        <w:tc>
          <w:tcPr>
            <w:tcW w:w="1465" w:type="dxa"/>
            <w:vMerge w:val="restart"/>
            <w:shd w:val="clear" w:color="auto" w:fill="auto"/>
          </w:tcPr>
          <w:p w14:paraId="649EE33D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4.1.6.8 Вентили с </w:t>
            </w:r>
            <w:r w:rsidRPr="009514FA">
              <w:rPr>
                <w:rFonts w:ascii="Times New Roman" w:eastAsia="Calibri" w:hAnsi="Times New Roman" w:cs="Arial"/>
                <w:spacing w:val="-10"/>
                <w:sz w:val="20"/>
                <w:lang w:val="ru-RU" w:eastAsia="en-US"/>
              </w:rPr>
              <w:t>конструктивной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 защитой</w:t>
            </w:r>
          </w:p>
        </w:tc>
        <w:tc>
          <w:tcPr>
            <w:tcW w:w="2504" w:type="dxa"/>
            <w:shd w:val="clear" w:color="auto" w:fill="auto"/>
          </w:tcPr>
          <w:p w14:paraId="3E807EF7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4.6.2 EN ISO 10297:2006, или</w:t>
            </w:r>
          </w:p>
          <w:p w14:paraId="6293A178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5.5.2 EN ISO 10297:2014, или</w:t>
            </w:r>
          </w:p>
          <w:p w14:paraId="54A66D5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5.5.2 EN ISO 10297:2014 + A1:2017</w:t>
            </w:r>
          </w:p>
        </w:tc>
        <w:tc>
          <w:tcPr>
            <w:tcW w:w="4360" w:type="dxa"/>
            <w:shd w:val="clear" w:color="auto" w:fill="auto"/>
          </w:tcPr>
          <w:p w14:paraId="0FBD2F92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− Вентили баллонов − Технические требования и испытания типа</w:t>
            </w:r>
          </w:p>
        </w:tc>
      </w:tr>
      <w:tr w:rsidR="009514FA" w:rsidRPr="009514FA" w14:paraId="74CFBC88" w14:textId="77777777" w:rsidTr="003F3CE0">
        <w:tc>
          <w:tcPr>
            <w:tcW w:w="1465" w:type="dxa"/>
            <w:vMerge/>
            <w:shd w:val="clear" w:color="auto" w:fill="auto"/>
          </w:tcPr>
          <w:p w14:paraId="33550890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shd w:val="clear" w:color="auto" w:fill="auto"/>
          </w:tcPr>
          <w:p w14:paraId="603649C9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5.3.8 EN 13152:2001 + A1:2003</w:t>
            </w:r>
          </w:p>
        </w:tc>
        <w:tc>
          <w:tcPr>
            <w:tcW w:w="4360" w:type="dxa"/>
            <w:shd w:val="clear" w:color="auto" w:fill="auto"/>
          </w:tcPr>
          <w:p w14:paraId="1DB99D2E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Технические требования к вентилям баллонов для СНГ и их испытания – Самозакрывающиеся вентили</w:t>
            </w:r>
          </w:p>
        </w:tc>
      </w:tr>
      <w:tr w:rsidR="009514FA" w:rsidRPr="009514FA" w14:paraId="274AB276" w14:textId="77777777" w:rsidTr="003F3CE0">
        <w:tc>
          <w:tcPr>
            <w:tcW w:w="1465" w:type="dxa"/>
            <w:vMerge/>
            <w:shd w:val="clear" w:color="auto" w:fill="auto"/>
          </w:tcPr>
          <w:p w14:paraId="6080B0E7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shd w:val="clear" w:color="auto" w:fill="auto"/>
          </w:tcPr>
          <w:p w14:paraId="440F85BA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5.3.7 EN 13153:2001 + A1:2003</w:t>
            </w:r>
          </w:p>
        </w:tc>
        <w:tc>
          <w:tcPr>
            <w:tcW w:w="4360" w:type="dxa"/>
            <w:shd w:val="clear" w:color="auto" w:fill="auto"/>
          </w:tcPr>
          <w:p w14:paraId="228A1B6C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Технические требования к вентилям баллонов для СНГ и их испытания – Вентили с ручным управлением</w:t>
            </w:r>
          </w:p>
        </w:tc>
      </w:tr>
      <w:tr w:rsidR="009514FA" w:rsidRPr="009514FA" w14:paraId="25DAE7D9" w14:textId="77777777" w:rsidTr="003F3CE0">
        <w:tc>
          <w:tcPr>
            <w:tcW w:w="1465" w:type="dxa"/>
            <w:vMerge/>
            <w:shd w:val="clear" w:color="auto" w:fill="auto"/>
          </w:tcPr>
          <w:p w14:paraId="77AD237E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shd w:val="clear" w:color="auto" w:fill="auto"/>
          </w:tcPr>
          <w:p w14:paraId="483795AE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5.9 EN ISO 14245:2010 или пункт 5.9 стандарта EN ISO 14245:2019</w:t>
            </w:r>
          </w:p>
        </w:tc>
        <w:tc>
          <w:tcPr>
            <w:tcW w:w="4360" w:type="dxa"/>
            <w:shd w:val="clear" w:color="auto" w:fill="auto"/>
          </w:tcPr>
          <w:p w14:paraId="17760643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Газовые баллоны – Технические требования к вентилям баллонов для СНГ и их испытания − Самозакрывающиеся вентили </w:t>
            </w:r>
          </w:p>
        </w:tc>
      </w:tr>
      <w:tr w:rsidR="009514FA" w:rsidRPr="009514FA" w14:paraId="384354C5" w14:textId="77777777" w:rsidTr="003F3CE0">
        <w:tc>
          <w:tcPr>
            <w:tcW w:w="1465" w:type="dxa"/>
            <w:vMerge/>
            <w:shd w:val="clear" w:color="auto" w:fill="auto"/>
          </w:tcPr>
          <w:p w14:paraId="59FD2973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shd w:val="clear" w:color="auto" w:fill="auto"/>
          </w:tcPr>
          <w:p w14:paraId="602C14C4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fr-CH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</w:t>
            </w:r>
            <w:r w:rsidRPr="009514FA">
              <w:rPr>
                <w:rFonts w:ascii="Times New Roman" w:eastAsia="Calibri" w:hAnsi="Times New Roman" w:cs="Arial"/>
                <w:sz w:val="20"/>
                <w:lang w:val="fr-CH" w:eastAsia="en-US"/>
              </w:rPr>
              <w:t xml:space="preserve"> 5.10 EN ISO 15995:2010 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или</w:t>
            </w:r>
            <w:r w:rsidRPr="009514FA">
              <w:rPr>
                <w:rFonts w:ascii="Times New Roman" w:eastAsia="Calibri" w:hAnsi="Times New Roman" w:cs="Arial"/>
                <w:sz w:val="20"/>
                <w:lang w:val="fr-CH" w:eastAsia="en-US"/>
              </w:rPr>
              <w:t xml:space="preserve"> 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</w:t>
            </w:r>
            <w:r w:rsidRPr="009514FA">
              <w:rPr>
                <w:rFonts w:ascii="Times New Roman" w:eastAsia="Calibri" w:hAnsi="Times New Roman" w:cs="Arial"/>
                <w:sz w:val="20"/>
                <w:lang w:val="fr-CH" w:eastAsia="en-US"/>
              </w:rPr>
              <w:t xml:space="preserve"> 5.10 EN ISO 15995:2019</w:t>
            </w:r>
          </w:p>
        </w:tc>
        <w:tc>
          <w:tcPr>
            <w:tcW w:w="4360" w:type="dxa"/>
            <w:shd w:val="clear" w:color="auto" w:fill="auto"/>
          </w:tcPr>
          <w:p w14:paraId="162583F0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Газовые баллоны – Технические требования к вентилям баллонов для СНГ и их испытания − Вентили с ручным управлением </w:t>
            </w:r>
          </w:p>
        </w:tc>
      </w:tr>
      <w:tr w:rsidR="009514FA" w:rsidRPr="009514FA" w14:paraId="331ED795" w14:textId="77777777" w:rsidTr="003F3CE0">
        <w:tc>
          <w:tcPr>
            <w:tcW w:w="1465" w:type="dxa"/>
            <w:vMerge/>
            <w:shd w:val="clear" w:color="auto" w:fill="auto"/>
          </w:tcPr>
          <w:p w14:paraId="0A17E77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shd w:val="clear" w:color="auto" w:fill="auto"/>
          </w:tcPr>
          <w:p w14:paraId="52171778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Пункт 5.4.2 EN ISO 17879:2017</w:t>
            </w:r>
          </w:p>
        </w:tc>
        <w:tc>
          <w:tcPr>
            <w:tcW w:w="4360" w:type="dxa"/>
            <w:shd w:val="clear" w:color="auto" w:fill="auto"/>
          </w:tcPr>
          <w:p w14:paraId="5AEC37A0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– Самозакрывающиеся вентили баллонов – Технические требования и испытания типа</w:t>
            </w:r>
          </w:p>
        </w:tc>
      </w:tr>
      <w:tr w:rsidR="009514FA" w:rsidRPr="009514FA" w14:paraId="3E6166DC" w14:textId="77777777" w:rsidTr="003F3CE0">
        <w:tc>
          <w:tcPr>
            <w:tcW w:w="1465" w:type="dxa"/>
            <w:vMerge w:val="restart"/>
            <w:shd w:val="clear" w:color="auto" w:fill="auto"/>
          </w:tcPr>
          <w:p w14:paraId="41413C88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4.1.6.8 b) и c)</w:t>
            </w:r>
          </w:p>
        </w:tc>
        <w:tc>
          <w:tcPr>
            <w:tcW w:w="2504" w:type="dxa"/>
            <w:shd w:val="clear" w:color="auto" w:fill="auto"/>
          </w:tcPr>
          <w:p w14:paraId="7EBBF93B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es-ES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es-ES" w:eastAsia="en-US"/>
              </w:rPr>
              <w:t xml:space="preserve">ISO 11117:1998, 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или</w:t>
            </w:r>
            <w:r w:rsidRPr="009514FA">
              <w:rPr>
                <w:rFonts w:ascii="Times New Roman" w:eastAsia="Calibri" w:hAnsi="Times New Roman" w:cs="Arial"/>
                <w:sz w:val="20"/>
                <w:lang w:val="es-ES" w:eastAsia="en-US"/>
              </w:rPr>
              <w:t xml:space="preserve"> EN ISO 11117:2008 + </w:t>
            </w:r>
            <w:proofErr w:type="spellStart"/>
            <w:r w:rsidRPr="009514FA">
              <w:rPr>
                <w:rFonts w:ascii="Times New Roman" w:eastAsia="Calibri" w:hAnsi="Times New Roman" w:cs="Arial"/>
                <w:sz w:val="20"/>
                <w:lang w:val="es-ES" w:eastAsia="en-US"/>
              </w:rPr>
              <w:t>Cor</w:t>
            </w:r>
            <w:proofErr w:type="spellEnd"/>
            <w:r w:rsidRPr="009514FA">
              <w:rPr>
                <w:rFonts w:ascii="Times New Roman" w:eastAsia="Calibri" w:hAnsi="Times New Roman" w:cs="Arial"/>
                <w:sz w:val="20"/>
                <w:lang w:val="es-ES" w:eastAsia="en-US"/>
              </w:rPr>
              <w:t xml:space="preserve"> 1:2009, 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или</w:t>
            </w:r>
            <w:r w:rsidRPr="009514FA">
              <w:rPr>
                <w:rFonts w:ascii="Times New Roman" w:eastAsia="Calibri" w:hAnsi="Times New Roman" w:cs="Arial"/>
                <w:sz w:val="20"/>
                <w:lang w:val="es-ES" w:eastAsia="en-US"/>
              </w:rPr>
              <w:t xml:space="preserve"> EN ISO 11117:2019</w:t>
            </w:r>
          </w:p>
        </w:tc>
        <w:tc>
          <w:tcPr>
            <w:tcW w:w="4360" w:type="dxa"/>
            <w:shd w:val="clear" w:color="auto" w:fill="auto"/>
          </w:tcPr>
          <w:p w14:paraId="0C5545BF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– Предохранительные колпаки и защитные устройства вентилей – Конструкция, изготовление и испытания</w:t>
            </w:r>
          </w:p>
        </w:tc>
      </w:tr>
      <w:tr w:rsidR="009514FA" w:rsidRPr="009514FA" w14:paraId="684667E2" w14:textId="77777777" w:rsidTr="003F3CE0"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B3E1C9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44E9AA0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EN 962:1996 +А2:2000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14:paraId="532C5F07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Переносные газовые баллоны – Предохранительные колпаки вентилей и защитные устройства вентилей на баллонах для</w:t>
            </w:r>
            <w:r w:rsidRPr="009514FA">
              <w:rPr>
                <w:rFonts w:ascii="Times New Roman" w:eastAsia="Calibri" w:hAnsi="Times New Roman" w:cs="Arial"/>
                <w:sz w:val="20"/>
                <w:lang w:val="en-US" w:eastAsia="en-US"/>
              </w:rPr>
              <w:t> 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промышленных и медицинских газов – Конструкция, изготовление и испытания</w:t>
            </w:r>
          </w:p>
        </w:tc>
      </w:tr>
      <w:tr w:rsidR="009514FA" w:rsidRPr="009514FA" w14:paraId="1EE8D233" w14:textId="77777777" w:rsidTr="003F3CE0"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C28DB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1D885F02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ISO 16111:2008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14:paraId="13B19689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u w:val="single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Переносные емкости для хранения газа – Водород, поглощаемый обратимым </w:t>
            </w:r>
            <w:proofErr w:type="spellStart"/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металлгидридом</w:t>
            </w:r>
            <w:proofErr w:type="spellEnd"/>
          </w:p>
        </w:tc>
      </w:tr>
    </w:tbl>
    <w:p w14:paraId="64D4AC7E" w14:textId="77777777" w:rsidR="009514FA" w:rsidRPr="009514FA" w:rsidRDefault="009514FA" w:rsidP="009514FA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Таблица 2: Даты изготовления, применимые к предохранительным колпакам и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 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защитным устройствам вентилей, установленных на сосудах под давлением, </w:t>
      </w: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br/>
        <w:t>кроме сосудов “UN”</w:t>
      </w:r>
    </w:p>
    <w:tbl>
      <w:tblPr>
        <w:tblW w:w="832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4773"/>
        <w:gridCol w:w="1615"/>
      </w:tblGrid>
      <w:tr w:rsidR="009514FA" w:rsidRPr="009514FA" w14:paraId="77B0C02C" w14:textId="77777777" w:rsidTr="003F3CE0">
        <w:tc>
          <w:tcPr>
            <w:tcW w:w="1941" w:type="dxa"/>
            <w:shd w:val="clear" w:color="auto" w:fill="auto"/>
            <w:vAlign w:val="center"/>
          </w:tcPr>
          <w:p w14:paraId="4DEA3FEE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t>Ссылка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EA3655A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t>Наименование документа</w:t>
            </w:r>
          </w:p>
        </w:tc>
        <w:tc>
          <w:tcPr>
            <w:tcW w:w="1615" w:type="dxa"/>
            <w:shd w:val="clear" w:color="auto" w:fill="auto"/>
          </w:tcPr>
          <w:p w14:paraId="4D740A02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t>Применяется в</w:t>
            </w: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en-US" w:eastAsia="en-US"/>
              </w:rPr>
              <w:t> </w:t>
            </w:r>
            <w:r w:rsidRPr="009514FA">
              <w:rPr>
                <w:rFonts w:ascii="Times New Roman" w:eastAsia="Calibri" w:hAnsi="Times New Roman" w:cs="Arial"/>
                <w:b/>
                <w:bCs/>
                <w:sz w:val="20"/>
                <w:lang w:val="ru-RU" w:eastAsia="en-US"/>
              </w:rPr>
              <w:t>отношении изготовления</w:t>
            </w:r>
          </w:p>
        </w:tc>
      </w:tr>
      <w:tr w:rsidR="009514FA" w:rsidRPr="009514FA" w14:paraId="6128FE87" w14:textId="77777777" w:rsidTr="003F3CE0">
        <w:tc>
          <w:tcPr>
            <w:tcW w:w="1941" w:type="dxa"/>
            <w:shd w:val="clear" w:color="auto" w:fill="auto"/>
          </w:tcPr>
          <w:p w14:paraId="52C942D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ISO 11117:1998</w:t>
            </w:r>
          </w:p>
        </w:tc>
        <w:tc>
          <w:tcPr>
            <w:tcW w:w="4773" w:type="dxa"/>
            <w:shd w:val="clear" w:color="auto" w:fill="auto"/>
          </w:tcPr>
          <w:p w14:paraId="0E15C01F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Газовые баллоны – Предохранительные колпаки вентилей и защитные устройства вентилей на 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lastRenderedPageBreak/>
              <w:t>баллонах для промышленных и медицинских газов – Конструкция, изготовление и испытания</w:t>
            </w:r>
          </w:p>
        </w:tc>
        <w:tc>
          <w:tcPr>
            <w:tcW w:w="1615" w:type="dxa"/>
            <w:shd w:val="clear" w:color="auto" w:fill="auto"/>
          </w:tcPr>
          <w:p w14:paraId="73781776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lastRenderedPageBreak/>
              <w:t>До 31 декабря 2014 года</w:t>
            </w:r>
          </w:p>
        </w:tc>
      </w:tr>
      <w:tr w:rsidR="009514FA" w:rsidRPr="009514FA" w14:paraId="77AD86D8" w14:textId="77777777" w:rsidTr="003F3CE0">
        <w:tc>
          <w:tcPr>
            <w:tcW w:w="1941" w:type="dxa"/>
            <w:shd w:val="clear" w:color="auto" w:fill="auto"/>
          </w:tcPr>
          <w:p w14:paraId="7CB97A33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EN ISO 11117:</w:t>
            </w: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br/>
              <w:t xml:space="preserve">2008 + </w:t>
            </w:r>
            <w:proofErr w:type="spellStart"/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Cor</w:t>
            </w:r>
            <w:proofErr w:type="spellEnd"/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 1:2009</w:t>
            </w:r>
          </w:p>
        </w:tc>
        <w:tc>
          <w:tcPr>
            <w:tcW w:w="4773" w:type="dxa"/>
            <w:shd w:val="clear" w:color="auto" w:fill="auto"/>
          </w:tcPr>
          <w:p w14:paraId="7291EBB6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– Предохранительные колпаки вентилей и защитные устройства вентилей – Конструкция, изготовление и испытания</w:t>
            </w:r>
          </w:p>
        </w:tc>
        <w:tc>
          <w:tcPr>
            <w:tcW w:w="1615" w:type="dxa"/>
            <w:shd w:val="clear" w:color="auto" w:fill="auto"/>
          </w:tcPr>
          <w:p w14:paraId="630CA89D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31 декабря 2024 года</w:t>
            </w:r>
          </w:p>
        </w:tc>
      </w:tr>
      <w:tr w:rsidR="009514FA" w:rsidRPr="009514FA" w14:paraId="5DF664F3" w14:textId="77777777" w:rsidTr="003F3CE0">
        <w:tc>
          <w:tcPr>
            <w:tcW w:w="1941" w:type="dxa"/>
            <w:shd w:val="clear" w:color="auto" w:fill="auto"/>
          </w:tcPr>
          <w:p w14:paraId="571AF751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Cs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EN ISO 11117:2019</w:t>
            </w:r>
          </w:p>
        </w:tc>
        <w:tc>
          <w:tcPr>
            <w:tcW w:w="4773" w:type="dxa"/>
            <w:shd w:val="clear" w:color="auto" w:fill="auto"/>
          </w:tcPr>
          <w:p w14:paraId="408EB92A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Cs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Газовые баллоны – Предохранительные колпаки и защитные устройства вентилей – Конструкция, изготовление и испытания</w:t>
            </w:r>
          </w:p>
        </w:tc>
        <w:tc>
          <w:tcPr>
            <w:tcW w:w="1615" w:type="dxa"/>
            <w:shd w:val="clear" w:color="auto" w:fill="auto"/>
          </w:tcPr>
          <w:p w14:paraId="3E6258D3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bCs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дальнейшего указания</w:t>
            </w:r>
          </w:p>
        </w:tc>
      </w:tr>
      <w:tr w:rsidR="009514FA" w:rsidRPr="009514FA" w14:paraId="1FC748BE" w14:textId="77777777" w:rsidTr="003F3CE0">
        <w:tc>
          <w:tcPr>
            <w:tcW w:w="1941" w:type="dxa"/>
            <w:shd w:val="clear" w:color="auto" w:fill="auto"/>
          </w:tcPr>
          <w:p w14:paraId="508BB75C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EN 962:1996 +А2:2000</w:t>
            </w:r>
          </w:p>
        </w:tc>
        <w:tc>
          <w:tcPr>
            <w:tcW w:w="4773" w:type="dxa"/>
            <w:shd w:val="clear" w:color="auto" w:fill="auto"/>
          </w:tcPr>
          <w:p w14:paraId="1B0632A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Переносные газовые баллоны – Предохранительные колпаки вентилей и защитные устройства вентилей на баллонах для промышленных и медицинских газов – Конструкция, изготовление и испытания</w:t>
            </w:r>
          </w:p>
        </w:tc>
        <w:tc>
          <w:tcPr>
            <w:tcW w:w="1615" w:type="dxa"/>
            <w:shd w:val="clear" w:color="auto" w:fill="auto"/>
          </w:tcPr>
          <w:p w14:paraId="57D19ED5" w14:textId="77777777" w:rsidR="009514FA" w:rsidRPr="009514FA" w:rsidRDefault="009514FA" w:rsidP="009514FA">
            <w:pPr>
              <w:tabs>
                <w:tab w:val="left" w:pos="1418"/>
                <w:tab w:val="left" w:pos="1843"/>
              </w:tabs>
              <w:kinsoku/>
              <w:overflowPunct/>
              <w:autoSpaceDE/>
              <w:autoSpaceDN/>
              <w:adjustRightInd/>
              <w:snapToGrid/>
              <w:spacing w:before="40" w:after="4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9514FA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31 декабря 2014 года</w:t>
            </w:r>
          </w:p>
        </w:tc>
      </w:tr>
    </w:tbl>
    <w:p w14:paraId="3B3E6210" w14:textId="77777777" w:rsidR="009514FA" w:rsidRPr="009514FA" w:rsidRDefault="009514FA" w:rsidP="009514FA">
      <w:pPr>
        <w:kinsoku/>
        <w:overflowPunct/>
        <w:autoSpaceDE/>
        <w:autoSpaceDN/>
        <w:adjustRightInd/>
        <w:snapToGrid/>
        <w:spacing w:before="120"/>
        <w:ind w:left="1134" w:right="1134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9514F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</w:t>
      </w:r>
    </w:p>
    <w:p w14:paraId="6344CCC3" w14:textId="2EBE3DAF" w:rsidR="009514FA" w:rsidRPr="009514FA" w:rsidRDefault="009514FA" w:rsidP="009514FA">
      <w:pPr>
        <w:kinsoku/>
        <w:overflowPunct/>
        <w:autoSpaceDE/>
        <w:autoSpaceDN/>
        <w:adjustRightInd/>
        <w:snapToGrid/>
        <w:spacing w:before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9514F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ECE/TRANS/WP.15/AC.1/2020/46 с поправками</w:t>
      </w:r>
      <w:r w:rsidR="0012590A">
        <w:rPr>
          <w:rFonts w:ascii="Times New Roman" w:eastAsia="Times New Roman" w:hAnsi="Times New Roman" w:cs="Times New Roman"/>
          <w:i/>
          <w:iCs/>
          <w:sz w:val="20"/>
          <w:szCs w:val="20"/>
          <w:lang w:val="fr-CH" w:eastAsia="en-US"/>
        </w:rPr>
        <w:t xml:space="preserve"> </w:t>
      </w:r>
      <w:r w:rsidR="0012590A" w:rsidRPr="009514F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и</w:t>
      </w:r>
      <w:r w:rsidR="0012590A">
        <w:rPr>
          <w:rFonts w:ascii="Times New Roman" w:eastAsia="Times New Roman" w:hAnsi="Times New Roman" w:cs="Times New Roman"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="0012590A" w:rsidRPr="0012590A">
        <w:rPr>
          <w:rFonts w:ascii="Times New Roman" w:eastAsia="Times New Roman" w:hAnsi="Times New Roman" w:cs="Times New Roman"/>
          <w:i/>
          <w:iCs/>
          <w:sz w:val="20"/>
          <w:szCs w:val="20"/>
          <w:lang w:val="fr-CH" w:eastAsia="en-US"/>
        </w:rPr>
        <w:t>неофициальный</w:t>
      </w:r>
      <w:proofErr w:type="spellEnd"/>
      <w:r w:rsidR="0012590A" w:rsidRPr="0012590A">
        <w:rPr>
          <w:rFonts w:ascii="Times New Roman" w:eastAsia="Times New Roman" w:hAnsi="Times New Roman" w:cs="Times New Roman"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="0012590A" w:rsidRPr="0012590A">
        <w:rPr>
          <w:rFonts w:ascii="Times New Roman" w:eastAsia="Times New Roman" w:hAnsi="Times New Roman" w:cs="Times New Roman"/>
          <w:i/>
          <w:iCs/>
          <w:sz w:val="20"/>
          <w:szCs w:val="20"/>
          <w:lang w:val="fr-CH" w:eastAsia="en-US"/>
        </w:rPr>
        <w:t>документ</w:t>
      </w:r>
      <w:proofErr w:type="spellEnd"/>
      <w:r w:rsidR="0012590A" w:rsidRPr="0012590A">
        <w:rPr>
          <w:rFonts w:ascii="Times New Roman" w:eastAsia="Times New Roman" w:hAnsi="Times New Roman" w:cs="Times New Roman"/>
          <w:i/>
          <w:iCs/>
          <w:sz w:val="20"/>
          <w:szCs w:val="20"/>
          <w:lang w:val="fr-CH" w:eastAsia="en-US"/>
        </w:rPr>
        <w:t xml:space="preserve"> INF.53/Rev.2</w:t>
      </w:r>
      <w:r w:rsidRPr="009514F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)</w:t>
      </w:r>
    </w:p>
    <w:p w14:paraId="34128C7D" w14:textId="77777777" w:rsidR="00014A57" w:rsidRPr="00014A57" w:rsidRDefault="00014A57" w:rsidP="00014A5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14A5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014A5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014A5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4.3</w:t>
      </w:r>
    </w:p>
    <w:p w14:paraId="4230DA17" w14:textId="77777777" w:rsidR="008712D5" w:rsidRPr="008712D5" w:rsidRDefault="008712D5" w:rsidP="008712D5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8712D5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4.3.3.3.2 </w:t>
      </w:r>
      <w:r w:rsidRPr="008712D5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 xml:space="preserve">Исключить текст и добавить «4.3.3.3.2 </w:t>
      </w:r>
      <w:r w:rsidRPr="008712D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</w:t>
      </w:r>
      <w:proofErr w:type="spellStart"/>
      <w:r w:rsidRPr="008712D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Иcключен</w:t>
      </w:r>
      <w:proofErr w:type="spellEnd"/>
      <w:r w:rsidRPr="008712D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)</w:t>
      </w:r>
      <w:r w:rsidRPr="008712D5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».</w:t>
      </w:r>
    </w:p>
    <w:p w14:paraId="236548CF" w14:textId="77777777" w:rsidR="002E7DB4" w:rsidRPr="002E7DB4" w:rsidRDefault="002E7DB4" w:rsidP="002E7DB4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2E7DB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(Справочные документы: неофициальный документ INF.64 и ECE/TRANS/WP.15/AC.1/</w:t>
      </w:r>
      <w:r w:rsidRPr="002E7DB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br/>
        <w:t>2020/26)</w:t>
      </w:r>
    </w:p>
    <w:p w14:paraId="732AEF70" w14:textId="77777777" w:rsidR="00054599" w:rsidRPr="00054599" w:rsidRDefault="00054599" w:rsidP="002E7DB4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5459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05459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05459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5.3</w:t>
      </w:r>
    </w:p>
    <w:p w14:paraId="5130875C" w14:textId="77777777" w:rsidR="00054599" w:rsidRPr="00054599" w:rsidRDefault="00054599" w:rsidP="00054599">
      <w:pPr>
        <w:kinsoku/>
        <w:overflowPunct/>
        <w:autoSpaceDE/>
        <w:autoSpaceDN/>
        <w:adjustRightInd/>
        <w:snapToGrid/>
        <w:spacing w:after="120"/>
        <w:ind w:left="2257" w:right="1134" w:hanging="112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5459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5.3.2.1.5</w:t>
      </w:r>
      <w:r w:rsidRPr="0005459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 примечание следующим образом:</w:t>
      </w:r>
    </w:p>
    <w:p w14:paraId="4DC5AF02" w14:textId="77777777" w:rsidR="00054599" w:rsidRPr="00054599" w:rsidRDefault="00054599" w:rsidP="00054599">
      <w:pPr>
        <w:tabs>
          <w:tab w:val="left" w:pos="2968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5459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«</w:t>
      </w:r>
      <w:r w:rsidRPr="000545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en-US"/>
        </w:rPr>
        <w:t>ПРИМЕЧАНИЕ:</w:t>
      </w:r>
      <w:r w:rsidRPr="0005459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05459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Настоящий пункт необязательно применять к вагонам/ транспортным средствам, перевозящим контейнеры для массовых грузов, цистерны и МЭГК максимальной вместимостью 3000 л.</w:t>
      </w:r>
      <w:r w:rsidRPr="0005459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».</w:t>
      </w:r>
    </w:p>
    <w:p w14:paraId="33D7D0B8" w14:textId="77777777" w:rsidR="00054599" w:rsidRPr="00054599" w:rsidRDefault="00054599" w:rsidP="0005459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05459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INF.61 с поправками)</w:t>
      </w:r>
    </w:p>
    <w:p w14:paraId="1374B7B8" w14:textId="77777777" w:rsidR="00EC26DB" w:rsidRPr="00EC26DB" w:rsidRDefault="00EC26DB" w:rsidP="00EC26DB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C26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EC26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EC26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6.2</w:t>
      </w:r>
    </w:p>
    <w:p w14:paraId="7FB8B8A0" w14:textId="77777777" w:rsidR="00EC26DB" w:rsidRPr="00EC26DB" w:rsidRDefault="00EC26DB" w:rsidP="00EC26DB">
      <w:pPr>
        <w:kinsoku/>
        <w:overflowPunct/>
        <w:autoSpaceDE/>
        <w:autoSpaceDN/>
        <w:adjustRightInd/>
        <w:snapToGrid/>
        <w:spacing w:after="240"/>
        <w:ind w:left="2259" w:right="1134" w:hanging="112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EC26D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6.2.3.5.1</w:t>
      </w:r>
      <w:r w:rsidRPr="00EC26D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примечании 2 заменить «EN ISO 16148:2016» на «EN ISO 16148:2016 + A1:2020».</w:t>
      </w:r>
    </w:p>
    <w:p w14:paraId="6C8FC776" w14:textId="77777777" w:rsidR="00EC26DB" w:rsidRPr="00EC26DB" w:rsidRDefault="00EC26DB" w:rsidP="00EC26DB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EC26D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INF.53/Rev.2)</w:t>
      </w:r>
    </w:p>
    <w:p w14:paraId="53C13EE4" w14:textId="77777777" w:rsidR="0066054E" w:rsidRPr="0066054E" w:rsidRDefault="0066054E" w:rsidP="0066054E">
      <w:pPr>
        <w:kinsoku/>
        <w:overflowPunct/>
        <w:autoSpaceDE/>
        <w:autoSpaceDN/>
        <w:adjustRightInd/>
        <w:snapToGrid/>
        <w:spacing w:after="24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054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6.2.4.1</w:t>
      </w:r>
      <w:r w:rsidRPr="0066054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054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таблице, под заголовком «Для конструкции и изготовления» добавить новую строку следующего содержания: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155"/>
        <w:gridCol w:w="1344"/>
        <w:gridCol w:w="761"/>
      </w:tblGrid>
      <w:tr w:rsidR="0066054E" w:rsidRPr="0066054E" w14:paraId="3DBCBAC2" w14:textId="77777777" w:rsidTr="003F3CE0">
        <w:tc>
          <w:tcPr>
            <w:tcW w:w="1701" w:type="dxa"/>
            <w:vAlign w:val="center"/>
          </w:tcPr>
          <w:p w14:paraId="379686B2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EN 17339:2020 </w:t>
            </w:r>
          </w:p>
          <w:p w14:paraId="24BA3AA6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  <w:tc>
          <w:tcPr>
            <w:tcW w:w="3686" w:type="dxa"/>
          </w:tcPr>
          <w:p w14:paraId="1768BFEF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12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Переносные газовые баллоны — Полностью обмотанные углеродные композитные баллоны и трубки для водорода</w:t>
            </w:r>
          </w:p>
        </w:tc>
        <w:tc>
          <w:tcPr>
            <w:tcW w:w="1155" w:type="dxa"/>
            <w:vAlign w:val="center"/>
          </w:tcPr>
          <w:p w14:paraId="2897EE32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6.2.3.1 и 6.2.3.4</w:t>
            </w:r>
          </w:p>
        </w:tc>
        <w:tc>
          <w:tcPr>
            <w:tcW w:w="1344" w:type="dxa"/>
            <w:vAlign w:val="center"/>
          </w:tcPr>
          <w:p w14:paraId="6799BABF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дальнейшего указания</w:t>
            </w:r>
          </w:p>
        </w:tc>
        <w:tc>
          <w:tcPr>
            <w:tcW w:w="761" w:type="dxa"/>
            <w:vAlign w:val="center"/>
          </w:tcPr>
          <w:p w14:paraId="0F9E0F46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</w:tr>
    </w:tbl>
    <w:p w14:paraId="0C558583" w14:textId="77777777" w:rsidR="0066054E" w:rsidRPr="0066054E" w:rsidRDefault="0066054E" w:rsidP="0066054E">
      <w:pPr>
        <w:tabs>
          <w:tab w:val="left" w:pos="2268"/>
        </w:tabs>
        <w:kinsoku/>
        <w:overflowPunct/>
        <w:autoSpaceDE/>
        <w:autoSpaceDN/>
        <w:adjustRightInd/>
        <w:snapToGrid/>
        <w:spacing w:before="24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054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таблице, под заголовком «Для затворов»:</w:t>
      </w:r>
    </w:p>
    <w:p w14:paraId="47EFAEAF" w14:textId="77777777" w:rsidR="0066054E" w:rsidRPr="0066054E" w:rsidRDefault="0066054E" w:rsidP="0066054E">
      <w:pPr>
        <w:tabs>
          <w:tab w:val="num" w:pos="2506"/>
        </w:tabs>
        <w:kinsoku/>
        <w:overflowPunct/>
        <w:autoSpaceDE/>
        <w:autoSpaceDN/>
        <w:adjustRightInd/>
        <w:snapToGrid/>
        <w:spacing w:after="120"/>
        <w:ind w:left="2535" w:right="1134" w:hanging="22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60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стандарта «EN 13175:2019 (за исключением пункта 6.1.6)» в колонке 4 заменить «До дальнейшего указания» на «С 1 января 2021 года до 31 декабря 2024 года». После строки для стандарта «EN 13175:2019 (за исключением пункта 6.1.6)» включить строку следующего содержания: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155"/>
        <w:gridCol w:w="1344"/>
        <w:gridCol w:w="761"/>
      </w:tblGrid>
      <w:tr w:rsidR="0066054E" w:rsidRPr="0066054E" w14:paraId="064F61AC" w14:textId="77777777" w:rsidTr="003F3CE0">
        <w:tc>
          <w:tcPr>
            <w:tcW w:w="1701" w:type="dxa"/>
            <w:vAlign w:val="center"/>
          </w:tcPr>
          <w:p w14:paraId="510D3CF9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EN 13175:2019 + A1:2020</w:t>
            </w:r>
          </w:p>
        </w:tc>
        <w:tc>
          <w:tcPr>
            <w:tcW w:w="3686" w:type="dxa"/>
          </w:tcPr>
          <w:p w14:paraId="03E90EA7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12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Оборудование для СНГ и его вспомогательные приспособления — Технические требования к вентилям и фитингам сосудов под давлением для </w:t>
            </w: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lastRenderedPageBreak/>
              <w:t>сжиженного нефтяного газа (СНГ) и их испытания</w:t>
            </w:r>
          </w:p>
        </w:tc>
        <w:tc>
          <w:tcPr>
            <w:tcW w:w="1155" w:type="dxa"/>
            <w:vAlign w:val="center"/>
          </w:tcPr>
          <w:p w14:paraId="1EE3C941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lastRenderedPageBreak/>
              <w:t>6.2.3.1 и 6.2.3.3</w:t>
            </w:r>
          </w:p>
        </w:tc>
        <w:tc>
          <w:tcPr>
            <w:tcW w:w="1344" w:type="dxa"/>
            <w:vAlign w:val="center"/>
          </w:tcPr>
          <w:p w14:paraId="23AC7903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дальнейшего указания</w:t>
            </w:r>
          </w:p>
        </w:tc>
        <w:tc>
          <w:tcPr>
            <w:tcW w:w="761" w:type="dxa"/>
            <w:vAlign w:val="center"/>
          </w:tcPr>
          <w:p w14:paraId="2AAB3CFC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</w:tr>
    </w:tbl>
    <w:p w14:paraId="2E62B9F5" w14:textId="77777777" w:rsidR="0066054E" w:rsidRPr="0066054E" w:rsidRDefault="0066054E" w:rsidP="0066054E">
      <w:pPr>
        <w:tabs>
          <w:tab w:val="num" w:pos="2506"/>
        </w:tabs>
        <w:kinsoku/>
        <w:overflowPunct/>
        <w:autoSpaceDE/>
        <w:autoSpaceDN/>
        <w:adjustRightInd/>
        <w:snapToGrid/>
        <w:spacing w:before="240" w:after="120"/>
        <w:ind w:left="2535" w:right="1134" w:hanging="22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60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стандарта «EN 13953:2015» в колонке 4 заменить «До дальнейшего указания» на «С 1 января 2017 года до 31 декабря 2024 года». После строки для стандарта «EN 13953:2015» включить строку следующего содержания: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155"/>
        <w:gridCol w:w="1344"/>
        <w:gridCol w:w="761"/>
      </w:tblGrid>
      <w:tr w:rsidR="0066054E" w:rsidRPr="0066054E" w14:paraId="392ACC73" w14:textId="77777777" w:rsidTr="003F3CE0">
        <w:tc>
          <w:tcPr>
            <w:tcW w:w="1701" w:type="dxa"/>
            <w:vAlign w:val="center"/>
          </w:tcPr>
          <w:p w14:paraId="1C84C7DE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EN 13953:2020</w:t>
            </w:r>
          </w:p>
        </w:tc>
        <w:tc>
          <w:tcPr>
            <w:tcW w:w="3686" w:type="dxa"/>
          </w:tcPr>
          <w:p w14:paraId="2CF45DA6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12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 xml:space="preserve">Оборудование для СНГ и его вспомогательные приспособления — Клапаны повышенного давления переносных баллонов многоразового использования для сжиженного нефтяного газа (СНГ) </w:t>
            </w:r>
          </w:p>
        </w:tc>
        <w:tc>
          <w:tcPr>
            <w:tcW w:w="1155" w:type="dxa"/>
            <w:vAlign w:val="center"/>
          </w:tcPr>
          <w:p w14:paraId="35B98684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6.2.3.1, 6.2.3.3 и 6.2.3.4</w:t>
            </w:r>
          </w:p>
        </w:tc>
        <w:tc>
          <w:tcPr>
            <w:tcW w:w="1344" w:type="dxa"/>
            <w:vAlign w:val="center"/>
          </w:tcPr>
          <w:p w14:paraId="296A4E4C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66054E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дальнейшего указания</w:t>
            </w:r>
          </w:p>
        </w:tc>
        <w:tc>
          <w:tcPr>
            <w:tcW w:w="761" w:type="dxa"/>
            <w:vAlign w:val="center"/>
          </w:tcPr>
          <w:p w14:paraId="6E4A7300" w14:textId="77777777" w:rsidR="0066054E" w:rsidRPr="0066054E" w:rsidRDefault="0066054E" w:rsidP="0066054E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</w:tr>
    </w:tbl>
    <w:p w14:paraId="39F21E96" w14:textId="77777777" w:rsidR="0066054E" w:rsidRPr="0066054E" w:rsidRDefault="0066054E" w:rsidP="0066054E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66054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INF.53/Rev.2)</w:t>
      </w:r>
    </w:p>
    <w:p w14:paraId="6F72A9B4" w14:textId="77777777" w:rsidR="00E0458D" w:rsidRPr="00E0458D" w:rsidRDefault="00E0458D" w:rsidP="00E0458D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  <w:r w:rsidRPr="00E0458D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>6.2.5.4.2</w:t>
      </w:r>
      <w:r w:rsidRPr="00E0458D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ab/>
      </w:r>
      <w:r w:rsidRPr="00E0458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Заменить</w:t>
      </w:r>
      <w:r w:rsidRPr="00E0458D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 «EN 1975:1999 + A1:2003» </w:t>
      </w:r>
      <w:r w:rsidRPr="00E0458D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на</w:t>
      </w:r>
      <w:r w:rsidRPr="00E0458D"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  <w:t xml:space="preserve"> «EN ISO 7866:2012 + AC:2014».</w:t>
      </w:r>
    </w:p>
    <w:p w14:paraId="1CE54605" w14:textId="77777777" w:rsidR="00E0458D" w:rsidRPr="00E0458D" w:rsidRDefault="00E0458D" w:rsidP="00E0458D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E0458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INF.53/Rev.2)</w:t>
      </w:r>
    </w:p>
    <w:p w14:paraId="29C50A3C" w14:textId="77777777" w:rsidR="00F573DC" w:rsidRPr="00F573DC" w:rsidRDefault="00F573DC" w:rsidP="00AD7424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F573D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F573D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F57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Глава 6.8</w:t>
      </w:r>
    </w:p>
    <w:p w14:paraId="6F24DBCB" w14:textId="487224EC" w:rsidR="00150167" w:rsidRPr="00150167" w:rsidRDefault="00150167" w:rsidP="00150167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50167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6.8.2.2.1</w:t>
      </w:r>
      <w:r w:rsidRPr="00150167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После первого предложения добавить следующее новое предложение:</w:t>
      </w:r>
    </w:p>
    <w:p w14:paraId="7410FCE5" w14:textId="77777777" w:rsidR="00150167" w:rsidRPr="00150167" w:rsidRDefault="00150167" w:rsidP="00150167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50167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«Сварные элементы должны быть прикреплены к корпусу так, чтобы не допустить разрыва корпуса.».</w:t>
      </w:r>
    </w:p>
    <w:p w14:paraId="0ADB51BB" w14:textId="77777777" w:rsidR="00E92FD2" w:rsidRPr="00E92FD2" w:rsidRDefault="00E92FD2" w:rsidP="00E92FD2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E92FD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(Справочные документы: неофициальный документ INF.64, ECE/TRANS/WP.15/AC.1/</w:t>
      </w:r>
      <w:r w:rsidRPr="00E92FD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br/>
        <w:t>2020/6 и неофициальный документ INF.45)</w:t>
      </w:r>
    </w:p>
    <w:p w14:paraId="004580BF" w14:textId="19771E6C" w:rsidR="002451C8" w:rsidRPr="002451C8" w:rsidRDefault="002451C8" w:rsidP="002451C8">
      <w:pPr>
        <w:tabs>
          <w:tab w:val="left" w:pos="2977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2451C8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6.8.2.6.1</w:t>
      </w:r>
      <w:r w:rsidRPr="002451C8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таблице, под заголовком «Для оборудования»:</w:t>
      </w:r>
    </w:p>
    <w:p w14:paraId="0568BD49" w14:textId="77777777" w:rsidR="002451C8" w:rsidRPr="002451C8" w:rsidRDefault="002451C8" w:rsidP="002451C8">
      <w:pPr>
        <w:tabs>
          <w:tab w:val="num" w:pos="2506"/>
        </w:tabs>
        <w:kinsoku/>
        <w:overflowPunct/>
        <w:autoSpaceDE/>
        <w:autoSpaceDN/>
        <w:adjustRightInd/>
        <w:snapToGrid/>
        <w:spacing w:after="120"/>
        <w:ind w:left="2534" w:right="1134" w:hanging="22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451C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стандарта «EN 13175:2019 (за исключением пункта 6.1.6)» в колонке 4 заменить «До дальнейшего указания» на «С 1 января 2021 года до 31 декабря 2024 года». После строки для стандарта «EN 13175:2019 (за исключением пункта 6.1.6)» включить строку следующего содержания: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155"/>
        <w:gridCol w:w="1344"/>
        <w:gridCol w:w="761"/>
      </w:tblGrid>
      <w:tr w:rsidR="002451C8" w:rsidRPr="002451C8" w14:paraId="0F092CDD" w14:textId="77777777" w:rsidTr="003F3CE0">
        <w:tc>
          <w:tcPr>
            <w:tcW w:w="1701" w:type="dxa"/>
            <w:vAlign w:val="center"/>
          </w:tcPr>
          <w:p w14:paraId="1E325F35" w14:textId="77777777" w:rsidR="002451C8" w:rsidRPr="002451C8" w:rsidRDefault="002451C8" w:rsidP="002451C8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2451C8">
              <w:rPr>
                <w:rFonts w:ascii="Times New Roman" w:eastAsia="Calibri" w:hAnsi="Times New Roman" w:cs="Arial"/>
                <w:sz w:val="20"/>
                <w:lang w:val="ru-RU" w:eastAsia="en-US"/>
              </w:rPr>
              <w:t>EN 13175:2019 + A1:2020</w:t>
            </w:r>
          </w:p>
        </w:tc>
        <w:tc>
          <w:tcPr>
            <w:tcW w:w="3686" w:type="dxa"/>
          </w:tcPr>
          <w:p w14:paraId="0D7B3342" w14:textId="77777777" w:rsidR="002451C8" w:rsidRPr="002451C8" w:rsidRDefault="002451C8" w:rsidP="002451C8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12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2451C8">
              <w:rPr>
                <w:rFonts w:ascii="Times New Roman" w:eastAsia="Calibri" w:hAnsi="Times New Roman" w:cs="Arial"/>
                <w:sz w:val="20"/>
                <w:lang w:val="ru-RU" w:eastAsia="en-US"/>
              </w:rPr>
              <w:t>Оборудование для СНГ и его вспомогательные приспособления — Технические требования к вентилям и фитингам сосудов под давлением для сжиженного нефтяного газа (СНГ) и их испытания</w:t>
            </w:r>
          </w:p>
        </w:tc>
        <w:tc>
          <w:tcPr>
            <w:tcW w:w="1155" w:type="dxa"/>
            <w:vAlign w:val="center"/>
          </w:tcPr>
          <w:p w14:paraId="4A6A24B5" w14:textId="77777777" w:rsidR="002451C8" w:rsidRPr="002451C8" w:rsidRDefault="002451C8" w:rsidP="002451C8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2451C8">
              <w:rPr>
                <w:rFonts w:ascii="Times New Roman" w:eastAsia="Calibri" w:hAnsi="Times New Roman" w:cs="Arial"/>
                <w:sz w:val="20"/>
                <w:lang w:val="ru-RU" w:eastAsia="en-US"/>
              </w:rPr>
              <w:t>6.8.2.1.1, 6.8.2.2, 6.8.2.4.1 и 6.8.3.2.3</w:t>
            </w:r>
          </w:p>
        </w:tc>
        <w:tc>
          <w:tcPr>
            <w:tcW w:w="1344" w:type="dxa"/>
            <w:vAlign w:val="center"/>
          </w:tcPr>
          <w:p w14:paraId="650F1F03" w14:textId="77777777" w:rsidR="002451C8" w:rsidRPr="002451C8" w:rsidRDefault="002451C8" w:rsidP="002451C8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  <w:r w:rsidRPr="002451C8">
              <w:rPr>
                <w:rFonts w:ascii="Times New Roman" w:eastAsia="Calibri" w:hAnsi="Times New Roman" w:cs="Arial"/>
                <w:sz w:val="20"/>
                <w:lang w:val="ru-RU" w:eastAsia="en-US"/>
              </w:rPr>
              <w:t>До дальнейшего указания</w:t>
            </w:r>
          </w:p>
        </w:tc>
        <w:tc>
          <w:tcPr>
            <w:tcW w:w="761" w:type="dxa"/>
            <w:vAlign w:val="center"/>
          </w:tcPr>
          <w:p w14:paraId="1025A3CA" w14:textId="77777777" w:rsidR="002451C8" w:rsidRPr="002451C8" w:rsidRDefault="002451C8" w:rsidP="002451C8">
            <w:pPr>
              <w:widowControl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ascii="Times New Roman" w:eastAsia="Calibri" w:hAnsi="Times New Roman" w:cs="Arial"/>
                <w:sz w:val="20"/>
                <w:lang w:val="ru-RU" w:eastAsia="en-US"/>
              </w:rPr>
            </w:pPr>
          </w:p>
        </w:tc>
      </w:tr>
    </w:tbl>
    <w:p w14:paraId="6E0AE1C4" w14:textId="77777777" w:rsidR="002451C8" w:rsidRPr="002451C8" w:rsidRDefault="002451C8" w:rsidP="002451C8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2451C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(Справочный документ: неофициальный документ INF.53/Rev.2)</w:t>
      </w:r>
    </w:p>
    <w:p w14:paraId="728FA065" w14:textId="77777777" w:rsidR="00145A0A" w:rsidRPr="00145A0A" w:rsidRDefault="00145A0A" w:rsidP="00145A0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45A0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6.8.3.4.6</w:t>
      </w:r>
      <w:r w:rsidRPr="00145A0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 следующим образом:</w:t>
      </w:r>
    </w:p>
    <w:p w14:paraId="1A498492" w14:textId="77777777" w:rsidR="000D301A" w:rsidRPr="000D301A" w:rsidRDefault="000D301A" w:rsidP="000D301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«6.8.3.4.6</w:t>
      </w: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случае цистерн, предназначенных для перевозки охлажденных сжиженных газов:</w:t>
      </w:r>
    </w:p>
    <w:p w14:paraId="116F988D" w14:textId="77777777" w:rsidR="000D301A" w:rsidRPr="000D301A" w:rsidRDefault="000D301A" w:rsidP="000D301A">
      <w:pPr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a)</w:t>
      </w: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 xml:space="preserve">в отступление от требований пункта 6.8.2.4.2 периодические проверки должны проводиться: </w:t>
      </w:r>
    </w:p>
    <w:tbl>
      <w:tblPr>
        <w:tblW w:w="9732" w:type="dxa"/>
        <w:tblLayout w:type="fixed"/>
        <w:tblLook w:val="01E0" w:firstRow="1" w:lastRow="1" w:firstColumn="1" w:lastColumn="1" w:noHBand="0" w:noVBand="0"/>
      </w:tblPr>
      <w:tblGrid>
        <w:gridCol w:w="4962"/>
        <w:gridCol w:w="4770"/>
      </w:tblGrid>
      <w:tr w:rsidR="000D301A" w:rsidRPr="000D301A" w14:paraId="46991192" w14:textId="77777777" w:rsidTr="003F3CE0">
        <w:tc>
          <w:tcPr>
            <w:tcW w:w="4962" w:type="dxa"/>
            <w:tcBorders>
              <w:right w:val="single" w:sz="4" w:space="0" w:color="auto"/>
            </w:tcBorders>
          </w:tcPr>
          <w:p w14:paraId="013C25F4" w14:textId="77777777" w:rsidR="000D301A" w:rsidRPr="000D301A" w:rsidRDefault="000D301A" w:rsidP="000D301A">
            <w:pPr>
              <w:kinsoku/>
              <w:overflowPunct/>
              <w:autoSpaceDE/>
              <w:autoSpaceDN/>
              <w:adjustRightInd/>
              <w:snapToGrid/>
              <w:spacing w:after="120"/>
              <w:ind w:left="1593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en-US"/>
              </w:rPr>
            </w:pPr>
            <w:r w:rsidRPr="000D3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  <w:t>по крайней мере после шести лет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7B88B51D" w14:textId="77777777" w:rsidR="000D301A" w:rsidRPr="000D301A" w:rsidRDefault="000D301A" w:rsidP="000D301A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kinsoku/>
              <w:overflowPunct/>
              <w:autoSpaceDE/>
              <w:autoSpaceDN/>
              <w:adjustRightInd/>
              <w:snapToGrid/>
              <w:ind w:left="1418" w:right="597" w:hanging="1239"/>
              <w:jc w:val="both"/>
              <w:rPr>
                <w:rFonts w:ascii="Times New Roman" w:eastAsia="SimSun" w:hAnsi="Times New Roman" w:cs="Arial"/>
                <w:sz w:val="20"/>
                <w:lang w:val="ru-RU" w:eastAsia="en-US"/>
              </w:rPr>
            </w:pPr>
            <w:r w:rsidRPr="000D301A">
              <w:rPr>
                <w:rFonts w:ascii="Times New Roman" w:eastAsia="Calibri" w:hAnsi="Times New Roman" w:cs="Arial"/>
                <w:sz w:val="20"/>
                <w:lang w:val="ru-RU" w:eastAsia="en-US"/>
              </w:rPr>
              <w:t>по крайней мере после восьми лет</w:t>
            </w:r>
          </w:p>
        </w:tc>
      </w:tr>
    </w:tbl>
    <w:p w14:paraId="7943F2F7" w14:textId="77777777" w:rsidR="000D301A" w:rsidRPr="000D301A" w:rsidRDefault="000D301A" w:rsidP="000D301A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эксплуатации, а затем по крайней мере каждые 12 лет;</w:t>
      </w:r>
    </w:p>
    <w:p w14:paraId="3ECCE145" w14:textId="77777777" w:rsidR="000D301A" w:rsidRPr="000D301A" w:rsidRDefault="000D301A" w:rsidP="000D301A">
      <w:pPr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b)</w:t>
      </w:r>
      <w:r w:rsidRPr="000D301A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в отступление от требований пункта 6.8.2.4.3 промежуточные проверки должны проводиться по крайней мере через шесть лет после каждой периодической проверки.».</w:t>
      </w:r>
    </w:p>
    <w:p w14:paraId="54EAF180" w14:textId="77777777" w:rsidR="000D301A" w:rsidRPr="000D301A" w:rsidRDefault="000D301A" w:rsidP="000D301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0D301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lastRenderedPageBreak/>
        <w:t>(Справочные документы: неофициальный документ INF.64, ECE/TRANS/WP.15/AC.1/</w:t>
      </w:r>
      <w:r w:rsidRPr="000D301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br/>
        <w:t>2020/1 и ECE/TRANS/WP.15/AC.1/2020/7)</w:t>
      </w:r>
    </w:p>
    <w:p w14:paraId="6CE83249" w14:textId="77777777" w:rsidR="00C278F9" w:rsidRPr="00C278F9" w:rsidRDefault="00C278F9" w:rsidP="00C278F9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6.8.4 a), </w:t>
      </w:r>
      <w:proofErr w:type="gramStart"/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TC6</w:t>
      </w: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</w:t>
      </w:r>
      <w:proofErr w:type="gramEnd"/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следующим образом:</w:t>
      </w:r>
    </w:p>
    <w:p w14:paraId="22DE0D76" w14:textId="77777777" w:rsidR="00C278F9" w:rsidRPr="00C278F9" w:rsidRDefault="00C278F9" w:rsidP="00C278F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«Толщина стенки цистерн, изготовленных из алюминия по меньшей мере</w:t>
      </w: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br/>
        <w:t>99-процентной чистоты или из сплава на основе алюминия, необязательно должна превышать 15 мм, даже если расчеты в соответствии с пунктом 6.8.2.1.17 дают более высокое значение.».</w:t>
      </w:r>
    </w:p>
    <w:p w14:paraId="3BB733EC" w14:textId="77777777" w:rsidR="00C278F9" w:rsidRPr="00C278F9" w:rsidRDefault="00C278F9" w:rsidP="00C278F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C278F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(Справочные документы: неофициальный документ INF.64 и ECE/TRANS/WP.15/AC.1/</w:t>
      </w:r>
      <w:r w:rsidRPr="00C278F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br/>
        <w:t>2020/34)</w:t>
      </w:r>
    </w:p>
    <w:p w14:paraId="7E4FA638" w14:textId="77777777" w:rsidR="00C278F9" w:rsidRPr="00C278F9" w:rsidRDefault="00C278F9" w:rsidP="00C278F9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6.8.4 b), </w:t>
      </w:r>
      <w:proofErr w:type="gramStart"/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TE14</w:t>
      </w: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Изменить</w:t>
      </w:r>
      <w:proofErr w:type="gramEnd"/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второе предложение следующим образом:</w:t>
      </w:r>
    </w:p>
    <w:p w14:paraId="50A8A91B" w14:textId="77777777" w:rsidR="00C278F9" w:rsidRPr="00C278F9" w:rsidRDefault="00C278F9" w:rsidP="00C278F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278F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«Температура воспламенения теплоизоляции, находящейся в непосредственном контакте с корпусом и/или элементами системы разогрева, должна превышать не менее чем на 50 °С максимальную температуру, на которую рассчитана цистерна.».</w:t>
      </w:r>
    </w:p>
    <w:p w14:paraId="716C46E6" w14:textId="77777777" w:rsidR="00C278F9" w:rsidRPr="00C278F9" w:rsidRDefault="00C278F9" w:rsidP="00C278F9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</w:pPr>
      <w:r w:rsidRPr="00C278F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(Справочные документы: неофициальный документ INF.64 и ECE/TRANS/WP.15/AC.1/</w:t>
      </w:r>
      <w:r w:rsidRPr="00C278F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br/>
        <w:t>2020/31)</w:t>
      </w:r>
    </w:p>
    <w:p w14:paraId="6997ACA5" w14:textId="007D3F47" w:rsidR="001A5103" w:rsidRPr="00AD7424" w:rsidRDefault="00D42BA3" w:rsidP="00AD7424">
      <w:pPr>
        <w:spacing w:before="240"/>
        <w:jc w:val="center"/>
        <w:rPr>
          <w:u w:val="single"/>
          <w:lang w:val="ru-RU" w:eastAsia="en-US"/>
        </w:rPr>
      </w:pPr>
      <w:r w:rsidRPr="00DC67F4">
        <w:rPr>
          <w:u w:val="single"/>
          <w:lang w:val="ru-RU" w:eastAsia="en-US"/>
        </w:rPr>
        <w:tab/>
      </w:r>
      <w:r w:rsidRPr="00DC67F4">
        <w:rPr>
          <w:u w:val="single"/>
          <w:lang w:val="ru-RU" w:eastAsia="en-US"/>
        </w:rPr>
        <w:tab/>
      </w:r>
      <w:r w:rsidRPr="00DC67F4">
        <w:rPr>
          <w:u w:val="single"/>
          <w:lang w:val="ru-RU" w:eastAsia="en-US"/>
        </w:rPr>
        <w:tab/>
      </w:r>
    </w:p>
    <w:p w14:paraId="7AC72FFF" w14:textId="77777777" w:rsidR="00446FE5" w:rsidRPr="00DC67F4" w:rsidRDefault="00446FE5" w:rsidP="001A5103">
      <w:pPr>
        <w:suppressAutoHyphens w:val="0"/>
        <w:kinsoku/>
        <w:overflowPunct/>
        <w:autoSpaceDE/>
        <w:autoSpaceDN/>
        <w:adjustRightInd/>
        <w:snapToGrid/>
        <w:spacing w:after="160" w:line="259" w:lineRule="auto"/>
        <w:rPr>
          <w:lang w:val="ru-RU"/>
        </w:rPr>
      </w:pPr>
    </w:p>
    <w:sectPr w:rsidR="00446FE5" w:rsidRPr="00DC67F4" w:rsidSect="001A510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8D6E" w14:textId="77777777" w:rsidR="008B484C" w:rsidRDefault="008B484C" w:rsidP="00F95C08">
      <w:pPr>
        <w:spacing w:line="240" w:lineRule="auto"/>
      </w:pPr>
    </w:p>
  </w:endnote>
  <w:endnote w:type="continuationSeparator" w:id="0">
    <w:p w14:paraId="03D75622" w14:textId="77777777" w:rsidR="008B484C" w:rsidRPr="00AC3823" w:rsidRDefault="008B484C" w:rsidP="00AC3823">
      <w:pPr>
        <w:pStyle w:val="Footer"/>
      </w:pPr>
    </w:p>
  </w:endnote>
  <w:endnote w:type="continuationNotice" w:id="1">
    <w:p w14:paraId="3DBD5708" w14:textId="77777777" w:rsidR="008B484C" w:rsidRDefault="008B48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/>
  <w:p w14:paraId="5FA0DCCA" w14:textId="77777777" w:rsidR="001A5103" w:rsidRPr="00FB6780" w:rsidRDefault="001A5103" w:rsidP="001A5103">
    <w:pPr>
      <w:pStyle w:val="Footer"/>
      <w:tabs>
        <w:tab w:val="right" w:pos="9638"/>
      </w:tabs>
      <w:rPr>
        <w:rFonts w:asciiTheme="majorBidi" w:hAnsiTheme="majorBidi" w:cstheme="majorBidi"/>
        <w:b/>
        <w:sz w:val="18"/>
      </w:rPr>
    </w:pPr>
    <w:r w:rsidRPr="00FB6780">
      <w:rPr>
        <w:rFonts w:asciiTheme="majorBidi" w:hAnsiTheme="majorBidi" w:cstheme="majorBidi"/>
        <w:b/>
        <w:sz w:val="18"/>
      </w:rPr>
      <w:fldChar w:fldCharType="begin"/>
    </w:r>
    <w:r w:rsidRPr="00FB6780">
      <w:rPr>
        <w:rFonts w:asciiTheme="majorBidi" w:hAnsiTheme="majorBidi" w:cstheme="majorBidi"/>
        <w:b/>
        <w:sz w:val="18"/>
      </w:rPr>
      <w:instrText xml:space="preserve"> PAGE  \* MERGEFORMAT </w:instrText>
    </w:r>
    <w:r w:rsidRPr="00FB6780">
      <w:rPr>
        <w:rFonts w:asciiTheme="majorBidi" w:hAnsiTheme="majorBidi" w:cstheme="majorBidi"/>
        <w:b/>
        <w:sz w:val="18"/>
      </w:rPr>
      <w:fldChar w:fldCharType="separate"/>
    </w:r>
    <w:r w:rsidRPr="00FB6780">
      <w:rPr>
        <w:rFonts w:asciiTheme="majorBidi" w:hAnsiTheme="majorBidi" w:cstheme="majorBidi"/>
        <w:b/>
        <w:noProof/>
        <w:sz w:val="18"/>
      </w:rPr>
      <w:t>2</w:t>
    </w:r>
    <w:r w:rsidRPr="00FB6780">
      <w:rPr>
        <w:rFonts w:asciiTheme="majorBidi" w:hAnsiTheme="majorBidi" w:cstheme="majorBidi"/>
        <w:b/>
        <w:sz w:val="18"/>
      </w:rPr>
      <w:fldChar w:fldCharType="end"/>
    </w:r>
    <w:bookmarkEnd w:id="3"/>
    <w:r w:rsidRPr="00FB6780">
      <w:rPr>
        <w:rFonts w:asciiTheme="majorBidi" w:hAnsiTheme="majorBidi" w:cstheme="majorBidi"/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44AC" w14:textId="77777777" w:rsidR="001A5103" w:rsidRPr="00FB6780" w:rsidRDefault="001A5103" w:rsidP="001A5103">
    <w:pPr>
      <w:pStyle w:val="Footer"/>
      <w:tabs>
        <w:tab w:val="right" w:pos="9638"/>
      </w:tabs>
      <w:rPr>
        <w:rFonts w:asciiTheme="majorBidi" w:hAnsiTheme="majorBidi" w:cstheme="majorBidi"/>
        <w:b/>
        <w:sz w:val="18"/>
      </w:rPr>
    </w:pPr>
    <w:r>
      <w:tab/>
    </w:r>
    <w:r w:rsidRPr="00FB6780">
      <w:rPr>
        <w:rFonts w:asciiTheme="majorBidi" w:hAnsiTheme="majorBidi" w:cstheme="majorBidi"/>
        <w:b/>
        <w:sz w:val="18"/>
      </w:rPr>
      <w:fldChar w:fldCharType="begin"/>
    </w:r>
    <w:r w:rsidRPr="00FB6780">
      <w:rPr>
        <w:rFonts w:asciiTheme="majorBidi" w:hAnsiTheme="majorBidi" w:cstheme="majorBidi"/>
        <w:b/>
        <w:sz w:val="18"/>
      </w:rPr>
      <w:instrText xml:space="preserve"> PAGE  \* MERGEFORMAT </w:instrText>
    </w:r>
    <w:r w:rsidRPr="00FB6780">
      <w:rPr>
        <w:rFonts w:asciiTheme="majorBidi" w:hAnsiTheme="majorBidi" w:cstheme="majorBidi"/>
        <w:b/>
        <w:sz w:val="18"/>
      </w:rPr>
      <w:fldChar w:fldCharType="separate"/>
    </w:r>
    <w:r w:rsidRPr="00FB6780">
      <w:rPr>
        <w:rFonts w:asciiTheme="majorBidi" w:hAnsiTheme="majorBidi" w:cstheme="majorBidi"/>
        <w:b/>
        <w:noProof/>
        <w:sz w:val="18"/>
      </w:rPr>
      <w:t>3</w:t>
    </w:r>
    <w:r w:rsidRPr="00FB6780">
      <w:rPr>
        <w:rFonts w:asciiTheme="majorBidi" w:hAnsiTheme="majorBidi" w:cstheme="majorBidi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817C" w14:textId="0D0AA11E" w:rsidR="001A5103" w:rsidRPr="001A5103" w:rsidRDefault="001A5103" w:rsidP="001A5103">
    <w:pPr>
      <w:pStyle w:val="Footer"/>
      <w:spacing w:before="240"/>
      <w:rPr>
        <w:sz w:val="20"/>
      </w:rPr>
    </w:pPr>
    <w:r>
      <w:rPr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56A5" w14:textId="77777777" w:rsidR="008B484C" w:rsidRPr="00AC3823" w:rsidRDefault="008B48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2F37E7" w14:textId="77777777" w:rsidR="008B484C" w:rsidRPr="00AC3823" w:rsidRDefault="008B48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15B5C7" w14:textId="77777777" w:rsidR="008B484C" w:rsidRPr="00AC3823" w:rsidRDefault="008B484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69D1" w14:textId="77777777" w:rsidR="001A5103" w:rsidRPr="00FB6780" w:rsidRDefault="00FB6780">
    <w:pPr>
      <w:pStyle w:val="Header"/>
      <w:rPr>
        <w:rFonts w:asciiTheme="majorBidi" w:hAnsiTheme="majorBidi" w:cstheme="majorBidi"/>
      </w:rPr>
    </w:pPr>
    <w:r w:rsidRPr="00FB6780">
      <w:rPr>
        <w:rFonts w:asciiTheme="majorBidi" w:hAnsiTheme="majorBidi" w:cstheme="majorBidi"/>
      </w:rPr>
      <w:fldChar w:fldCharType="begin"/>
    </w:r>
    <w:r w:rsidRPr="00FB6780">
      <w:rPr>
        <w:rFonts w:asciiTheme="majorBidi" w:hAnsiTheme="majorBidi" w:cstheme="majorBidi"/>
      </w:rPr>
      <w:instrText xml:space="preserve"> TITLE </w:instrText>
    </w:r>
    <w:r w:rsidRPr="00FB6780">
      <w:rPr>
        <w:rFonts w:asciiTheme="majorBidi" w:hAnsiTheme="majorBidi" w:cstheme="majorBidi"/>
      </w:rPr>
      <w:instrText xml:space="preserve"> \* MERGEFORMAT </w:instrText>
    </w:r>
    <w:r w:rsidRPr="00FB6780">
      <w:rPr>
        <w:rFonts w:asciiTheme="majorBidi" w:hAnsiTheme="majorBidi" w:cstheme="majorBidi"/>
      </w:rPr>
      <w:fldChar w:fldCharType="separate"/>
    </w:r>
    <w:r w:rsidR="001A5103" w:rsidRPr="00FB6780">
      <w:rPr>
        <w:rFonts w:asciiTheme="majorBidi" w:hAnsiTheme="majorBidi" w:cstheme="majorBidi"/>
      </w:rPr>
      <w:t>INF.8</w:t>
    </w:r>
    <w:r w:rsidRPr="00FB6780">
      <w:rPr>
        <w:rFonts w:asciiTheme="majorBidi" w:hAnsiTheme="majorBidi" w:cstheme="majorBid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E28F" w14:textId="77777777" w:rsidR="001A5103" w:rsidRPr="00FB6780" w:rsidRDefault="00FB6780" w:rsidP="001A5103">
    <w:pPr>
      <w:pStyle w:val="Header"/>
      <w:jc w:val="right"/>
      <w:rPr>
        <w:rFonts w:asciiTheme="majorBidi" w:hAnsiTheme="majorBidi" w:cstheme="majorBidi"/>
      </w:rPr>
    </w:pPr>
    <w:r w:rsidRPr="00FB6780">
      <w:rPr>
        <w:rFonts w:asciiTheme="majorBidi" w:hAnsiTheme="majorBidi" w:cstheme="majorBidi"/>
      </w:rPr>
      <w:fldChar w:fldCharType="begin"/>
    </w:r>
    <w:r w:rsidRPr="00FB6780">
      <w:rPr>
        <w:rFonts w:asciiTheme="majorBidi" w:hAnsiTheme="majorBidi" w:cstheme="majorBidi"/>
      </w:rPr>
      <w:instrText xml:space="preserve"> TITLE  \* MERGEFORMAT </w:instrText>
    </w:r>
    <w:r w:rsidRPr="00FB6780">
      <w:rPr>
        <w:rFonts w:asciiTheme="majorBidi" w:hAnsiTheme="majorBidi" w:cstheme="majorBidi"/>
      </w:rPr>
      <w:fldChar w:fldCharType="separate"/>
    </w:r>
    <w:r w:rsidR="001A5103" w:rsidRPr="00FB6780">
      <w:rPr>
        <w:rFonts w:asciiTheme="majorBidi" w:hAnsiTheme="majorBidi" w:cstheme="majorBidi"/>
      </w:rPr>
      <w:t>INF.8</w:t>
    </w:r>
    <w:r w:rsidRPr="00FB6780">
      <w:rPr>
        <w:rFonts w:asciiTheme="majorBidi" w:hAnsiTheme="majorBidi" w:cstheme="majorBid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FC72" w14:textId="4B516B4C" w:rsidR="001A5103" w:rsidRPr="001A5103" w:rsidRDefault="001A5103" w:rsidP="001A5103"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</w:pPr>
    <w:r w:rsidRPr="001A5103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>INF.</w:t>
    </w:r>
    <w:r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>8</w:t>
    </w:r>
    <w:r w:rsidR="00DF447C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 xml:space="preserve"> </w:t>
    </w:r>
    <w:r w:rsidR="00431FBC">
      <w:rPr>
        <w:rFonts w:ascii="Times New Roman" w:eastAsia="Times New Roman" w:hAnsi="Times New Roman" w:cs="Times New Roman"/>
        <w:b/>
        <w:sz w:val="28"/>
        <w:szCs w:val="28"/>
        <w:lang w:val="fr-CH" w:eastAsia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03"/>
    <w:rsid w:val="00004289"/>
    <w:rsid w:val="00014A57"/>
    <w:rsid w:val="000168F4"/>
    <w:rsid w:val="00017F94"/>
    <w:rsid w:val="00023842"/>
    <w:rsid w:val="00032D66"/>
    <w:rsid w:val="000334F9"/>
    <w:rsid w:val="00054599"/>
    <w:rsid w:val="0007796D"/>
    <w:rsid w:val="000B7790"/>
    <w:rsid w:val="000C390E"/>
    <w:rsid w:val="000D301A"/>
    <w:rsid w:val="000F07FB"/>
    <w:rsid w:val="000F4172"/>
    <w:rsid w:val="00103267"/>
    <w:rsid w:val="0011052E"/>
    <w:rsid w:val="00111F2F"/>
    <w:rsid w:val="0012590A"/>
    <w:rsid w:val="0014365E"/>
    <w:rsid w:val="00145A0A"/>
    <w:rsid w:val="0014660A"/>
    <w:rsid w:val="00150167"/>
    <w:rsid w:val="00150DB2"/>
    <w:rsid w:val="00176178"/>
    <w:rsid w:val="001A5103"/>
    <w:rsid w:val="001B1DF2"/>
    <w:rsid w:val="001F525A"/>
    <w:rsid w:val="002070B7"/>
    <w:rsid w:val="00223272"/>
    <w:rsid w:val="00227EFF"/>
    <w:rsid w:val="00237F37"/>
    <w:rsid w:val="002451C8"/>
    <w:rsid w:val="0024779E"/>
    <w:rsid w:val="00250C25"/>
    <w:rsid w:val="0025730C"/>
    <w:rsid w:val="00291F1D"/>
    <w:rsid w:val="0029407C"/>
    <w:rsid w:val="002E7DB4"/>
    <w:rsid w:val="00350987"/>
    <w:rsid w:val="00353ED5"/>
    <w:rsid w:val="003670DE"/>
    <w:rsid w:val="00382A1F"/>
    <w:rsid w:val="00390178"/>
    <w:rsid w:val="003936A9"/>
    <w:rsid w:val="00397630"/>
    <w:rsid w:val="003A7E93"/>
    <w:rsid w:val="003D1AD0"/>
    <w:rsid w:val="00431FBC"/>
    <w:rsid w:val="00446FE5"/>
    <w:rsid w:val="00452396"/>
    <w:rsid w:val="004D1CEB"/>
    <w:rsid w:val="004E288B"/>
    <w:rsid w:val="004F696D"/>
    <w:rsid w:val="0054126B"/>
    <w:rsid w:val="005505B7"/>
    <w:rsid w:val="00573BE5"/>
    <w:rsid w:val="00586ED3"/>
    <w:rsid w:val="00596AA9"/>
    <w:rsid w:val="005B51CC"/>
    <w:rsid w:val="005D7A4B"/>
    <w:rsid w:val="006122C4"/>
    <w:rsid w:val="0066054E"/>
    <w:rsid w:val="006E2C9B"/>
    <w:rsid w:val="006F1DE8"/>
    <w:rsid w:val="006F645D"/>
    <w:rsid w:val="0071601D"/>
    <w:rsid w:val="0076624F"/>
    <w:rsid w:val="00766CEC"/>
    <w:rsid w:val="0079527C"/>
    <w:rsid w:val="007A3089"/>
    <w:rsid w:val="007A62E6"/>
    <w:rsid w:val="007D0A06"/>
    <w:rsid w:val="0080684C"/>
    <w:rsid w:val="0081033E"/>
    <w:rsid w:val="00815502"/>
    <w:rsid w:val="00817C04"/>
    <w:rsid w:val="008712D5"/>
    <w:rsid w:val="00871C75"/>
    <w:rsid w:val="008776DC"/>
    <w:rsid w:val="008A7C2B"/>
    <w:rsid w:val="008B484C"/>
    <w:rsid w:val="008F2A1D"/>
    <w:rsid w:val="00926B1A"/>
    <w:rsid w:val="0093050C"/>
    <w:rsid w:val="009514FA"/>
    <w:rsid w:val="00957790"/>
    <w:rsid w:val="009705C8"/>
    <w:rsid w:val="009E0ACE"/>
    <w:rsid w:val="00A00461"/>
    <w:rsid w:val="00A12AB5"/>
    <w:rsid w:val="00AC3823"/>
    <w:rsid w:val="00AD3959"/>
    <w:rsid w:val="00AD7424"/>
    <w:rsid w:val="00AE323C"/>
    <w:rsid w:val="00AE7D9F"/>
    <w:rsid w:val="00B00181"/>
    <w:rsid w:val="00B24309"/>
    <w:rsid w:val="00B43C66"/>
    <w:rsid w:val="00B547FD"/>
    <w:rsid w:val="00B765F7"/>
    <w:rsid w:val="00BA0CA9"/>
    <w:rsid w:val="00BB3E59"/>
    <w:rsid w:val="00BC17DF"/>
    <w:rsid w:val="00BD1C94"/>
    <w:rsid w:val="00BE1F4C"/>
    <w:rsid w:val="00BE4745"/>
    <w:rsid w:val="00BF3C2C"/>
    <w:rsid w:val="00C02897"/>
    <w:rsid w:val="00C278F9"/>
    <w:rsid w:val="00C6546D"/>
    <w:rsid w:val="00C71169"/>
    <w:rsid w:val="00C74A98"/>
    <w:rsid w:val="00C94FD2"/>
    <w:rsid w:val="00CF3A95"/>
    <w:rsid w:val="00CF3AE1"/>
    <w:rsid w:val="00D25123"/>
    <w:rsid w:val="00D3439C"/>
    <w:rsid w:val="00D40AEB"/>
    <w:rsid w:val="00D42BA3"/>
    <w:rsid w:val="00DA22F4"/>
    <w:rsid w:val="00DB1831"/>
    <w:rsid w:val="00DC67F4"/>
    <w:rsid w:val="00DD3BFD"/>
    <w:rsid w:val="00DE77BB"/>
    <w:rsid w:val="00DF447C"/>
    <w:rsid w:val="00DF6678"/>
    <w:rsid w:val="00E0458D"/>
    <w:rsid w:val="00E22CF2"/>
    <w:rsid w:val="00E33F14"/>
    <w:rsid w:val="00E44C0E"/>
    <w:rsid w:val="00E52D9F"/>
    <w:rsid w:val="00E92FD2"/>
    <w:rsid w:val="00EC26DB"/>
    <w:rsid w:val="00F01AC0"/>
    <w:rsid w:val="00F12269"/>
    <w:rsid w:val="00F164B0"/>
    <w:rsid w:val="00F378FF"/>
    <w:rsid w:val="00F573DC"/>
    <w:rsid w:val="00F660DF"/>
    <w:rsid w:val="00F74A04"/>
    <w:rsid w:val="00F80094"/>
    <w:rsid w:val="00F95C08"/>
    <w:rsid w:val="00FA01DD"/>
    <w:rsid w:val="00FB277E"/>
    <w:rsid w:val="00FB6780"/>
    <w:rsid w:val="00FE345D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E7720"/>
  <w15:chartTrackingRefBased/>
  <w15:docId w15:val="{46DFA66E-F883-4B1B-8FF4-CF27557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table" w:customStyle="1" w:styleId="TableGrid1">
    <w:name w:val="Table Grid1"/>
    <w:basedOn w:val="TableNormal"/>
    <w:next w:val="TableGrid"/>
    <w:rsid w:val="001A510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9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0F07FB"/>
    <w:pPr>
      <w:spacing w:after="0" w:line="240" w:lineRule="auto"/>
    </w:pPr>
    <w:rPr>
      <w:rFonts w:ascii="Times New Roman" w:eastAsia="Calibri" w:hAnsi="Times New Roman"/>
      <w:sz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n.eu" TargetMode="External"/><Relationship Id="rId18" Type="http://schemas.openxmlformats.org/officeDocument/2006/relationships/hyperlink" Target="http://www.iaea.or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transport/themes/dangerous_good/risk_management_framework_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stm.org" TargetMode="External"/><Relationship Id="rId17" Type="http://schemas.openxmlformats.org/officeDocument/2006/relationships/hyperlink" Target="http://www.iso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mo.org" TargetMode="External"/><Relationship Id="rId20" Type="http://schemas.openxmlformats.org/officeDocument/2006/relationships/hyperlink" Target="http://www.otif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anet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cao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ic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ece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5E28-3636-4DA1-B671-B4DFDCD1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465BE-EA75-434E-922C-7A9131EE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DF6D0-5845-4090-BAA9-26A4F3068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54145-2FD3-402C-91F3-46BA485E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2645</Words>
  <Characters>15079</Characters>
  <Application>Microsoft Office Word</Application>
  <DocSecurity>0</DocSecurity>
  <Lines>125</Lines>
  <Paragraphs>35</Paragraphs>
  <ScaleCrop>false</ScaleCrop>
  <Company>UNOG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INF.8</dc:title>
  <dc:subject/>
  <dc:creator>Sabrina Mansion</dc:creator>
  <cp:keywords/>
  <dc:description/>
  <cp:lastModifiedBy>Christine Barrio-Champeau</cp:lastModifiedBy>
  <cp:revision>54</cp:revision>
  <cp:lastPrinted>2014-05-14T10:59:00Z</cp:lastPrinted>
  <dcterms:created xsi:type="dcterms:W3CDTF">2020-10-20T15:03:00Z</dcterms:created>
  <dcterms:modified xsi:type="dcterms:W3CDTF">2020-10-22T11:39:00Z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