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B86FE" w14:textId="77777777" w:rsidR="001A5103" w:rsidRPr="001A5103" w:rsidRDefault="001A5103" w:rsidP="001A5103">
      <w:pPr>
        <w:kinsoku/>
        <w:overflowPunct/>
        <w:autoSpaceDE/>
        <w:autoSpaceDN/>
        <w:adjustRightInd/>
        <w:snapToGrid/>
        <w:spacing w:before="120"/>
        <w:rPr>
          <w:rFonts w:ascii="Times New Roman" w:eastAsia="Times New Roman" w:hAnsi="Times New Roman" w:cs="Times New Roman"/>
          <w:b/>
          <w:sz w:val="28"/>
          <w:szCs w:val="28"/>
          <w:lang w:val="en-GB" w:eastAsia="en-US"/>
        </w:rPr>
      </w:pPr>
      <w:r w:rsidRPr="001A5103">
        <w:rPr>
          <w:rFonts w:ascii="Times New Roman" w:eastAsia="Times New Roman" w:hAnsi="Times New Roman" w:cs="Times New Roman"/>
          <w:b/>
          <w:sz w:val="28"/>
          <w:szCs w:val="28"/>
          <w:lang w:val="en-GB" w:eastAsia="en-US"/>
        </w:rPr>
        <w:t xml:space="preserve">Economic Commission for Europe </w:t>
      </w:r>
    </w:p>
    <w:p w14:paraId="4EC69770" w14:textId="77777777" w:rsidR="001A5103" w:rsidRPr="001A5103" w:rsidRDefault="001A5103" w:rsidP="001A5103">
      <w:pPr>
        <w:kinsoku/>
        <w:overflowPunct/>
        <w:autoSpaceDE/>
        <w:autoSpaceDN/>
        <w:adjustRightInd/>
        <w:snapToGrid/>
        <w:spacing w:before="120"/>
        <w:rPr>
          <w:rFonts w:ascii="Times New Roman" w:eastAsia="Times New Roman" w:hAnsi="Times New Roman" w:cs="Times New Roman"/>
          <w:sz w:val="28"/>
          <w:szCs w:val="28"/>
          <w:lang w:val="en-GB" w:eastAsia="en-US"/>
        </w:rPr>
      </w:pPr>
      <w:r w:rsidRPr="001A5103">
        <w:rPr>
          <w:rFonts w:ascii="Times New Roman" w:eastAsia="Times New Roman" w:hAnsi="Times New Roman" w:cs="Times New Roman"/>
          <w:sz w:val="28"/>
          <w:szCs w:val="28"/>
          <w:lang w:val="en-GB" w:eastAsia="en-US"/>
        </w:rPr>
        <w:t>Inland Transport Committee</w:t>
      </w:r>
    </w:p>
    <w:p w14:paraId="33AC8ED6" w14:textId="77777777" w:rsidR="001A5103" w:rsidRPr="001A5103" w:rsidRDefault="001A5103" w:rsidP="001A5103">
      <w:pPr>
        <w:kinsoku/>
        <w:overflowPunct/>
        <w:autoSpaceDE/>
        <w:autoSpaceDN/>
        <w:adjustRightInd/>
        <w:snapToGrid/>
        <w:spacing w:before="120"/>
        <w:rPr>
          <w:rFonts w:ascii="Times New Roman" w:eastAsia="Times New Roman" w:hAnsi="Times New Roman" w:cs="Times New Roman"/>
          <w:b/>
          <w:sz w:val="24"/>
          <w:szCs w:val="24"/>
          <w:lang w:val="en-GB" w:eastAsia="en-US"/>
        </w:rPr>
      </w:pPr>
      <w:r w:rsidRPr="001A5103">
        <w:rPr>
          <w:rFonts w:ascii="Times New Roman" w:eastAsia="Times New Roman" w:hAnsi="Times New Roman" w:cs="Times New Roman"/>
          <w:b/>
          <w:sz w:val="24"/>
          <w:szCs w:val="24"/>
          <w:lang w:val="en-GB" w:eastAsia="en-US"/>
        </w:rPr>
        <w:t>Working Party on the Transport of Dangerous Goods</w:t>
      </w:r>
    </w:p>
    <w:p w14:paraId="7DF077D6" w14:textId="026F5014" w:rsidR="001A5103" w:rsidRPr="001A5103" w:rsidRDefault="001A5103" w:rsidP="001A5103">
      <w:pPr>
        <w:kinsoku/>
        <w:overflowPunct/>
        <w:autoSpaceDE/>
        <w:autoSpaceDN/>
        <w:adjustRightInd/>
        <w:snapToGrid/>
        <w:spacing w:before="120"/>
        <w:rPr>
          <w:rFonts w:ascii="Times New Roman" w:eastAsia="Times New Roman" w:hAnsi="Times New Roman" w:cs="Times New Roman"/>
          <w:b/>
          <w:sz w:val="20"/>
          <w:szCs w:val="20"/>
          <w:lang w:val="en-GB" w:eastAsia="en-US"/>
        </w:rPr>
      </w:pPr>
      <w:r w:rsidRPr="001A5103">
        <w:rPr>
          <w:rFonts w:ascii="Times New Roman" w:eastAsia="Times New Roman" w:hAnsi="Times New Roman" w:cs="Times New Roman"/>
          <w:b/>
          <w:sz w:val="20"/>
          <w:szCs w:val="20"/>
          <w:lang w:val="en-GB" w:eastAsia="en-US"/>
        </w:rPr>
        <w:t>108th session</w:t>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r>
      <w:r w:rsidRPr="001A5103">
        <w:rPr>
          <w:rFonts w:ascii="Times New Roman" w:eastAsia="Times New Roman" w:hAnsi="Times New Roman" w:cs="Times New Roman"/>
          <w:b/>
          <w:sz w:val="20"/>
          <w:szCs w:val="20"/>
          <w:lang w:val="en-GB" w:eastAsia="en-US"/>
        </w:rPr>
        <w:tab/>
        <w:t xml:space="preserve"> </w:t>
      </w:r>
      <w:r w:rsidR="000F71A4">
        <w:rPr>
          <w:rFonts w:ascii="Times New Roman" w:eastAsia="Times New Roman" w:hAnsi="Times New Roman" w:cs="Times New Roman"/>
          <w:b/>
          <w:sz w:val="20"/>
          <w:szCs w:val="20"/>
          <w:lang w:val="en-GB" w:eastAsia="en-US"/>
        </w:rPr>
        <w:t>22</w:t>
      </w:r>
      <w:r w:rsidRPr="001A5103">
        <w:rPr>
          <w:rFonts w:ascii="Times New Roman" w:eastAsia="Times New Roman" w:hAnsi="Times New Roman" w:cs="Times New Roman"/>
          <w:b/>
          <w:sz w:val="20"/>
          <w:szCs w:val="20"/>
          <w:lang w:val="en-GB" w:eastAsia="en-US"/>
        </w:rPr>
        <w:t xml:space="preserve"> October 2020</w:t>
      </w:r>
    </w:p>
    <w:p w14:paraId="0D32539E" w14:textId="77777777" w:rsidR="001A5103" w:rsidRPr="001A5103" w:rsidRDefault="001A5103" w:rsidP="001A5103">
      <w:pPr>
        <w:kinsoku/>
        <w:overflowPunct/>
        <w:autoSpaceDE/>
        <w:autoSpaceDN/>
        <w:adjustRightInd/>
        <w:snapToGrid/>
        <w:rPr>
          <w:rFonts w:ascii="Times New Roman" w:eastAsia="Times New Roman" w:hAnsi="Times New Roman" w:cs="Times New Roman"/>
          <w:sz w:val="20"/>
          <w:szCs w:val="20"/>
          <w:lang w:val="en-GB" w:eastAsia="en-US"/>
        </w:rPr>
      </w:pPr>
      <w:r w:rsidRPr="001A5103">
        <w:rPr>
          <w:rFonts w:ascii="Times New Roman" w:eastAsia="Times New Roman" w:hAnsi="Times New Roman" w:cs="Times New Roman"/>
          <w:sz w:val="20"/>
          <w:szCs w:val="20"/>
          <w:lang w:val="en-GB" w:eastAsia="en-US"/>
        </w:rPr>
        <w:t>Geneva, 10-13 November 2020</w:t>
      </w:r>
    </w:p>
    <w:p w14:paraId="5EBE8613" w14:textId="221629F6" w:rsidR="001A5103" w:rsidRPr="001A5103" w:rsidRDefault="001A5103" w:rsidP="001A5103">
      <w:pPr>
        <w:kinsoku/>
        <w:overflowPunct/>
        <w:autoSpaceDE/>
        <w:autoSpaceDN/>
        <w:adjustRightInd/>
        <w:snapToGrid/>
        <w:rPr>
          <w:rFonts w:ascii="Times New Roman" w:eastAsia="Times New Roman" w:hAnsi="Times New Roman" w:cs="Times New Roman"/>
          <w:sz w:val="20"/>
          <w:szCs w:val="20"/>
          <w:lang w:val="en-GB" w:eastAsia="en-US"/>
        </w:rPr>
      </w:pPr>
      <w:r w:rsidRPr="001A5103">
        <w:rPr>
          <w:rFonts w:ascii="Times New Roman" w:eastAsia="Times New Roman" w:hAnsi="Times New Roman" w:cs="Times New Roman"/>
          <w:sz w:val="20"/>
          <w:szCs w:val="20"/>
          <w:lang w:val="en-GB" w:eastAsia="en-US"/>
        </w:rPr>
        <w:t xml:space="preserve">Item </w:t>
      </w:r>
      <w:r>
        <w:rPr>
          <w:rFonts w:ascii="Times New Roman" w:eastAsia="Times New Roman" w:hAnsi="Times New Roman" w:cs="Times New Roman"/>
          <w:sz w:val="20"/>
          <w:szCs w:val="20"/>
          <w:lang w:val="en-GB" w:eastAsia="en-US"/>
        </w:rPr>
        <w:t>4</w:t>
      </w:r>
      <w:r w:rsidRPr="001A5103">
        <w:rPr>
          <w:rFonts w:ascii="Times New Roman" w:eastAsia="Times New Roman" w:hAnsi="Times New Roman" w:cs="Times New Roman"/>
          <w:sz w:val="20"/>
          <w:szCs w:val="20"/>
          <w:lang w:val="en-GB" w:eastAsia="en-US"/>
        </w:rPr>
        <w:t xml:space="preserve"> of the provisional agenda</w:t>
      </w:r>
    </w:p>
    <w:p w14:paraId="4E2A7126" w14:textId="6098528F" w:rsidR="001A5103" w:rsidRPr="001A5103" w:rsidRDefault="001A5103" w:rsidP="001A5103">
      <w:pPr>
        <w:kinsoku/>
        <w:overflowPunct/>
        <w:autoSpaceDE/>
        <w:autoSpaceDN/>
        <w:adjustRightInd/>
        <w:snapToGrid/>
        <w:rPr>
          <w:rFonts w:ascii="Times New Roman" w:eastAsia="Times New Roman" w:hAnsi="Times New Roman" w:cs="Times New Roman"/>
          <w:b/>
          <w:sz w:val="20"/>
          <w:szCs w:val="20"/>
          <w:lang w:val="en-GB" w:eastAsia="en-US"/>
        </w:rPr>
      </w:pPr>
      <w:r w:rsidRPr="001A5103">
        <w:rPr>
          <w:rFonts w:ascii="Times New Roman" w:eastAsia="Times New Roman" w:hAnsi="Times New Roman" w:cs="Times New Roman"/>
          <w:b/>
          <w:sz w:val="20"/>
          <w:szCs w:val="20"/>
          <w:lang w:val="en-GB" w:eastAsia="en-US"/>
        </w:rPr>
        <w:t>Work of the RID/ADR/ADN Joint Meeting</w:t>
      </w:r>
    </w:p>
    <w:p w14:paraId="4D43AE5F" w14:textId="47CAFAC4" w:rsidR="001A5103" w:rsidRPr="001A5103" w:rsidRDefault="001A5103" w:rsidP="001A5103">
      <w:pPr>
        <w:keepNext/>
        <w:keepLines/>
        <w:tabs>
          <w:tab w:val="right" w:pos="851"/>
        </w:tabs>
        <w:kinsoku/>
        <w:overflowPunct/>
        <w:autoSpaceDE/>
        <w:autoSpaceDN/>
        <w:adjustRightInd/>
        <w:snapToGrid/>
        <w:spacing w:before="360" w:after="240" w:line="300" w:lineRule="exact"/>
        <w:ind w:left="1134" w:right="1134" w:hanging="1134"/>
        <w:rPr>
          <w:rFonts w:ascii="Times New Roman" w:eastAsia="Times New Roman" w:hAnsi="Times New Roman" w:cs="Times New Roman"/>
          <w:b/>
          <w:sz w:val="28"/>
          <w:szCs w:val="20"/>
          <w:lang w:val="en-GB" w:eastAsia="en-US"/>
        </w:rPr>
      </w:pPr>
      <w:r w:rsidRPr="001A5103">
        <w:rPr>
          <w:rFonts w:ascii="Times New Roman" w:eastAsia="Times New Roman" w:hAnsi="Times New Roman" w:cs="Times New Roman"/>
          <w:b/>
          <w:sz w:val="28"/>
          <w:szCs w:val="20"/>
          <w:lang w:val="en-GB" w:eastAsia="en-US"/>
        </w:rPr>
        <w:tab/>
      </w:r>
      <w:r w:rsidRPr="001A5103">
        <w:rPr>
          <w:rFonts w:ascii="Times New Roman" w:eastAsia="Times New Roman" w:hAnsi="Times New Roman" w:cs="Times New Roman"/>
          <w:b/>
          <w:sz w:val="28"/>
          <w:szCs w:val="20"/>
          <w:lang w:val="en-GB" w:eastAsia="en-US"/>
        </w:rPr>
        <w:tab/>
      </w:r>
      <w:r>
        <w:rPr>
          <w:rFonts w:ascii="Times New Roman" w:eastAsia="Times New Roman" w:hAnsi="Times New Roman" w:cs="Times New Roman"/>
          <w:b/>
          <w:sz w:val="28"/>
          <w:szCs w:val="20"/>
          <w:lang w:val="en-GB" w:eastAsia="en-US"/>
        </w:rPr>
        <w:t>Draft amendments</w:t>
      </w:r>
      <w:r w:rsidRPr="001A5103">
        <w:rPr>
          <w:rFonts w:ascii="Times New Roman" w:eastAsia="Times New Roman" w:hAnsi="Times New Roman" w:cs="Times New Roman"/>
          <w:b/>
          <w:sz w:val="28"/>
          <w:szCs w:val="20"/>
          <w:lang w:val="en-GB" w:eastAsia="en-US"/>
        </w:rPr>
        <w:t xml:space="preserve"> adopted by the Joint Meeting at its Autumn 2020 session (10-18 September 2020)</w:t>
      </w:r>
    </w:p>
    <w:p w14:paraId="38855E1C" w14:textId="5B69C3B0" w:rsidR="001A5103" w:rsidRDefault="001A5103" w:rsidP="001A5103">
      <w:pPr>
        <w:keepNext/>
        <w:keepLines/>
        <w:tabs>
          <w:tab w:val="right" w:pos="851"/>
        </w:tabs>
        <w:kinsoku/>
        <w:overflowPunct/>
        <w:autoSpaceDE/>
        <w:autoSpaceDN/>
        <w:adjustRightInd/>
        <w:snapToGrid/>
        <w:spacing w:before="360" w:after="240" w:line="270" w:lineRule="exact"/>
        <w:ind w:left="1134" w:right="1134" w:hanging="1134"/>
        <w:rPr>
          <w:rFonts w:ascii="Times New Roman" w:eastAsia="Times New Roman" w:hAnsi="Times New Roman" w:cs="Times New Roman"/>
          <w:b/>
          <w:sz w:val="24"/>
          <w:szCs w:val="20"/>
          <w:lang w:val="en-GB" w:eastAsia="en-US"/>
        </w:rPr>
      </w:pPr>
      <w:r w:rsidRPr="001A5103">
        <w:rPr>
          <w:rFonts w:ascii="Times New Roman" w:eastAsia="Times New Roman" w:hAnsi="Times New Roman" w:cs="Times New Roman"/>
          <w:b/>
          <w:sz w:val="24"/>
          <w:szCs w:val="20"/>
          <w:lang w:val="en-GB" w:eastAsia="en-US"/>
        </w:rPr>
        <w:tab/>
      </w:r>
      <w:r w:rsidRPr="001A5103">
        <w:rPr>
          <w:rFonts w:ascii="Times New Roman" w:eastAsia="Times New Roman" w:hAnsi="Times New Roman" w:cs="Times New Roman"/>
          <w:b/>
          <w:sz w:val="24"/>
          <w:szCs w:val="20"/>
          <w:lang w:val="en-GB" w:eastAsia="en-US"/>
        </w:rPr>
        <w:tab/>
        <w:t>Note by the secretariat</w:t>
      </w:r>
    </w:p>
    <w:p w14:paraId="298C0A8C" w14:textId="46DC9741" w:rsidR="001A5103" w:rsidRDefault="001A5103" w:rsidP="001A5103">
      <w:pPr>
        <w:keepNext/>
        <w:keepLines/>
        <w:tabs>
          <w:tab w:val="right" w:pos="851"/>
        </w:tabs>
        <w:kinsoku/>
        <w:overflowPunct/>
        <w:autoSpaceDE/>
        <w:autoSpaceDN/>
        <w:adjustRightInd/>
        <w:snapToGrid/>
        <w:spacing w:before="360" w:after="240" w:line="270" w:lineRule="exact"/>
        <w:ind w:left="1134" w:right="1134" w:hanging="1134"/>
        <w:rPr>
          <w:rFonts w:ascii="Times New Roman" w:eastAsia="Times New Roman" w:hAnsi="Times New Roman" w:cs="Times New Roman"/>
          <w:b/>
          <w:sz w:val="24"/>
          <w:szCs w:val="20"/>
          <w:lang w:val="en-GB" w:eastAsia="fr-FR"/>
        </w:rPr>
      </w:pPr>
      <w:r w:rsidRPr="001A5103">
        <w:rPr>
          <w:rFonts w:ascii="Times New Roman" w:eastAsia="Times New Roman" w:hAnsi="Times New Roman" w:cs="Times New Roman"/>
          <w:b/>
          <w:sz w:val="24"/>
          <w:szCs w:val="20"/>
          <w:lang w:val="en-GB" w:eastAsia="fr-FR"/>
        </w:rPr>
        <w:tab/>
      </w:r>
      <w:r w:rsidRPr="001A5103">
        <w:rPr>
          <w:rFonts w:ascii="Times New Roman" w:eastAsia="Times New Roman" w:hAnsi="Times New Roman" w:cs="Times New Roman"/>
          <w:b/>
          <w:sz w:val="24"/>
          <w:szCs w:val="20"/>
          <w:lang w:val="en-GB" w:eastAsia="fr-FR"/>
        </w:rPr>
        <w:tab/>
        <w:t>Draft amendments to ADR for entry into force on 1 January 2023</w:t>
      </w:r>
    </w:p>
    <w:p w14:paraId="3F4CC1A7" w14:textId="25AE7890" w:rsidR="000168F4" w:rsidRPr="000168F4" w:rsidRDefault="000168F4" w:rsidP="000168F4">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0168F4">
        <w:rPr>
          <w:rFonts w:ascii="Times New Roman" w:eastAsia="Times New Roman" w:hAnsi="Times New Roman" w:cs="Times New Roman"/>
          <w:sz w:val="20"/>
          <w:szCs w:val="20"/>
          <w:lang w:val="en-GB" w:eastAsia="fr-FR"/>
        </w:rPr>
        <w:t>Reference: ECE/TRANS/WP.15/AC.1/158, Annex II</w:t>
      </w:r>
    </w:p>
    <w:p w14:paraId="7C7D6D67" w14:textId="77777777" w:rsidR="001A5103" w:rsidRPr="001A5103" w:rsidRDefault="001A5103" w:rsidP="000168F4">
      <w:pPr>
        <w:keepNext/>
        <w:keepLines/>
        <w:tabs>
          <w:tab w:val="right" w:pos="851"/>
        </w:tabs>
        <w:kinsoku/>
        <w:overflowPunct/>
        <w:autoSpaceDE/>
        <w:autoSpaceDN/>
        <w:adjustRightInd/>
        <w:snapToGrid/>
        <w:spacing w:before="240" w:after="120" w:line="240" w:lineRule="exact"/>
        <w:ind w:right="1134"/>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ab/>
      </w:r>
      <w:r w:rsidRPr="001A5103">
        <w:rPr>
          <w:rFonts w:ascii="Times New Roman" w:eastAsia="Times New Roman" w:hAnsi="Times New Roman" w:cs="Times New Roman"/>
          <w:b/>
          <w:sz w:val="20"/>
          <w:szCs w:val="20"/>
          <w:lang w:val="en-GB" w:eastAsia="fr-FR"/>
        </w:rPr>
        <w:tab/>
        <w:t>Chapter 1.1</w:t>
      </w:r>
    </w:p>
    <w:p w14:paraId="72DB12BC"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1.1.3.6.3</w:t>
      </w:r>
      <w:r w:rsidRPr="001A5103">
        <w:rPr>
          <w:rFonts w:ascii="Times New Roman" w:eastAsia="Times New Roman" w:hAnsi="Times New Roman" w:cs="Times New Roman"/>
          <w:sz w:val="20"/>
          <w:szCs w:val="20"/>
          <w:lang w:val="en-GB" w:eastAsia="fr-FR"/>
        </w:rPr>
        <w:tab/>
        <w:t>In the table, for Transport category 2, in the second column, for Class 9, replace “and 3481” with “, 3481 and 3536”.</w:t>
      </w:r>
    </w:p>
    <w:p w14:paraId="596A9C20"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ECE/TRANS/WP.15/AC.1/2020/66, proposal 2)</w:t>
      </w:r>
    </w:p>
    <w:p w14:paraId="69F44BC4" w14:textId="77777777" w:rsidR="001A5103" w:rsidRPr="001A5103" w:rsidRDefault="001A5103" w:rsidP="000168F4">
      <w:pPr>
        <w:keepNext/>
        <w:keepLines/>
        <w:tabs>
          <w:tab w:val="right" w:pos="851"/>
        </w:tabs>
        <w:kinsoku/>
        <w:overflowPunct/>
        <w:autoSpaceDE/>
        <w:autoSpaceDN/>
        <w:adjustRightInd/>
        <w:snapToGrid/>
        <w:spacing w:before="240" w:after="120" w:line="240" w:lineRule="exact"/>
        <w:ind w:right="1134"/>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ab/>
      </w:r>
      <w:r w:rsidRPr="001A5103">
        <w:rPr>
          <w:rFonts w:ascii="Times New Roman" w:eastAsia="Times New Roman" w:hAnsi="Times New Roman" w:cs="Times New Roman"/>
          <w:b/>
          <w:sz w:val="20"/>
          <w:szCs w:val="20"/>
          <w:lang w:val="en-GB" w:eastAsia="fr-FR"/>
        </w:rPr>
        <w:tab/>
        <w:t>Chapter 1.2</w:t>
      </w:r>
    </w:p>
    <w:p w14:paraId="5C0B9DBB"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bCs/>
          <w:sz w:val="20"/>
          <w:szCs w:val="20"/>
          <w:lang w:val="en-GB" w:eastAsia="fr-FR"/>
        </w:rPr>
        <w:t>[1.2</w:t>
      </w:r>
      <w:r w:rsidRPr="001A5103">
        <w:rPr>
          <w:rFonts w:ascii="Times New Roman" w:eastAsia="Times New Roman" w:hAnsi="Times New Roman" w:cs="Times New Roman"/>
          <w:bCs/>
          <w:sz w:val="20"/>
          <w:szCs w:val="20"/>
          <w:lang w:val="en-GB" w:eastAsia="fr-FR"/>
        </w:rPr>
        <w:tab/>
      </w:r>
      <w:r w:rsidRPr="001A5103">
        <w:rPr>
          <w:rFonts w:ascii="Times New Roman" w:eastAsia="Times New Roman" w:hAnsi="Times New Roman" w:cs="Times New Roman"/>
          <w:bCs/>
          <w:sz w:val="20"/>
          <w:szCs w:val="20"/>
          <w:lang w:val="en-GB" w:eastAsia="fr-FR"/>
        </w:rPr>
        <w:tab/>
      </w:r>
      <w:r w:rsidRPr="001A5103">
        <w:rPr>
          <w:rFonts w:ascii="Times New Roman" w:eastAsia="Times New Roman" w:hAnsi="Times New Roman" w:cs="Times New Roman"/>
          <w:sz w:val="20"/>
          <w:szCs w:val="20"/>
          <w:lang w:val="en-GB" w:eastAsia="fr-FR"/>
        </w:rPr>
        <w:t>Amend the title to read:</w:t>
      </w:r>
    </w:p>
    <w:p w14:paraId="44AEEE9E"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w:t>
      </w:r>
      <w:r w:rsidRPr="001A5103">
        <w:rPr>
          <w:rFonts w:ascii="Times New Roman" w:eastAsia="Times New Roman" w:hAnsi="Times New Roman" w:cs="Times New Roman"/>
          <w:caps/>
          <w:sz w:val="20"/>
          <w:szCs w:val="20"/>
          <w:lang w:val="en-GB" w:eastAsia="fr-FR"/>
        </w:rPr>
        <w:t>Definitions, units of measurement and abbreviations</w:t>
      </w:r>
      <w:r w:rsidRPr="001A5103">
        <w:rPr>
          <w:rFonts w:ascii="Times New Roman" w:eastAsia="Times New Roman" w:hAnsi="Times New Roman" w:cs="Times New Roman"/>
          <w:sz w:val="20"/>
          <w:szCs w:val="20"/>
          <w:lang w:val="en-GB" w:eastAsia="fr-FR"/>
        </w:rPr>
        <w:t>”.</w:t>
      </w:r>
      <w:r w:rsidRPr="001A5103">
        <w:rPr>
          <w:rFonts w:ascii="Times New Roman" w:eastAsia="Times New Roman" w:hAnsi="Times New Roman" w:cs="Times New Roman"/>
          <w:bCs/>
          <w:sz w:val="20"/>
          <w:szCs w:val="20"/>
          <w:lang w:val="en-GB" w:eastAsia="fr-FR"/>
        </w:rPr>
        <w:t>]</w:t>
      </w:r>
    </w:p>
    <w:p w14:paraId="0604FB85"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ECE/TRANS/WP.15/AC.1/2020/13)</w:t>
      </w:r>
    </w:p>
    <w:p w14:paraId="0831C1CF"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bCs/>
          <w:sz w:val="20"/>
          <w:szCs w:val="20"/>
          <w:lang w:val="en-GB" w:eastAsia="fr-FR"/>
        </w:rPr>
        <w:t>[1.2.1</w:t>
      </w:r>
      <w:r w:rsidRPr="001A5103">
        <w:rPr>
          <w:rFonts w:ascii="Times New Roman" w:eastAsia="Times New Roman" w:hAnsi="Times New Roman" w:cs="Times New Roman"/>
          <w:sz w:val="20"/>
          <w:szCs w:val="20"/>
          <w:lang w:val="en-GB" w:eastAsia="fr-FR"/>
        </w:rPr>
        <w:tab/>
      </w:r>
      <w:r w:rsidRPr="001A5103">
        <w:rPr>
          <w:rFonts w:ascii="Times New Roman" w:eastAsia="Times New Roman" w:hAnsi="Times New Roman" w:cs="Times New Roman"/>
          <w:sz w:val="20"/>
          <w:szCs w:val="20"/>
          <w:lang w:val="en-GB" w:eastAsia="fr-FR"/>
        </w:rPr>
        <w:tab/>
        <w:t>Delete the following definitions:</w:t>
      </w:r>
    </w:p>
    <w:p w14:paraId="77E4E748" w14:textId="7F960474"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“ADN”, “ASTM”, “CGA”, “CIM”, “CMR”, “CNG”, “CSC”, “CTU”, “EN”, “GHS”, “IAEA”, “IBC”, “ICAO”, “IMDG”, “IMO”, “ISO”, “LNG”, “LPG”, “MEGC”, “MEMU”, “OTIF”, “RID”, “SADT”, “SAPT”, “UIC”, “UNECE”.</w:t>
      </w:r>
      <w:r w:rsidRPr="001A5103">
        <w:rPr>
          <w:rFonts w:ascii="Times New Roman" w:eastAsia="Times New Roman" w:hAnsi="Times New Roman" w:cs="Times New Roman"/>
          <w:bCs/>
          <w:sz w:val="20"/>
          <w:szCs w:val="20"/>
          <w:lang w:val="en-GB" w:eastAsia="fr-FR"/>
        </w:rPr>
        <w:t>]</w:t>
      </w:r>
    </w:p>
    <w:p w14:paraId="2389A121"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ECE/TRANS/WP.15/AC.1/2020/13)</w:t>
      </w:r>
    </w:p>
    <w:p w14:paraId="71F73F15"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bCs/>
          <w:sz w:val="20"/>
          <w:szCs w:val="20"/>
          <w:lang w:val="en-GB" w:eastAsia="fr-FR"/>
        </w:rPr>
        <w:t>[</w:t>
      </w:r>
      <w:r w:rsidRPr="001A5103">
        <w:rPr>
          <w:rFonts w:ascii="Times New Roman" w:eastAsia="Times New Roman" w:hAnsi="Times New Roman" w:cs="Times New Roman"/>
          <w:sz w:val="20"/>
          <w:szCs w:val="20"/>
          <w:lang w:val="en-GB" w:eastAsia="fr-FR"/>
        </w:rPr>
        <w:t xml:space="preserve">Add a new section 1.2.3 to read as follows: </w:t>
      </w:r>
    </w:p>
    <w:p w14:paraId="353C0F80"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sz w:val="20"/>
          <w:szCs w:val="20"/>
          <w:lang w:val="en-GB" w:eastAsia="fr-FR"/>
        </w:rPr>
        <w:t>“</w:t>
      </w:r>
      <w:r w:rsidRPr="001A5103">
        <w:rPr>
          <w:rFonts w:ascii="Times New Roman" w:eastAsia="Times New Roman" w:hAnsi="Times New Roman" w:cs="Times New Roman"/>
          <w:b/>
          <w:sz w:val="20"/>
          <w:szCs w:val="20"/>
          <w:lang w:val="en-GB" w:eastAsia="fr-FR"/>
        </w:rPr>
        <w:t xml:space="preserve">1.2.3 </w:t>
      </w:r>
      <w:r w:rsidRPr="001A5103">
        <w:rPr>
          <w:rFonts w:ascii="Times New Roman" w:eastAsia="Times New Roman" w:hAnsi="Times New Roman" w:cs="Times New Roman"/>
          <w:b/>
          <w:sz w:val="20"/>
          <w:szCs w:val="20"/>
          <w:lang w:val="en-GB" w:eastAsia="fr-FR"/>
        </w:rPr>
        <w:tab/>
        <w:t>List of abbreviations</w:t>
      </w:r>
    </w:p>
    <w:p w14:paraId="5C2B798A" w14:textId="3935E4BB"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 xml:space="preserve">In </w:t>
      </w:r>
      <w:r w:rsidR="00E44C0E">
        <w:rPr>
          <w:rFonts w:ascii="Times New Roman" w:eastAsia="Times New Roman" w:hAnsi="Times New Roman" w:cs="Times New Roman"/>
          <w:sz w:val="20"/>
          <w:szCs w:val="20"/>
          <w:lang w:val="en-GB" w:eastAsia="fr-FR"/>
        </w:rPr>
        <w:t>ADR</w:t>
      </w:r>
      <w:r w:rsidRPr="001A5103">
        <w:rPr>
          <w:rFonts w:ascii="Times New Roman" w:eastAsia="Times New Roman" w:hAnsi="Times New Roman" w:cs="Times New Roman"/>
          <w:sz w:val="20"/>
          <w:szCs w:val="20"/>
          <w:lang w:val="en-GB" w:eastAsia="fr-FR"/>
        </w:rPr>
        <w:t>, abbreviations, acronyms and abbreviated designations of regulatory texts are used, with the following meaning:</w:t>
      </w:r>
    </w:p>
    <w:p w14:paraId="0AE28D62"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A</w:t>
      </w:r>
    </w:p>
    <w:p w14:paraId="3056B1CF"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“ADN”</w:t>
      </w:r>
      <w:r w:rsidRPr="001A5103">
        <w:rPr>
          <w:rFonts w:ascii="Times New Roman" w:eastAsia="Times New Roman" w:hAnsi="Times New Roman" w:cs="Times New Roman"/>
          <w:sz w:val="20"/>
          <w:szCs w:val="20"/>
          <w:lang w:val="en-GB" w:eastAsia="fr-FR"/>
        </w:rPr>
        <w:t xml:space="preserve"> means the European Agreement concerning the International Carriage of Dangerous Goods by Inland Waterways;</w:t>
      </w:r>
    </w:p>
    <w:p w14:paraId="42BCC2CB"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“ASTM”</w:t>
      </w:r>
      <w:r w:rsidRPr="001A5103">
        <w:rPr>
          <w:rFonts w:ascii="Times New Roman" w:eastAsia="Times New Roman" w:hAnsi="Times New Roman" w:cs="Times New Roman"/>
          <w:sz w:val="20"/>
          <w:szCs w:val="20"/>
          <w:lang w:val="en-GB" w:eastAsia="fr-FR"/>
        </w:rPr>
        <w:t xml:space="preserve"> means the American Society for Testing and Materials (ASTM International, 100 Barr </w:t>
      </w:r>
      <w:proofErr w:type="spellStart"/>
      <w:r w:rsidRPr="001A5103">
        <w:rPr>
          <w:rFonts w:ascii="Times New Roman" w:eastAsia="Times New Roman" w:hAnsi="Times New Roman" w:cs="Times New Roman"/>
          <w:sz w:val="20"/>
          <w:szCs w:val="20"/>
          <w:lang w:val="en-GB" w:eastAsia="fr-FR"/>
        </w:rPr>
        <w:t>Harbor</w:t>
      </w:r>
      <w:proofErr w:type="spellEnd"/>
      <w:r w:rsidRPr="001A5103">
        <w:rPr>
          <w:rFonts w:ascii="Times New Roman" w:eastAsia="Times New Roman" w:hAnsi="Times New Roman" w:cs="Times New Roman"/>
          <w:sz w:val="20"/>
          <w:szCs w:val="20"/>
          <w:lang w:val="en-GB" w:eastAsia="fr-FR"/>
        </w:rPr>
        <w:t xml:space="preserve"> Drive, PO Box C700, West Conshohocken, PA, 19428-2959, United States of America), www.astm.org;</w:t>
      </w:r>
    </w:p>
    <w:p w14:paraId="5E89C02F"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C</w:t>
      </w:r>
    </w:p>
    <w:p w14:paraId="659EAE21"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“CGA”</w:t>
      </w:r>
      <w:r w:rsidRPr="001A5103">
        <w:rPr>
          <w:rFonts w:ascii="Times New Roman" w:eastAsia="Times New Roman" w:hAnsi="Times New Roman" w:cs="Times New Roman"/>
          <w:sz w:val="20"/>
          <w:szCs w:val="20"/>
          <w:lang w:val="en-GB" w:eastAsia="fr-FR"/>
        </w:rPr>
        <w:t xml:space="preserve"> means the Compressed Gas Association (CGA, 14501 George Carter Way, Suite 103, Chantilly, VA 20151, United States of America), www.cganet.com;</w:t>
      </w:r>
    </w:p>
    <w:p w14:paraId="138B06C7"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lastRenderedPageBreak/>
        <w:t>“CIM”</w:t>
      </w:r>
      <w:r w:rsidRPr="001A5103">
        <w:rPr>
          <w:rFonts w:ascii="Times New Roman" w:eastAsia="Times New Roman" w:hAnsi="Times New Roman" w:cs="Times New Roman"/>
          <w:sz w:val="20"/>
          <w:szCs w:val="20"/>
          <w:lang w:val="en-GB" w:eastAsia="fr-FR"/>
        </w:rPr>
        <w:t xml:space="preserve"> means the Uniform Rules Concerning the Contract of International Carriage of Goods by Rail (Appendix B to the Convention concerning International Carriage by Rail (COTIF)), as amended;</w:t>
      </w:r>
    </w:p>
    <w:p w14:paraId="578FAB27"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“CMR”</w:t>
      </w:r>
      <w:r w:rsidRPr="001A5103">
        <w:rPr>
          <w:rFonts w:ascii="Times New Roman" w:eastAsia="Times New Roman" w:hAnsi="Times New Roman" w:cs="Times New Roman"/>
          <w:sz w:val="20"/>
          <w:szCs w:val="20"/>
          <w:lang w:val="en-GB" w:eastAsia="fr-FR"/>
        </w:rPr>
        <w:t xml:space="preserve"> means the Convention on the Contract for the International Carriage of Goods by Road (Geneva, 19 May 1956), as amended;</w:t>
      </w:r>
    </w:p>
    <w:p w14:paraId="3DA5CD1C"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 xml:space="preserve">“CNG”, </w:t>
      </w:r>
      <w:r w:rsidRPr="001A5103">
        <w:rPr>
          <w:rFonts w:ascii="Times New Roman" w:eastAsia="Times New Roman" w:hAnsi="Times New Roman" w:cs="Times New Roman"/>
          <w:sz w:val="20"/>
          <w:szCs w:val="20"/>
          <w:lang w:val="en-GB" w:eastAsia="fr-FR"/>
        </w:rPr>
        <w:t>see</w:t>
      </w:r>
      <w:r w:rsidRPr="001A5103">
        <w:rPr>
          <w:rFonts w:ascii="Times New Roman" w:eastAsia="Times New Roman" w:hAnsi="Times New Roman" w:cs="Times New Roman"/>
          <w:i/>
          <w:sz w:val="20"/>
          <w:szCs w:val="20"/>
          <w:lang w:val="en-GB" w:eastAsia="fr-FR"/>
        </w:rPr>
        <w:t xml:space="preserve"> </w:t>
      </w:r>
      <w:r w:rsidRPr="001A5103">
        <w:rPr>
          <w:rFonts w:ascii="Times New Roman" w:eastAsia="Times New Roman" w:hAnsi="Times New Roman" w:cs="Times New Roman"/>
          <w:sz w:val="20"/>
          <w:szCs w:val="20"/>
          <w:lang w:val="en-GB" w:eastAsia="fr-FR"/>
        </w:rPr>
        <w:t>“Compressed Natural Gas” in 1.2.1;</w:t>
      </w:r>
    </w:p>
    <w:p w14:paraId="1CBA9220"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“CSC”</w:t>
      </w:r>
      <w:r w:rsidRPr="001A5103">
        <w:rPr>
          <w:rFonts w:ascii="Times New Roman" w:eastAsia="Times New Roman" w:hAnsi="Times New Roman" w:cs="Times New Roman"/>
          <w:sz w:val="20"/>
          <w:szCs w:val="20"/>
          <w:lang w:val="en-GB" w:eastAsia="fr-FR"/>
        </w:rPr>
        <w:t xml:space="preserve"> means the International Convention for Safe Containers (Geneva, 1972) as amended and published by the International Maritime Organization (IMO), London;</w:t>
      </w:r>
    </w:p>
    <w:p w14:paraId="3C849F21"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 xml:space="preserve">“CSI”, </w:t>
      </w:r>
      <w:r w:rsidRPr="001A5103">
        <w:rPr>
          <w:rFonts w:ascii="Times New Roman" w:eastAsia="Times New Roman" w:hAnsi="Times New Roman" w:cs="Times New Roman"/>
          <w:sz w:val="20"/>
          <w:szCs w:val="20"/>
          <w:lang w:val="en-GB" w:eastAsia="fr-FR"/>
        </w:rPr>
        <w:t>see “Criticality safety index” in 1.2.1;</w:t>
      </w:r>
    </w:p>
    <w:p w14:paraId="46D99618"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 xml:space="preserve">“CTU”, </w:t>
      </w:r>
      <w:r w:rsidRPr="001A5103">
        <w:rPr>
          <w:rFonts w:ascii="Times New Roman" w:eastAsia="Times New Roman" w:hAnsi="Times New Roman" w:cs="Times New Roman"/>
          <w:sz w:val="20"/>
          <w:szCs w:val="20"/>
          <w:lang w:val="en-GB" w:eastAsia="fr-FR"/>
        </w:rPr>
        <w:t>see</w:t>
      </w:r>
      <w:r w:rsidRPr="001A5103">
        <w:rPr>
          <w:rFonts w:ascii="Times New Roman" w:eastAsia="Times New Roman" w:hAnsi="Times New Roman" w:cs="Times New Roman"/>
          <w:i/>
          <w:sz w:val="20"/>
          <w:szCs w:val="20"/>
          <w:lang w:val="en-GB" w:eastAsia="fr-FR"/>
        </w:rPr>
        <w:t xml:space="preserve"> </w:t>
      </w:r>
      <w:r w:rsidRPr="001A5103">
        <w:rPr>
          <w:rFonts w:ascii="Times New Roman" w:eastAsia="Times New Roman" w:hAnsi="Times New Roman" w:cs="Times New Roman"/>
          <w:sz w:val="20"/>
          <w:szCs w:val="20"/>
          <w:lang w:val="en-GB" w:eastAsia="fr-FR"/>
        </w:rPr>
        <w:t>“Cargo Transport Unit” in 1.2.1;</w:t>
      </w:r>
    </w:p>
    <w:p w14:paraId="24600025"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E</w:t>
      </w:r>
    </w:p>
    <w:p w14:paraId="27DAD092"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“EN”</w:t>
      </w:r>
      <w:r w:rsidRPr="001A5103">
        <w:rPr>
          <w:rFonts w:ascii="Times New Roman" w:eastAsia="Times New Roman" w:hAnsi="Times New Roman" w:cs="Times New Roman"/>
          <w:sz w:val="20"/>
          <w:szCs w:val="20"/>
          <w:lang w:val="en-GB" w:eastAsia="fr-FR"/>
        </w:rPr>
        <w:t xml:space="preserve"> (standard) means a European standard published by the European Committee for Standardization (CEN) (CEN, Avenue </w:t>
      </w:r>
      <w:proofErr w:type="spellStart"/>
      <w:r w:rsidRPr="001A5103">
        <w:rPr>
          <w:rFonts w:ascii="Times New Roman" w:eastAsia="Times New Roman" w:hAnsi="Times New Roman" w:cs="Times New Roman"/>
          <w:sz w:val="20"/>
          <w:szCs w:val="20"/>
          <w:lang w:val="en-GB" w:eastAsia="fr-FR"/>
        </w:rPr>
        <w:t>Marnix</w:t>
      </w:r>
      <w:proofErr w:type="spellEnd"/>
      <w:r w:rsidRPr="001A5103">
        <w:rPr>
          <w:rFonts w:ascii="Times New Roman" w:eastAsia="Times New Roman" w:hAnsi="Times New Roman" w:cs="Times New Roman"/>
          <w:sz w:val="20"/>
          <w:szCs w:val="20"/>
          <w:lang w:val="en-GB" w:eastAsia="fr-FR"/>
        </w:rPr>
        <w:t xml:space="preserve"> 17, B-1000 Brussels, Belgium), www.cen.eu;</w:t>
      </w:r>
    </w:p>
    <w:p w14:paraId="10803933"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G</w:t>
      </w:r>
    </w:p>
    <w:p w14:paraId="221F09EF"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“GHS”</w:t>
      </w:r>
      <w:r w:rsidRPr="001A5103">
        <w:rPr>
          <w:rFonts w:ascii="Times New Roman" w:eastAsia="Times New Roman" w:hAnsi="Times New Roman" w:cs="Times New Roman"/>
          <w:sz w:val="20"/>
          <w:szCs w:val="20"/>
          <w:lang w:val="en-GB" w:eastAsia="fr-FR"/>
        </w:rPr>
        <w:t xml:space="preserve"> means the eighth revised edition of the Globally Harmonized System of Classification and Labelling of Chemicals, published by the United Nations as document ST/SG/AC.10/30/Rev.8;</w:t>
      </w:r>
    </w:p>
    <w:p w14:paraId="1BCCD657"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I</w:t>
      </w:r>
    </w:p>
    <w:p w14:paraId="1C478A25"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“IAEA”</w:t>
      </w:r>
      <w:r w:rsidRPr="001A5103">
        <w:rPr>
          <w:rFonts w:ascii="Times New Roman" w:eastAsia="Times New Roman" w:hAnsi="Times New Roman" w:cs="Times New Roman"/>
          <w:sz w:val="20"/>
          <w:szCs w:val="20"/>
          <w:lang w:val="en-GB" w:eastAsia="fr-FR"/>
        </w:rPr>
        <w:t xml:space="preserve"> means the International Atomic Energy Agency (IAEA, P.O. Box 100, A-1400 Vienna, Austria), www.iaea.org;</w:t>
      </w:r>
    </w:p>
    <w:p w14:paraId="7F8B6C4D"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“IBC”,</w:t>
      </w:r>
      <w:r w:rsidRPr="001A5103">
        <w:rPr>
          <w:rFonts w:ascii="Times New Roman" w:eastAsia="Times New Roman" w:hAnsi="Times New Roman" w:cs="Times New Roman"/>
          <w:sz w:val="20"/>
          <w:szCs w:val="20"/>
          <w:lang w:val="en-GB" w:eastAsia="fr-FR"/>
        </w:rPr>
        <w:t xml:space="preserve"> see “Intermediate bulk container” in 1.2.1;</w:t>
      </w:r>
    </w:p>
    <w:p w14:paraId="22C6D563"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“ICAO”</w:t>
      </w:r>
      <w:r w:rsidRPr="001A5103">
        <w:rPr>
          <w:rFonts w:ascii="Times New Roman" w:eastAsia="Times New Roman" w:hAnsi="Times New Roman" w:cs="Times New Roman"/>
          <w:sz w:val="20"/>
          <w:szCs w:val="20"/>
          <w:lang w:val="en-GB" w:eastAsia="fr-FR"/>
        </w:rPr>
        <w:t xml:space="preserve"> means the International Civil Aviation Organization (ICAO, 999 University Street, Montreal, Quebec H3C 5H7, Canada), www.icao.org;</w:t>
      </w:r>
    </w:p>
    <w:p w14:paraId="40F503EB"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 xml:space="preserve">“IMDG”, </w:t>
      </w:r>
      <w:r w:rsidRPr="001A5103">
        <w:rPr>
          <w:rFonts w:ascii="Times New Roman" w:eastAsia="Times New Roman" w:hAnsi="Times New Roman" w:cs="Times New Roman"/>
          <w:sz w:val="20"/>
          <w:szCs w:val="20"/>
          <w:lang w:val="en-GB" w:eastAsia="fr-FR"/>
        </w:rPr>
        <w:t>see “IMDG Code” in 1.2.1;</w:t>
      </w:r>
    </w:p>
    <w:p w14:paraId="12A416C1"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“IMO”</w:t>
      </w:r>
      <w:r w:rsidRPr="001A5103">
        <w:rPr>
          <w:rFonts w:ascii="Times New Roman" w:eastAsia="Times New Roman" w:hAnsi="Times New Roman" w:cs="Times New Roman"/>
          <w:sz w:val="20"/>
          <w:szCs w:val="20"/>
          <w:lang w:val="en-GB" w:eastAsia="fr-FR"/>
        </w:rPr>
        <w:t xml:space="preserve"> means the International Maritime Organization (IMO, 4 Albert Embankment, London SE1 7SR, United Kingdom), www.imo.org;</w:t>
      </w:r>
    </w:p>
    <w:p w14:paraId="3C09AF6C"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“ISO”</w:t>
      </w:r>
      <w:r w:rsidRPr="001A5103">
        <w:rPr>
          <w:rFonts w:ascii="Times New Roman" w:eastAsia="Times New Roman" w:hAnsi="Times New Roman" w:cs="Times New Roman"/>
          <w:sz w:val="20"/>
          <w:szCs w:val="20"/>
          <w:lang w:val="en-GB" w:eastAsia="fr-FR"/>
        </w:rPr>
        <w:t xml:space="preserve"> (standard) means an international standard published by the International Organization for Standardization (ISO - 1, rue de </w:t>
      </w:r>
      <w:proofErr w:type="spellStart"/>
      <w:r w:rsidRPr="001A5103">
        <w:rPr>
          <w:rFonts w:ascii="Times New Roman" w:eastAsia="Times New Roman" w:hAnsi="Times New Roman" w:cs="Times New Roman"/>
          <w:sz w:val="20"/>
          <w:szCs w:val="20"/>
          <w:lang w:val="en-GB" w:eastAsia="fr-FR"/>
        </w:rPr>
        <w:t>Varembé</w:t>
      </w:r>
      <w:proofErr w:type="spellEnd"/>
      <w:r w:rsidRPr="001A5103">
        <w:rPr>
          <w:rFonts w:ascii="Times New Roman" w:eastAsia="Times New Roman" w:hAnsi="Times New Roman" w:cs="Times New Roman"/>
          <w:sz w:val="20"/>
          <w:szCs w:val="20"/>
          <w:lang w:val="en-GB" w:eastAsia="fr-FR"/>
        </w:rPr>
        <w:t>. CH-1204 Geneva 20, Switzerland), www.iso.org;</w:t>
      </w:r>
    </w:p>
    <w:p w14:paraId="5A9B9CBF"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L</w:t>
      </w:r>
    </w:p>
    <w:p w14:paraId="1ED9356A"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 xml:space="preserve">“LNG”, </w:t>
      </w:r>
      <w:r w:rsidRPr="001A5103">
        <w:rPr>
          <w:rFonts w:ascii="Times New Roman" w:eastAsia="Times New Roman" w:hAnsi="Times New Roman" w:cs="Times New Roman"/>
          <w:sz w:val="20"/>
          <w:szCs w:val="20"/>
          <w:lang w:val="en-GB" w:eastAsia="fr-FR"/>
        </w:rPr>
        <w:t>see</w:t>
      </w:r>
      <w:r w:rsidRPr="001A5103">
        <w:rPr>
          <w:rFonts w:ascii="Times New Roman" w:eastAsia="Times New Roman" w:hAnsi="Times New Roman" w:cs="Times New Roman"/>
          <w:i/>
          <w:sz w:val="20"/>
          <w:szCs w:val="20"/>
          <w:lang w:val="en-GB" w:eastAsia="fr-FR"/>
        </w:rPr>
        <w:t xml:space="preserve"> </w:t>
      </w:r>
      <w:r w:rsidRPr="001A5103">
        <w:rPr>
          <w:rFonts w:ascii="Times New Roman" w:eastAsia="Times New Roman" w:hAnsi="Times New Roman" w:cs="Times New Roman"/>
          <w:sz w:val="20"/>
          <w:szCs w:val="20"/>
          <w:lang w:val="en-GB" w:eastAsia="fr-FR"/>
        </w:rPr>
        <w:t>“Liquefied Natural Gas” in 1.2.1;</w:t>
      </w:r>
    </w:p>
    <w:p w14:paraId="0DE2D7D0"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 xml:space="preserve">“LPG”, </w:t>
      </w:r>
      <w:r w:rsidRPr="001A5103">
        <w:rPr>
          <w:rFonts w:ascii="Times New Roman" w:eastAsia="Times New Roman" w:hAnsi="Times New Roman" w:cs="Times New Roman"/>
          <w:sz w:val="20"/>
          <w:szCs w:val="20"/>
          <w:lang w:val="en-GB" w:eastAsia="fr-FR"/>
        </w:rPr>
        <w:t>see</w:t>
      </w:r>
      <w:r w:rsidRPr="001A5103">
        <w:rPr>
          <w:rFonts w:ascii="Times New Roman" w:eastAsia="Times New Roman" w:hAnsi="Times New Roman" w:cs="Times New Roman"/>
          <w:i/>
          <w:sz w:val="20"/>
          <w:szCs w:val="20"/>
          <w:lang w:val="en-GB" w:eastAsia="fr-FR"/>
        </w:rPr>
        <w:t xml:space="preserve"> </w:t>
      </w:r>
      <w:r w:rsidRPr="001A5103">
        <w:rPr>
          <w:rFonts w:ascii="Times New Roman" w:eastAsia="Times New Roman" w:hAnsi="Times New Roman" w:cs="Times New Roman"/>
          <w:sz w:val="20"/>
          <w:szCs w:val="20"/>
          <w:lang w:val="en-GB" w:eastAsia="fr-FR"/>
        </w:rPr>
        <w:t>“Liquefied Petroleum Gas” in 1.2.1;</w:t>
      </w:r>
    </w:p>
    <w:p w14:paraId="527DF1CC"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M</w:t>
      </w:r>
    </w:p>
    <w:p w14:paraId="44B1F188"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“MEGC”,</w:t>
      </w:r>
      <w:r w:rsidRPr="001A5103">
        <w:rPr>
          <w:rFonts w:ascii="Times New Roman" w:eastAsia="Times New Roman" w:hAnsi="Times New Roman" w:cs="Times New Roman"/>
          <w:sz w:val="20"/>
          <w:szCs w:val="20"/>
          <w:lang w:val="en-GB" w:eastAsia="fr-FR"/>
        </w:rPr>
        <w:t xml:space="preserve"> see “Multiple-element gas container” in 1.2.1;</w:t>
      </w:r>
    </w:p>
    <w:p w14:paraId="798BC0C0"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iCs/>
          <w:sz w:val="20"/>
          <w:szCs w:val="20"/>
          <w:lang w:val="en-GB" w:eastAsia="fr-FR"/>
        </w:rPr>
      </w:pPr>
      <w:r w:rsidRPr="001A5103">
        <w:rPr>
          <w:rFonts w:ascii="Times New Roman" w:eastAsia="Times New Roman" w:hAnsi="Times New Roman" w:cs="Times New Roman"/>
          <w:iCs/>
          <w:sz w:val="20"/>
          <w:szCs w:val="20"/>
          <w:lang w:val="en-GB" w:eastAsia="fr-FR"/>
        </w:rPr>
        <w:t>(ADR:)</w:t>
      </w:r>
    </w:p>
    <w:p w14:paraId="016E777F"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“MEMU”,</w:t>
      </w:r>
      <w:r w:rsidRPr="001A5103">
        <w:rPr>
          <w:rFonts w:ascii="Times New Roman" w:eastAsia="Times New Roman" w:hAnsi="Times New Roman" w:cs="Times New Roman"/>
          <w:sz w:val="20"/>
          <w:szCs w:val="20"/>
          <w:lang w:val="en-GB" w:eastAsia="fr-FR"/>
        </w:rPr>
        <w:t xml:space="preserve"> see “Mobile explosives manufacturing unit” in 1.2.1;</w:t>
      </w:r>
    </w:p>
    <w:p w14:paraId="05EAEC6D"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b/>
          <w:sz w:val="20"/>
          <w:szCs w:val="20"/>
          <w:lang w:val="en-GB" w:eastAsia="fr-FR"/>
        </w:rPr>
        <w:t>N</w:t>
      </w:r>
    </w:p>
    <w:p w14:paraId="207CC84C"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“N.O.S.”</w:t>
      </w:r>
      <w:r w:rsidRPr="001A5103">
        <w:rPr>
          <w:rFonts w:ascii="Times New Roman" w:eastAsia="Times New Roman" w:hAnsi="Times New Roman" w:cs="Times New Roman"/>
          <w:sz w:val="20"/>
          <w:szCs w:val="20"/>
          <w:lang w:val="en-GB" w:eastAsia="fr-FR"/>
        </w:rPr>
        <w:t>, see “</w:t>
      </w:r>
      <w:r w:rsidRPr="001A5103">
        <w:rPr>
          <w:rFonts w:ascii="Times New Roman" w:eastAsia="Times New Roman" w:hAnsi="Times New Roman" w:cs="Times New Roman"/>
          <w:bCs/>
          <w:iCs/>
          <w:sz w:val="20"/>
          <w:szCs w:val="20"/>
          <w:lang w:val="en-GB" w:eastAsia="fr-FR"/>
        </w:rPr>
        <w:t>N.O.S. entry (not otherwise specified entry)”</w:t>
      </w:r>
      <w:r w:rsidRPr="001A5103">
        <w:rPr>
          <w:rFonts w:ascii="Times New Roman" w:eastAsia="Times New Roman" w:hAnsi="Times New Roman" w:cs="Times New Roman"/>
          <w:sz w:val="20"/>
          <w:szCs w:val="20"/>
          <w:lang w:val="en-GB" w:eastAsia="fr-FR"/>
        </w:rPr>
        <w:t xml:space="preserve"> in 1.2.1;</w:t>
      </w:r>
    </w:p>
    <w:p w14:paraId="6E1CE182"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O</w:t>
      </w:r>
    </w:p>
    <w:p w14:paraId="6504273B"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“OTIF”</w:t>
      </w:r>
      <w:r w:rsidRPr="001A5103">
        <w:rPr>
          <w:rFonts w:ascii="Times New Roman" w:eastAsia="Times New Roman" w:hAnsi="Times New Roman" w:cs="Times New Roman"/>
          <w:sz w:val="20"/>
          <w:szCs w:val="20"/>
          <w:lang w:val="en-GB" w:eastAsia="fr-FR"/>
        </w:rPr>
        <w:t xml:space="preserve"> means the Intergovernmental Organisation for International Carriage by Rail (OTIF, </w:t>
      </w:r>
      <w:proofErr w:type="spellStart"/>
      <w:r w:rsidRPr="001A5103">
        <w:rPr>
          <w:rFonts w:ascii="Times New Roman" w:eastAsia="Times New Roman" w:hAnsi="Times New Roman" w:cs="Times New Roman"/>
          <w:sz w:val="20"/>
          <w:szCs w:val="20"/>
          <w:lang w:val="en-GB" w:eastAsia="fr-FR"/>
        </w:rPr>
        <w:t>Gryphenhübeliweg</w:t>
      </w:r>
      <w:proofErr w:type="spellEnd"/>
      <w:r w:rsidRPr="001A5103">
        <w:rPr>
          <w:rFonts w:ascii="Times New Roman" w:eastAsia="Times New Roman" w:hAnsi="Times New Roman" w:cs="Times New Roman"/>
          <w:sz w:val="20"/>
          <w:szCs w:val="20"/>
          <w:lang w:val="en-GB" w:eastAsia="fr-FR"/>
        </w:rPr>
        <w:t xml:space="preserve"> 30, CH–3006 Bern, Switzerland), </w:t>
      </w:r>
      <w:hyperlink r:id="rId11" w:history="1">
        <w:r w:rsidRPr="001A5103">
          <w:rPr>
            <w:rFonts w:ascii="Times New Roman" w:eastAsia="Times New Roman" w:hAnsi="Times New Roman" w:cs="Times New Roman"/>
            <w:color w:val="0000FF"/>
            <w:sz w:val="20"/>
            <w:szCs w:val="20"/>
            <w:lang w:val="en-GB" w:eastAsia="fr-FR"/>
          </w:rPr>
          <w:t>www.otif.org</w:t>
        </w:r>
      </w:hyperlink>
      <w:r w:rsidRPr="001A5103">
        <w:rPr>
          <w:rFonts w:ascii="Times New Roman" w:eastAsia="Times New Roman" w:hAnsi="Times New Roman" w:cs="Times New Roman"/>
          <w:sz w:val="20"/>
          <w:szCs w:val="20"/>
          <w:lang w:val="en-GB" w:eastAsia="fr-FR"/>
        </w:rPr>
        <w:t>;</w:t>
      </w:r>
    </w:p>
    <w:p w14:paraId="6B61F359"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R</w:t>
      </w:r>
    </w:p>
    <w:p w14:paraId="27C19345"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(ADR:)</w:t>
      </w:r>
    </w:p>
    <w:p w14:paraId="483B944F"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i/>
          <w:sz w:val="20"/>
          <w:szCs w:val="20"/>
          <w:lang w:val="en-GB" w:eastAsia="fr-FR"/>
        </w:rPr>
      </w:pPr>
      <w:bookmarkStart w:id="0" w:name="_GoBack"/>
      <w:bookmarkEnd w:id="0"/>
      <w:r w:rsidRPr="001A5103">
        <w:rPr>
          <w:rFonts w:ascii="Times New Roman" w:eastAsia="Times New Roman" w:hAnsi="Times New Roman" w:cs="Times New Roman"/>
          <w:i/>
          <w:sz w:val="20"/>
          <w:szCs w:val="20"/>
          <w:lang w:val="en-GB" w:eastAsia="fr-FR"/>
        </w:rPr>
        <w:lastRenderedPageBreak/>
        <w:t>“RID”</w:t>
      </w:r>
      <w:r w:rsidRPr="001A5103">
        <w:rPr>
          <w:rFonts w:ascii="Times New Roman" w:eastAsia="Times New Roman" w:hAnsi="Times New Roman" w:cs="Times New Roman"/>
          <w:sz w:val="20"/>
          <w:szCs w:val="20"/>
          <w:lang w:val="en-GB" w:eastAsia="fr-FR"/>
        </w:rPr>
        <w:t xml:space="preserve"> means Regulations concerning the International Carriage of Dangerous Goods by Rail (Appendix C of COTIF (Convention concerning international carriage by rail));</w:t>
      </w:r>
    </w:p>
    <w:p w14:paraId="30B57729"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S</w:t>
      </w:r>
    </w:p>
    <w:p w14:paraId="3CA93F47"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“SADT”,</w:t>
      </w:r>
      <w:r w:rsidRPr="001A5103">
        <w:rPr>
          <w:rFonts w:ascii="Times New Roman" w:eastAsia="Times New Roman" w:hAnsi="Times New Roman" w:cs="Times New Roman"/>
          <w:sz w:val="20"/>
          <w:szCs w:val="20"/>
          <w:lang w:val="en-GB" w:eastAsia="fr-FR"/>
        </w:rPr>
        <w:t xml:space="preserve"> see “Self-accelerating decomposition temperature” in 1.2.1;</w:t>
      </w:r>
    </w:p>
    <w:p w14:paraId="43ED6966"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“SAPT”,</w:t>
      </w:r>
      <w:r w:rsidRPr="001A5103">
        <w:rPr>
          <w:rFonts w:ascii="Times New Roman" w:eastAsia="Times New Roman" w:hAnsi="Times New Roman" w:cs="Times New Roman"/>
          <w:sz w:val="20"/>
          <w:szCs w:val="20"/>
          <w:lang w:val="en-GB" w:eastAsia="fr-FR"/>
        </w:rPr>
        <w:t xml:space="preserve"> see “Self-accelerating polymerization temperature” in 1.2.1;</w:t>
      </w:r>
    </w:p>
    <w:p w14:paraId="05F14965"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(RID:)</w:t>
      </w:r>
    </w:p>
    <w:p w14:paraId="14996B48"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“SMGS”</w:t>
      </w:r>
      <w:r w:rsidRPr="001A5103">
        <w:rPr>
          <w:rFonts w:ascii="Times New Roman" w:eastAsia="Times New Roman" w:hAnsi="Times New Roman" w:cs="Times New Roman"/>
          <w:sz w:val="20"/>
          <w:szCs w:val="20"/>
          <w:lang w:val="en-GB" w:eastAsia="fr-FR"/>
        </w:rPr>
        <w:t xml:space="preserve"> means the Agreement concerning International Goods Transport by Rail of the </w:t>
      </w:r>
      <w:proofErr w:type="spellStart"/>
      <w:r w:rsidRPr="001A5103">
        <w:rPr>
          <w:rFonts w:ascii="Times New Roman" w:eastAsia="Times New Roman" w:hAnsi="Times New Roman" w:cs="Times New Roman"/>
          <w:sz w:val="20"/>
          <w:szCs w:val="20"/>
          <w:lang w:val="en-GB" w:eastAsia="fr-FR"/>
        </w:rPr>
        <w:t>the</w:t>
      </w:r>
      <w:proofErr w:type="spellEnd"/>
      <w:r w:rsidRPr="001A5103">
        <w:rPr>
          <w:rFonts w:ascii="Times New Roman" w:eastAsia="Times New Roman" w:hAnsi="Times New Roman" w:cs="Times New Roman"/>
          <w:sz w:val="20"/>
          <w:szCs w:val="20"/>
          <w:lang w:val="en-GB" w:eastAsia="fr-FR"/>
        </w:rPr>
        <w:t xml:space="preserve"> Organisation for Cooperation between Railways (OSJD) (OSJD</w:t>
      </w:r>
      <w:r w:rsidRPr="001A5103">
        <w:rPr>
          <w:rFonts w:ascii="Times New Roman" w:eastAsia="Times New Roman" w:hAnsi="Times New Roman" w:cs="Times New Roman"/>
          <w:bCs/>
          <w:sz w:val="20"/>
          <w:szCs w:val="20"/>
          <w:lang w:val="en-GB" w:eastAsia="fr-FR"/>
        </w:rPr>
        <w:t xml:space="preserve">, ul. </w:t>
      </w:r>
      <w:proofErr w:type="spellStart"/>
      <w:r w:rsidRPr="001A5103">
        <w:rPr>
          <w:rFonts w:ascii="Times New Roman" w:eastAsia="Times New Roman" w:hAnsi="Times New Roman" w:cs="Times New Roman"/>
          <w:bCs/>
          <w:sz w:val="20"/>
          <w:szCs w:val="20"/>
          <w:lang w:val="en-GB" w:eastAsia="fr-FR"/>
        </w:rPr>
        <w:t>Hoza</w:t>
      </w:r>
      <w:proofErr w:type="spellEnd"/>
      <w:r w:rsidRPr="001A5103">
        <w:rPr>
          <w:rFonts w:ascii="Times New Roman" w:eastAsia="Times New Roman" w:hAnsi="Times New Roman" w:cs="Times New Roman"/>
          <w:bCs/>
          <w:sz w:val="20"/>
          <w:szCs w:val="20"/>
          <w:lang w:val="en-GB" w:eastAsia="fr-FR"/>
        </w:rPr>
        <w:t>, 63/67 PL-00-681</w:t>
      </w:r>
      <w:r w:rsidRPr="001A5103">
        <w:rPr>
          <w:rFonts w:ascii="Times New Roman" w:eastAsia="Times New Roman" w:hAnsi="Times New Roman" w:cs="Times New Roman"/>
          <w:sz w:val="20"/>
          <w:szCs w:val="20"/>
          <w:lang w:val="en-GB" w:eastAsia="fr-FR"/>
        </w:rPr>
        <w:t xml:space="preserve"> Warsaw, Poland), www.en.osjd.org;</w:t>
      </w:r>
    </w:p>
    <w:p w14:paraId="5CB5567D"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(RID:)</w:t>
      </w:r>
    </w:p>
    <w:p w14:paraId="33C3CF21"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“SMGS Annex 2”</w:t>
      </w:r>
      <w:r w:rsidRPr="001A5103">
        <w:rPr>
          <w:rFonts w:ascii="Times New Roman" w:eastAsia="Times New Roman" w:hAnsi="Times New Roman" w:cs="Times New Roman"/>
          <w:sz w:val="20"/>
          <w:szCs w:val="20"/>
          <w:lang w:val="en-GB" w:eastAsia="fr-FR"/>
        </w:rPr>
        <w:t xml:space="preserve"> means provisions for the carriage of dangerous goods as Annex 2 to SMGS;</w:t>
      </w:r>
    </w:p>
    <w:p w14:paraId="79EDF708"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U</w:t>
      </w:r>
    </w:p>
    <w:p w14:paraId="392AEA23"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“UIC”</w:t>
      </w:r>
      <w:r w:rsidRPr="001A5103">
        <w:rPr>
          <w:rFonts w:ascii="Times New Roman" w:eastAsia="Times New Roman" w:hAnsi="Times New Roman" w:cs="Times New Roman"/>
          <w:sz w:val="20"/>
          <w:szCs w:val="20"/>
          <w:lang w:val="en-GB" w:eastAsia="fr-FR"/>
        </w:rPr>
        <w:t xml:space="preserve"> means the International Union of Railways (UIC, 16 rue Jean Rey, F-75015 Paris, France), www.uic.org;</w:t>
      </w:r>
    </w:p>
    <w:p w14:paraId="3E6520D9" w14:textId="77777777" w:rsidR="001A5103" w:rsidRPr="001A5103" w:rsidRDefault="001A5103" w:rsidP="001A5103">
      <w:pPr>
        <w:kinsoku/>
        <w:overflowPunct/>
        <w:autoSpaceDE/>
        <w:autoSpaceDN/>
        <w:adjustRightIn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i/>
          <w:sz w:val="20"/>
          <w:szCs w:val="20"/>
          <w:lang w:val="en-GB" w:eastAsia="fr-FR"/>
        </w:rPr>
        <w:t>“UNECE”</w:t>
      </w:r>
      <w:r w:rsidRPr="001A5103">
        <w:rPr>
          <w:rFonts w:ascii="Times New Roman" w:eastAsia="Times New Roman" w:hAnsi="Times New Roman" w:cs="Times New Roman"/>
          <w:sz w:val="20"/>
          <w:szCs w:val="20"/>
          <w:lang w:val="en-GB" w:eastAsia="fr-FR"/>
        </w:rPr>
        <w:t xml:space="preserve"> means the United Nations Economic Commission for Europe (UNECE, Palais des Nations, 8-14 avenue de la </w:t>
      </w:r>
      <w:proofErr w:type="spellStart"/>
      <w:r w:rsidRPr="001A5103">
        <w:rPr>
          <w:rFonts w:ascii="Times New Roman" w:eastAsia="Times New Roman" w:hAnsi="Times New Roman" w:cs="Times New Roman"/>
          <w:sz w:val="20"/>
          <w:szCs w:val="20"/>
          <w:lang w:val="en-GB" w:eastAsia="fr-FR"/>
        </w:rPr>
        <w:t>Paix</w:t>
      </w:r>
      <w:proofErr w:type="spellEnd"/>
      <w:r w:rsidRPr="001A5103">
        <w:rPr>
          <w:rFonts w:ascii="Times New Roman" w:eastAsia="Times New Roman" w:hAnsi="Times New Roman" w:cs="Times New Roman"/>
          <w:sz w:val="20"/>
          <w:szCs w:val="20"/>
          <w:lang w:val="en-GB" w:eastAsia="fr-FR"/>
        </w:rPr>
        <w:t xml:space="preserve">, CH-1211 Geneva 10, Switzerland), </w:t>
      </w:r>
      <w:hyperlink r:id="rId12" w:history="1">
        <w:r w:rsidRPr="001A5103">
          <w:rPr>
            <w:rFonts w:ascii="Times New Roman" w:eastAsia="Times New Roman" w:hAnsi="Times New Roman" w:cs="Times New Roman"/>
            <w:color w:val="0000FF"/>
            <w:sz w:val="20"/>
            <w:szCs w:val="20"/>
            <w:lang w:val="en-GB" w:eastAsia="fr-FR"/>
          </w:rPr>
          <w:t>www.unece.org</w:t>
        </w:r>
      </w:hyperlink>
      <w:r w:rsidRPr="001A5103">
        <w:rPr>
          <w:rFonts w:ascii="Times New Roman" w:eastAsia="Times New Roman" w:hAnsi="Times New Roman" w:cs="Times New Roman"/>
          <w:sz w:val="20"/>
          <w:szCs w:val="20"/>
          <w:lang w:val="en-GB" w:eastAsia="fr-FR"/>
        </w:rPr>
        <w:t>.”</w:t>
      </w:r>
      <w:r w:rsidRPr="001A5103">
        <w:rPr>
          <w:rFonts w:ascii="Times New Roman" w:eastAsia="Times New Roman" w:hAnsi="Times New Roman" w:cs="Times New Roman"/>
          <w:bCs/>
          <w:sz w:val="20"/>
          <w:szCs w:val="20"/>
          <w:lang w:val="en-GB" w:eastAsia="fr-FR"/>
        </w:rPr>
        <w:t>]</w:t>
      </w:r>
    </w:p>
    <w:p w14:paraId="48AA0065"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ECE/TRANS/WP.15/AC.1/2020/13)</w:t>
      </w:r>
    </w:p>
    <w:p w14:paraId="3CDDFB2F" w14:textId="77777777" w:rsidR="001A5103" w:rsidRPr="001A5103" w:rsidRDefault="001A5103" w:rsidP="000168F4">
      <w:pPr>
        <w:keepNext/>
        <w:keepLines/>
        <w:tabs>
          <w:tab w:val="right" w:pos="851"/>
        </w:tabs>
        <w:kinsoku/>
        <w:overflowPunct/>
        <w:autoSpaceDE/>
        <w:autoSpaceDN/>
        <w:adjustRightInd/>
        <w:snapToGrid/>
        <w:spacing w:before="240" w:after="120" w:line="240" w:lineRule="exact"/>
        <w:ind w:right="1134"/>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ab/>
      </w:r>
      <w:r w:rsidRPr="001A5103">
        <w:rPr>
          <w:rFonts w:ascii="Times New Roman" w:eastAsia="Times New Roman" w:hAnsi="Times New Roman" w:cs="Times New Roman"/>
          <w:b/>
          <w:sz w:val="20"/>
          <w:szCs w:val="20"/>
          <w:lang w:val="en-GB" w:eastAsia="fr-FR"/>
        </w:rPr>
        <w:tab/>
        <w:t>Chapter 1.6</w:t>
      </w:r>
    </w:p>
    <w:p w14:paraId="2AFA0168"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1.6.4.55</w:t>
      </w:r>
      <w:r w:rsidRPr="001A5103">
        <w:rPr>
          <w:rFonts w:ascii="Times New Roman" w:eastAsia="Times New Roman" w:hAnsi="Times New Roman" w:cs="Times New Roman"/>
          <w:sz w:val="20"/>
          <w:szCs w:val="20"/>
          <w:lang w:val="en-GB" w:eastAsia="fr-FR"/>
        </w:rPr>
        <w:tab/>
        <w:t>Add the following new paragraph:</w:t>
      </w:r>
    </w:p>
    <w:p w14:paraId="5414C99F"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“1.6.4.55</w:t>
      </w:r>
      <w:r w:rsidRPr="001A5103">
        <w:rPr>
          <w:rFonts w:ascii="Times New Roman" w:eastAsia="Times New Roman" w:hAnsi="Times New Roman" w:cs="Times New Roman"/>
          <w:sz w:val="20"/>
          <w:szCs w:val="20"/>
          <w:lang w:val="en-GB" w:eastAsia="fr-FR"/>
        </w:rPr>
        <w:tab/>
      </w:r>
      <w:r w:rsidRPr="001A5103">
        <w:rPr>
          <w:rFonts w:ascii="Times New Roman" w:eastAsia="Times New Roman" w:hAnsi="Times New Roman" w:cs="Times New Roman"/>
          <w:sz w:val="20"/>
          <w:szCs w:val="20"/>
          <w:lang w:val="en-GB" w:eastAsia="nl-NL"/>
        </w:rPr>
        <w:t>Tank-containers which do not comply with the requirements of 6.8.3.4.6 applicable from 1 January 2023, may continue to be used if an intermediate inspection takes place at least 6 years after each periodic inspection performed after 1 July 2023.”</w:t>
      </w:r>
    </w:p>
    <w:p w14:paraId="3C87C69B"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documents: informal document INF.64, ECE/TRANS/WP.15/AC.1/2020/1 and ECE/TRANS/WP.15/AC.1/2020/7)</w:t>
      </w:r>
    </w:p>
    <w:p w14:paraId="3FDB0D16" w14:textId="77777777" w:rsidR="001A5103" w:rsidRPr="001A5103" w:rsidRDefault="001A5103" w:rsidP="000168F4">
      <w:pPr>
        <w:keepNext/>
        <w:keepLines/>
        <w:tabs>
          <w:tab w:val="right" w:pos="851"/>
        </w:tabs>
        <w:kinsoku/>
        <w:overflowPunct/>
        <w:autoSpaceDE/>
        <w:autoSpaceDN/>
        <w:adjustRightInd/>
        <w:snapToGrid/>
        <w:spacing w:before="240" w:after="120" w:line="240" w:lineRule="exact"/>
        <w:ind w:right="1134"/>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ab/>
      </w:r>
      <w:r w:rsidRPr="001A5103">
        <w:rPr>
          <w:rFonts w:ascii="Times New Roman" w:eastAsia="Times New Roman" w:hAnsi="Times New Roman" w:cs="Times New Roman"/>
          <w:b/>
          <w:sz w:val="20"/>
          <w:szCs w:val="20"/>
          <w:lang w:val="en-GB" w:eastAsia="fr-FR"/>
        </w:rPr>
        <w:tab/>
        <w:t>Chapter 1.9</w:t>
      </w:r>
    </w:p>
    <w:p w14:paraId="36D70287" w14:textId="77777777" w:rsidR="001A5103" w:rsidRPr="001A5103" w:rsidRDefault="001A5103" w:rsidP="001A5103">
      <w:pPr>
        <w:kinsoku/>
        <w:overflowPunct/>
        <w:autoSpaceDE/>
        <w:autoSpaceDN/>
        <w:adjustRightInd/>
        <w:snapToGrid/>
        <w:spacing w:after="120"/>
        <w:ind w:left="2268" w:right="1134" w:hanging="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1.9.4</w:t>
      </w:r>
      <w:r w:rsidRPr="001A5103">
        <w:rPr>
          <w:rFonts w:ascii="Times New Roman" w:eastAsia="Times New Roman" w:hAnsi="Times New Roman" w:cs="Times New Roman"/>
          <w:sz w:val="20"/>
          <w:szCs w:val="20"/>
          <w:lang w:val="en-GB" w:eastAsia="fr-FR"/>
        </w:rPr>
        <w:tab/>
        <w:t>After the reference to footnote 1, add a reference to a new footnote 2 to read as follows:</w:t>
      </w:r>
    </w:p>
    <w:p w14:paraId="7188B481" w14:textId="77777777" w:rsidR="001A5103" w:rsidRPr="001A5103" w:rsidRDefault="001A5103" w:rsidP="001A5103">
      <w:pPr>
        <w:kinsoku/>
        <w:overflowPunct/>
        <w:autoSpaceDE/>
        <w:autoSpaceDN/>
        <w:adjustRightInd/>
        <w:snapToGrid/>
        <w:spacing w:after="120"/>
        <w:ind w:left="1134" w:righ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w:t>
      </w:r>
      <w:r w:rsidRPr="001A5103">
        <w:rPr>
          <w:rFonts w:ascii="Times New Roman" w:eastAsia="Times New Roman" w:hAnsi="Times New Roman" w:cs="Times New Roman"/>
          <w:sz w:val="20"/>
          <w:szCs w:val="20"/>
          <w:vertAlign w:val="superscript"/>
          <w:lang w:val="en-GB" w:eastAsia="fr-FR"/>
        </w:rPr>
        <w:t>2</w:t>
      </w:r>
      <w:r w:rsidRPr="001A5103">
        <w:rPr>
          <w:rFonts w:ascii="Times New Roman" w:eastAsia="Times New Roman" w:hAnsi="Times New Roman" w:cs="Times New Roman"/>
          <w:sz w:val="20"/>
          <w:szCs w:val="20"/>
          <w:lang w:val="en-GB" w:eastAsia="fr-FR"/>
        </w:rPr>
        <w:t xml:space="preserve"> </w:t>
      </w:r>
      <w:r w:rsidRPr="001A5103">
        <w:rPr>
          <w:rFonts w:ascii="Times New Roman" w:eastAsia="Times New Roman" w:hAnsi="Times New Roman" w:cs="Times New Roman"/>
          <w:sz w:val="20"/>
          <w:szCs w:val="20"/>
          <w:lang w:val="en-GB" w:eastAsia="fr-FR"/>
        </w:rPr>
        <w:tab/>
        <w:t>Multimodal guidelines (</w:t>
      </w:r>
      <w:r w:rsidRPr="001A5103">
        <w:rPr>
          <w:rFonts w:ascii="Times New Roman" w:eastAsia="Times New Roman" w:hAnsi="Times New Roman" w:cs="Times New Roman"/>
          <w:i/>
          <w:sz w:val="20"/>
          <w:szCs w:val="20"/>
          <w:lang w:val="en-GB" w:eastAsia="fr-FR"/>
        </w:rPr>
        <w:t>Inland TDG Risk Management Framework</w:t>
      </w:r>
      <w:r w:rsidRPr="001A5103">
        <w:rPr>
          <w:rFonts w:ascii="Times New Roman" w:eastAsia="Times New Roman" w:hAnsi="Times New Roman" w:cs="Times New Roman"/>
          <w:sz w:val="20"/>
          <w:szCs w:val="20"/>
          <w:lang w:val="en-GB" w:eastAsia="fr-FR"/>
        </w:rPr>
        <w:t>) may be consulted on the website of the Directorate General for Mobility and Transport of the European Commission (</w:t>
      </w:r>
      <w:hyperlink r:id="rId13" w:history="1">
        <w:r w:rsidRPr="001A5103">
          <w:rPr>
            <w:rFonts w:ascii="Times New Roman" w:eastAsia="Times New Roman" w:hAnsi="Times New Roman" w:cs="Times New Roman"/>
            <w:color w:val="0000FF"/>
            <w:sz w:val="20"/>
            <w:szCs w:val="20"/>
            <w:lang w:val="en-GB" w:eastAsia="fr-FR"/>
          </w:rPr>
          <w:t>https://ec.europa.eu/transport/themes/dangerous_good/risk_management_framework_en)</w:t>
        </w:r>
      </w:hyperlink>
      <w:r w:rsidRPr="001A5103">
        <w:rPr>
          <w:rFonts w:ascii="Times New Roman" w:eastAsia="Times New Roman" w:hAnsi="Times New Roman" w:cs="Times New Roman"/>
          <w:sz w:val="20"/>
          <w:szCs w:val="20"/>
          <w:lang w:val="en-GB" w:eastAsia="fr-FR"/>
        </w:rPr>
        <w:t>.”</w:t>
      </w:r>
    </w:p>
    <w:p w14:paraId="18E6D51A"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informal document INF.62, as amended)</w:t>
      </w:r>
    </w:p>
    <w:p w14:paraId="6A8A1592" w14:textId="77777777" w:rsidR="001A5103" w:rsidRPr="001A5103" w:rsidRDefault="001A5103" w:rsidP="000168F4">
      <w:pPr>
        <w:keepNext/>
        <w:keepLines/>
        <w:tabs>
          <w:tab w:val="right" w:pos="851"/>
        </w:tabs>
        <w:kinsoku/>
        <w:overflowPunct/>
        <w:autoSpaceDE/>
        <w:autoSpaceDN/>
        <w:adjustRightInd/>
        <w:snapToGrid/>
        <w:spacing w:before="240" w:after="120" w:line="240" w:lineRule="exact"/>
        <w:ind w:right="1134"/>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ab/>
      </w:r>
      <w:r w:rsidRPr="001A5103">
        <w:rPr>
          <w:rFonts w:ascii="Times New Roman" w:eastAsia="Times New Roman" w:hAnsi="Times New Roman" w:cs="Times New Roman"/>
          <w:b/>
          <w:sz w:val="20"/>
          <w:szCs w:val="20"/>
          <w:lang w:val="en-GB" w:eastAsia="fr-FR"/>
        </w:rPr>
        <w:tab/>
        <w:t>Chapter 2.2</w:t>
      </w:r>
    </w:p>
    <w:p w14:paraId="4E6A6BB0" w14:textId="77777777" w:rsidR="001A5103" w:rsidRPr="001A5103" w:rsidRDefault="001A5103" w:rsidP="001A5103">
      <w:pPr>
        <w:kinsoku/>
        <w:overflowPunct/>
        <w:autoSpaceDE/>
        <w:autoSpaceDN/>
        <w:adjustRightInd/>
        <w:snapToGrid/>
        <w:spacing w:after="120"/>
        <w:ind w:left="2268" w:right="1134" w:hanging="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2.2.2.2.2</w:t>
      </w:r>
      <w:r w:rsidRPr="001A5103">
        <w:rPr>
          <w:rFonts w:ascii="Times New Roman" w:eastAsia="Times New Roman" w:hAnsi="Times New Roman" w:cs="Times New Roman"/>
          <w:sz w:val="20"/>
          <w:szCs w:val="20"/>
          <w:lang w:val="en-GB" w:eastAsia="fr-FR"/>
        </w:rPr>
        <w:tab/>
        <w:t>Amend the fifth indent to read:</w:t>
      </w:r>
    </w:p>
    <w:p w14:paraId="63B21D1F"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w:t>
      </w:r>
      <w:r w:rsidRPr="001A5103">
        <w:rPr>
          <w:rFonts w:ascii="Times New Roman" w:eastAsia="Times New Roman" w:hAnsi="Times New Roman" w:cs="Times New Roman"/>
          <w:sz w:val="20"/>
          <w:szCs w:val="20"/>
          <w:lang w:val="en-GB" w:eastAsia="fr-FR"/>
        </w:rPr>
        <w:tab/>
        <w:t>Dissolved gases which cannot be classified under UN Nos. 1001, 1043, 2073 or 3318. For UN No. 1043, see special provision 642;”.</w:t>
      </w:r>
    </w:p>
    <w:p w14:paraId="43141477"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ECE/TRANS/WP.15/AC.1/2020/36)</w:t>
      </w:r>
    </w:p>
    <w:p w14:paraId="7461E9C7" w14:textId="77777777" w:rsidR="001A5103" w:rsidRPr="001A5103" w:rsidRDefault="001A5103" w:rsidP="000168F4">
      <w:pPr>
        <w:keepNext/>
        <w:keepLines/>
        <w:tabs>
          <w:tab w:val="right" w:pos="851"/>
        </w:tabs>
        <w:kinsoku/>
        <w:overflowPunct/>
        <w:autoSpaceDE/>
        <w:autoSpaceDN/>
        <w:adjustRightInd/>
        <w:snapToGrid/>
        <w:spacing w:before="240" w:after="120" w:line="240" w:lineRule="exact"/>
        <w:ind w:right="1134"/>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ab/>
      </w:r>
      <w:r w:rsidRPr="001A5103">
        <w:rPr>
          <w:rFonts w:ascii="Times New Roman" w:eastAsia="Times New Roman" w:hAnsi="Times New Roman" w:cs="Times New Roman"/>
          <w:b/>
          <w:sz w:val="20"/>
          <w:szCs w:val="20"/>
          <w:lang w:val="en-GB" w:eastAsia="fr-FR"/>
        </w:rPr>
        <w:tab/>
        <w:t>Chapter 3.2, Table A</w:t>
      </w:r>
    </w:p>
    <w:p w14:paraId="46D14699" w14:textId="77777777" w:rsidR="001A5103" w:rsidRPr="001A5103" w:rsidRDefault="001A5103" w:rsidP="001A5103">
      <w:pPr>
        <w:kinsoku/>
        <w:overflowPunct/>
        <w:autoSpaceDE/>
        <w:autoSpaceDN/>
        <w:adjustRightInd/>
        <w:snapToGrid/>
        <w:spacing w:after="120"/>
        <w:ind w:left="2268" w:right="1134" w:hanging="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UN 1345</w:t>
      </w:r>
      <w:r w:rsidRPr="001A5103">
        <w:rPr>
          <w:rFonts w:ascii="Times New Roman" w:eastAsia="Times New Roman" w:hAnsi="Times New Roman" w:cs="Times New Roman"/>
          <w:sz w:val="20"/>
          <w:szCs w:val="20"/>
          <w:lang w:val="en-GB" w:eastAsia="fr-FR"/>
        </w:rPr>
        <w:tab/>
      </w:r>
      <w:r w:rsidRPr="001A5103">
        <w:rPr>
          <w:rFonts w:ascii="Times New Roman" w:eastAsia="Times New Roman" w:hAnsi="Times New Roman" w:cs="Times New Roman"/>
          <w:sz w:val="20"/>
          <w:szCs w:val="20"/>
          <w:lang w:val="en-GB" w:eastAsia="fr-FR"/>
        </w:rPr>
        <w:tab/>
        <w:t>In column (2), add “, not exceeding 840 microns and rubber content exceeding 45%”.</w:t>
      </w:r>
    </w:p>
    <w:p w14:paraId="658E4707"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ECE/TRANS/WP.15/AC.1/2020/37, proposal 1)</w:t>
      </w:r>
    </w:p>
    <w:p w14:paraId="1E47C384" w14:textId="77777777" w:rsidR="001A5103" w:rsidRPr="001A5103" w:rsidRDefault="001A5103" w:rsidP="001A5103">
      <w:pPr>
        <w:kinsoku/>
        <w:overflowPunct/>
        <w:autoSpaceDE/>
        <w:autoSpaceDN/>
        <w:adjustRightInd/>
        <w:snapToGrid/>
        <w:spacing w:after="120"/>
        <w:ind w:left="2268" w:right="1134" w:hanging="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UN 1872</w:t>
      </w:r>
      <w:r w:rsidRPr="001A5103">
        <w:rPr>
          <w:rFonts w:ascii="Times New Roman" w:eastAsia="Times New Roman" w:hAnsi="Times New Roman" w:cs="Times New Roman"/>
          <w:sz w:val="20"/>
          <w:szCs w:val="20"/>
          <w:lang w:val="en-GB" w:eastAsia="fr-FR"/>
        </w:rPr>
        <w:tab/>
      </w:r>
      <w:r w:rsidRPr="001A5103">
        <w:rPr>
          <w:rFonts w:ascii="Times New Roman" w:eastAsia="Times New Roman" w:hAnsi="Times New Roman" w:cs="Times New Roman"/>
          <w:sz w:val="20"/>
          <w:szCs w:val="20"/>
          <w:lang w:val="en-GB" w:eastAsia="fr-FR"/>
        </w:rPr>
        <w:tab/>
        <w:t>In column (3b), amend “OT2” to read “O2”. In column (5), delete “+ 6.1”.</w:t>
      </w:r>
    </w:p>
    <w:p w14:paraId="42246EFA" w14:textId="7FECA899" w:rsidR="001A5103" w:rsidRPr="001A5103" w:rsidRDefault="001A5103" w:rsidP="001A5103">
      <w:pPr>
        <w:kinsoku/>
        <w:overflowPunct/>
        <w:autoSpaceDE/>
        <w:autoSpaceDN/>
        <w:adjustRightInd/>
        <w:spacing w:before="120" w:after="120"/>
        <w:ind w:left="2268"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lastRenderedPageBreak/>
        <w:t>In column (12), amend “SGAN” to read “SGAV”. In column (17), insert: “VC1 VC2 AP6 AP7”. In column (18), delete “CV28”. In column (20), amend “56” to read “50”.</w:t>
      </w:r>
    </w:p>
    <w:p w14:paraId="0AC2465D"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ECE/TRANS/WP.15/AC.1/2020/53)</w:t>
      </w:r>
    </w:p>
    <w:p w14:paraId="5A121395" w14:textId="77777777" w:rsidR="001A5103" w:rsidRPr="001A5103" w:rsidRDefault="001A5103" w:rsidP="001A5103">
      <w:pPr>
        <w:kinsoku/>
        <w:overflowPunct/>
        <w:autoSpaceDE/>
        <w:autoSpaceDN/>
        <w:adjustRightInd/>
        <w:snapToGrid/>
        <w:spacing w:after="120"/>
        <w:ind w:left="2268" w:right="1134" w:hanging="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UN 2015</w:t>
      </w:r>
      <w:r w:rsidRPr="001A5103">
        <w:rPr>
          <w:rFonts w:ascii="Times New Roman" w:eastAsia="Times New Roman" w:hAnsi="Times New Roman" w:cs="Times New Roman"/>
          <w:sz w:val="20"/>
          <w:szCs w:val="20"/>
          <w:lang w:val="en-GB" w:eastAsia="fr-FR"/>
        </w:rPr>
        <w:tab/>
        <w:t>For the first entry, in column (2), before the existing text, insert “HYDROGEN PEROXIDE, STABILIZED or”.</w:t>
      </w:r>
    </w:p>
    <w:p w14:paraId="02862502"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ECE/TRANS/WP.15/AC.1/2020/39)</w:t>
      </w:r>
    </w:p>
    <w:p w14:paraId="6F466416" w14:textId="77777777" w:rsidR="001A5103" w:rsidRPr="001A5103" w:rsidRDefault="001A5103" w:rsidP="001A5103">
      <w:pPr>
        <w:kinsoku/>
        <w:overflowPunct/>
        <w:autoSpaceDE/>
        <w:autoSpaceDN/>
        <w:adjustRightInd/>
        <w:snapToGrid/>
        <w:spacing w:after="120"/>
        <w:ind w:left="2268" w:right="1134" w:hanging="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[UN 3509</w:t>
      </w:r>
      <w:r w:rsidRPr="001A5103">
        <w:rPr>
          <w:rFonts w:ascii="Times New Roman" w:eastAsia="Times New Roman" w:hAnsi="Times New Roman" w:cs="Times New Roman"/>
          <w:sz w:val="20"/>
          <w:szCs w:val="20"/>
          <w:lang w:val="en-GB" w:eastAsia="fr-FR"/>
        </w:rPr>
        <w:tab/>
        <w:t>In column (17), insert “VC1”.]</w:t>
      </w:r>
    </w:p>
    <w:p w14:paraId="1A961BBE" w14:textId="05EABE3B" w:rsidR="0011052E" w:rsidRPr="001A5103" w:rsidRDefault="001A5103" w:rsidP="00004289">
      <w:pPr>
        <w:kinsoku/>
        <w:overflowPunct/>
        <w:autoSpaceDE/>
        <w:autoSpaceDN/>
        <w:adjustRightInd/>
        <w:snapToGrid/>
        <w:spacing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ECE/TRANS/WP.15/AC.1/2020/62)</w:t>
      </w:r>
    </w:p>
    <w:p w14:paraId="4D6086D7" w14:textId="77777777" w:rsidR="001A5103" w:rsidRPr="001A5103" w:rsidRDefault="001A5103" w:rsidP="001A5103">
      <w:pPr>
        <w:kinsoku/>
        <w:overflowPunct/>
        <w:autoSpaceDE/>
        <w:autoSpaceDN/>
        <w:adjustRightInd/>
        <w:snapToGrid/>
        <w:spacing w:after="120"/>
        <w:ind w:left="2268" w:right="1134" w:hanging="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UN 3536</w:t>
      </w:r>
      <w:r w:rsidRPr="001A5103">
        <w:rPr>
          <w:rFonts w:ascii="Times New Roman" w:eastAsia="Times New Roman" w:hAnsi="Times New Roman" w:cs="Times New Roman"/>
          <w:sz w:val="20"/>
          <w:szCs w:val="20"/>
          <w:lang w:val="en-GB" w:eastAsia="fr-FR"/>
        </w:rPr>
        <w:tab/>
      </w:r>
      <w:r w:rsidRPr="001A5103">
        <w:rPr>
          <w:rFonts w:ascii="Times New Roman" w:eastAsia="Times New Roman" w:hAnsi="Times New Roman" w:cs="Times New Roman"/>
          <w:sz w:val="20"/>
          <w:szCs w:val="20"/>
          <w:lang w:val="en-GB" w:eastAsia="fr-FR"/>
        </w:rPr>
        <w:tab/>
        <w:t>In column (15), at the top of the cell, replace “-” by “2”.</w:t>
      </w:r>
    </w:p>
    <w:p w14:paraId="0B21B682"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ECE/TRANS/WP.15/AC.1/2020/66, proposal 2)</w:t>
      </w:r>
    </w:p>
    <w:p w14:paraId="276348E2" w14:textId="77777777" w:rsidR="001A5103" w:rsidRPr="001A5103" w:rsidRDefault="001A5103" w:rsidP="000168F4">
      <w:pPr>
        <w:keepNext/>
        <w:keepLines/>
        <w:tabs>
          <w:tab w:val="right" w:pos="851"/>
        </w:tabs>
        <w:kinsoku/>
        <w:overflowPunct/>
        <w:autoSpaceDE/>
        <w:autoSpaceDN/>
        <w:adjustRightInd/>
        <w:snapToGrid/>
        <w:spacing w:before="240" w:after="120" w:line="240" w:lineRule="exact"/>
        <w:ind w:right="1134"/>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ab/>
      </w:r>
      <w:r w:rsidRPr="001A5103">
        <w:rPr>
          <w:rFonts w:ascii="Times New Roman" w:eastAsia="Times New Roman" w:hAnsi="Times New Roman" w:cs="Times New Roman"/>
          <w:b/>
          <w:sz w:val="20"/>
          <w:szCs w:val="20"/>
          <w:lang w:val="en-GB" w:eastAsia="fr-FR"/>
        </w:rPr>
        <w:tab/>
        <w:t>Chapter 3.2, Table B</w:t>
      </w:r>
    </w:p>
    <w:p w14:paraId="26EFCDA9"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For the entry “RUBBER SCRAP, powdered or granulated”, add in column (1):</w:t>
      </w:r>
    </w:p>
    <w:p w14:paraId="58B191C7"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 not exceeding 840 microns and rubber content exceeding 45%”.</w:t>
      </w:r>
    </w:p>
    <w:p w14:paraId="2F3260C7"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ECE/TRANS/WP.15/AC.1/2020/37, proposal 1)</w:t>
      </w:r>
    </w:p>
    <w:p w14:paraId="3AB771D5"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For the entry “RUBBER SHODDY, powdered or granulated”, add in column (1):</w:t>
      </w:r>
    </w:p>
    <w:p w14:paraId="2A96D36B"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 not exceeding 840 microns and rubber content exceeding 45%”.</w:t>
      </w:r>
    </w:p>
    <w:p w14:paraId="77397DF1"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ECE/TRANS/WP.15/AC.1/2020/37, proposal 1)</w:t>
      </w:r>
    </w:p>
    <w:p w14:paraId="3A8F386B" w14:textId="77777777" w:rsidR="001A5103" w:rsidRPr="001A5103" w:rsidRDefault="001A5103" w:rsidP="001A5103">
      <w:pPr>
        <w:keepNext/>
        <w:keepLines/>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In alphabetical order, insert the following new entry:</w:t>
      </w:r>
    </w:p>
    <w:p w14:paraId="23743611"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w:t>
      </w:r>
    </w:p>
    <w:tbl>
      <w:tblPr>
        <w:tblStyle w:val="TableGrid1"/>
        <w:tblW w:w="0" w:type="auto"/>
        <w:tblInd w:w="1418" w:type="dxa"/>
        <w:tblLook w:val="04A0" w:firstRow="1" w:lastRow="0" w:firstColumn="1" w:lastColumn="0" w:noHBand="0" w:noVBand="1"/>
      </w:tblPr>
      <w:tblGrid>
        <w:gridCol w:w="4530"/>
        <w:gridCol w:w="992"/>
        <w:gridCol w:w="1276"/>
        <w:gridCol w:w="1412"/>
      </w:tblGrid>
      <w:tr w:rsidR="001A5103" w:rsidRPr="001A5103" w14:paraId="2003C360" w14:textId="77777777" w:rsidTr="00D10BD9">
        <w:tc>
          <w:tcPr>
            <w:tcW w:w="4531" w:type="dxa"/>
          </w:tcPr>
          <w:p w14:paraId="3C4AF1CF" w14:textId="77777777" w:rsidR="001A5103" w:rsidRPr="001A5103" w:rsidRDefault="001A5103" w:rsidP="001A5103">
            <w:pPr>
              <w:tabs>
                <w:tab w:val="left" w:pos="1418"/>
                <w:tab w:val="left" w:pos="1843"/>
              </w:tabs>
              <w:kinsoku/>
              <w:overflowPunct/>
              <w:autoSpaceDE/>
              <w:autoSpaceDN/>
              <w:adjustRightInd/>
              <w:snapToGrid/>
              <w:rPr>
                <w:lang w:val="en-GB"/>
              </w:rPr>
            </w:pPr>
            <w:r w:rsidRPr="001A5103">
              <w:rPr>
                <w:lang w:val="en-GB"/>
              </w:rPr>
              <w:t>Name and description</w:t>
            </w:r>
          </w:p>
        </w:tc>
        <w:tc>
          <w:tcPr>
            <w:tcW w:w="992" w:type="dxa"/>
          </w:tcPr>
          <w:p w14:paraId="222B5E8E" w14:textId="77777777" w:rsidR="001A5103" w:rsidRPr="001A5103" w:rsidRDefault="001A5103" w:rsidP="001A5103">
            <w:pPr>
              <w:tabs>
                <w:tab w:val="left" w:pos="1418"/>
                <w:tab w:val="left" w:pos="1843"/>
              </w:tabs>
              <w:kinsoku/>
              <w:overflowPunct/>
              <w:autoSpaceDE/>
              <w:autoSpaceDN/>
              <w:adjustRightInd/>
              <w:snapToGrid/>
              <w:rPr>
                <w:lang w:val="en-GB"/>
              </w:rPr>
            </w:pPr>
            <w:r w:rsidRPr="001A5103">
              <w:rPr>
                <w:lang w:val="en-GB"/>
              </w:rPr>
              <w:t>UN No.</w:t>
            </w:r>
          </w:p>
        </w:tc>
        <w:tc>
          <w:tcPr>
            <w:tcW w:w="1276" w:type="dxa"/>
          </w:tcPr>
          <w:p w14:paraId="74D72495" w14:textId="77777777" w:rsidR="001A5103" w:rsidRPr="001A5103" w:rsidRDefault="001A5103" w:rsidP="001A5103">
            <w:pPr>
              <w:tabs>
                <w:tab w:val="left" w:pos="1418"/>
                <w:tab w:val="left" w:pos="1843"/>
              </w:tabs>
              <w:kinsoku/>
              <w:overflowPunct/>
              <w:autoSpaceDE/>
              <w:autoSpaceDN/>
              <w:adjustRightInd/>
              <w:snapToGrid/>
              <w:rPr>
                <w:lang w:val="en-GB"/>
              </w:rPr>
            </w:pPr>
            <w:r w:rsidRPr="001A5103">
              <w:rPr>
                <w:lang w:val="en-GB"/>
              </w:rPr>
              <w:t>Class</w:t>
            </w:r>
          </w:p>
        </w:tc>
        <w:tc>
          <w:tcPr>
            <w:tcW w:w="1412" w:type="dxa"/>
          </w:tcPr>
          <w:p w14:paraId="7CA34E67" w14:textId="77777777" w:rsidR="001A5103" w:rsidRPr="001A5103" w:rsidRDefault="001A5103" w:rsidP="001A5103">
            <w:pPr>
              <w:tabs>
                <w:tab w:val="left" w:pos="1418"/>
                <w:tab w:val="left" w:pos="1843"/>
              </w:tabs>
              <w:kinsoku/>
              <w:overflowPunct/>
              <w:autoSpaceDE/>
              <w:autoSpaceDN/>
              <w:adjustRightInd/>
              <w:snapToGrid/>
              <w:rPr>
                <w:lang w:val="en-GB"/>
              </w:rPr>
            </w:pPr>
            <w:r w:rsidRPr="001A5103">
              <w:rPr>
                <w:lang w:val="en-GB"/>
              </w:rPr>
              <w:t>Remarks</w:t>
            </w:r>
          </w:p>
        </w:tc>
      </w:tr>
      <w:tr w:rsidR="001A5103" w:rsidRPr="001A5103" w14:paraId="01B1AD62" w14:textId="77777777" w:rsidTr="00D10BD9">
        <w:tc>
          <w:tcPr>
            <w:tcW w:w="4531" w:type="dxa"/>
          </w:tcPr>
          <w:p w14:paraId="4B6AFA63" w14:textId="77777777" w:rsidR="001A5103" w:rsidRPr="001A5103" w:rsidRDefault="001A5103" w:rsidP="001A5103">
            <w:pPr>
              <w:tabs>
                <w:tab w:val="left" w:pos="1418"/>
                <w:tab w:val="left" w:pos="1843"/>
              </w:tabs>
              <w:kinsoku/>
              <w:overflowPunct/>
              <w:autoSpaceDE/>
              <w:autoSpaceDN/>
              <w:adjustRightInd/>
              <w:snapToGrid/>
              <w:rPr>
                <w:lang w:val="en-GB"/>
              </w:rPr>
            </w:pPr>
            <w:r w:rsidRPr="001A5103">
              <w:rPr>
                <w:lang w:val="en-GB"/>
              </w:rPr>
              <w:t>HYDROGEN PEROXIDE, STABILIZED</w:t>
            </w:r>
          </w:p>
        </w:tc>
        <w:tc>
          <w:tcPr>
            <w:tcW w:w="992" w:type="dxa"/>
          </w:tcPr>
          <w:p w14:paraId="621490DD" w14:textId="77777777" w:rsidR="001A5103" w:rsidRPr="001A5103" w:rsidRDefault="001A5103" w:rsidP="001A5103">
            <w:pPr>
              <w:tabs>
                <w:tab w:val="left" w:pos="1418"/>
                <w:tab w:val="left" w:pos="1843"/>
              </w:tabs>
              <w:kinsoku/>
              <w:overflowPunct/>
              <w:autoSpaceDE/>
              <w:autoSpaceDN/>
              <w:adjustRightInd/>
              <w:snapToGrid/>
              <w:rPr>
                <w:lang w:val="en-GB"/>
              </w:rPr>
            </w:pPr>
            <w:r w:rsidRPr="001A5103">
              <w:rPr>
                <w:lang w:val="en-GB"/>
              </w:rPr>
              <w:t>2015</w:t>
            </w:r>
          </w:p>
        </w:tc>
        <w:tc>
          <w:tcPr>
            <w:tcW w:w="1276" w:type="dxa"/>
          </w:tcPr>
          <w:p w14:paraId="4A065383" w14:textId="77777777" w:rsidR="001A5103" w:rsidRPr="001A5103" w:rsidRDefault="001A5103" w:rsidP="001A5103">
            <w:pPr>
              <w:tabs>
                <w:tab w:val="left" w:pos="1418"/>
                <w:tab w:val="left" w:pos="1843"/>
              </w:tabs>
              <w:kinsoku/>
              <w:overflowPunct/>
              <w:autoSpaceDE/>
              <w:autoSpaceDN/>
              <w:adjustRightInd/>
              <w:snapToGrid/>
              <w:rPr>
                <w:lang w:val="en-GB"/>
              </w:rPr>
            </w:pPr>
            <w:r w:rsidRPr="001A5103">
              <w:rPr>
                <w:lang w:val="en-GB"/>
              </w:rPr>
              <w:t>5.1</w:t>
            </w:r>
          </w:p>
        </w:tc>
        <w:tc>
          <w:tcPr>
            <w:tcW w:w="1412" w:type="dxa"/>
          </w:tcPr>
          <w:p w14:paraId="6FBEB1A3" w14:textId="77777777" w:rsidR="001A5103" w:rsidRPr="001A5103" w:rsidRDefault="001A5103" w:rsidP="001A5103">
            <w:pPr>
              <w:tabs>
                <w:tab w:val="left" w:pos="1418"/>
                <w:tab w:val="left" w:pos="1843"/>
              </w:tabs>
              <w:kinsoku/>
              <w:overflowPunct/>
              <w:autoSpaceDE/>
              <w:autoSpaceDN/>
              <w:adjustRightInd/>
              <w:snapToGrid/>
              <w:rPr>
                <w:lang w:val="en-GB"/>
              </w:rPr>
            </w:pPr>
          </w:p>
        </w:tc>
      </w:tr>
    </w:tbl>
    <w:p w14:paraId="18554320" w14:textId="77777777" w:rsidR="001A5103" w:rsidRPr="001A5103" w:rsidRDefault="001A5103" w:rsidP="001A5103">
      <w:pPr>
        <w:kinsoku/>
        <w:overflowPunct/>
        <w:autoSpaceDE/>
        <w:autoSpaceDN/>
        <w:adjustRightInd/>
        <w:spacing w:before="120" w:after="120"/>
        <w:ind w:left="1134"/>
        <w:jc w:val="right"/>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w:t>
      </w:r>
    </w:p>
    <w:p w14:paraId="19FCD0C9"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ECE/TRANS/WP.15/AC.1/2020/39)</w:t>
      </w:r>
    </w:p>
    <w:p w14:paraId="12E2754E" w14:textId="77777777" w:rsidR="001A5103" w:rsidRPr="001A5103" w:rsidRDefault="001A5103" w:rsidP="000168F4">
      <w:pPr>
        <w:keepNext/>
        <w:keepLines/>
        <w:tabs>
          <w:tab w:val="right" w:pos="851"/>
        </w:tabs>
        <w:kinsoku/>
        <w:overflowPunct/>
        <w:autoSpaceDE/>
        <w:autoSpaceDN/>
        <w:adjustRightInd/>
        <w:snapToGrid/>
        <w:spacing w:before="240" w:after="120" w:line="240" w:lineRule="exact"/>
        <w:ind w:right="1134"/>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ab/>
      </w:r>
      <w:r w:rsidRPr="001A5103">
        <w:rPr>
          <w:rFonts w:ascii="Times New Roman" w:eastAsia="Times New Roman" w:hAnsi="Times New Roman" w:cs="Times New Roman"/>
          <w:b/>
          <w:sz w:val="20"/>
          <w:szCs w:val="20"/>
          <w:lang w:val="en-GB" w:eastAsia="fr-FR"/>
        </w:rPr>
        <w:tab/>
        <w:t>Chapter 3.3</w:t>
      </w:r>
    </w:p>
    <w:p w14:paraId="63167825"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SP 389</w:t>
      </w:r>
      <w:r w:rsidRPr="001A5103">
        <w:rPr>
          <w:rFonts w:ascii="Times New Roman" w:eastAsia="Times New Roman" w:hAnsi="Times New Roman" w:cs="Times New Roman"/>
          <w:sz w:val="20"/>
          <w:szCs w:val="20"/>
          <w:lang w:val="en-GB" w:eastAsia="fr-FR"/>
        </w:rPr>
        <w:tab/>
        <w:t>At the beginning of the last sentence, insert “Except as provided in 1.1.3.6”.</w:t>
      </w:r>
    </w:p>
    <w:p w14:paraId="700C02F9"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ECE/TRANS/WP.15/AC.1/2020/66, proposal 3)</w:t>
      </w:r>
    </w:p>
    <w:p w14:paraId="17DAFB01"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SP 591</w:t>
      </w:r>
      <w:r w:rsidRPr="001A5103">
        <w:rPr>
          <w:rFonts w:ascii="Times New Roman" w:eastAsia="Times New Roman" w:hAnsi="Times New Roman" w:cs="Times New Roman"/>
          <w:sz w:val="20"/>
          <w:szCs w:val="20"/>
          <w:lang w:val="en-GB" w:eastAsia="fr-FR"/>
        </w:rPr>
        <w:tab/>
        <w:t>After “the requirements”, insert “of Class 8”.</w:t>
      </w:r>
    </w:p>
    <w:p w14:paraId="46DC023F"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ECE/RANS/WP.15/AC.1/2020/5)</w:t>
      </w:r>
    </w:p>
    <w:p w14:paraId="4E52D24E"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SP 642</w:t>
      </w:r>
      <w:r w:rsidRPr="001A5103">
        <w:rPr>
          <w:rFonts w:ascii="Times New Roman" w:eastAsia="Times New Roman" w:hAnsi="Times New Roman" w:cs="Times New Roman"/>
          <w:sz w:val="20"/>
          <w:szCs w:val="20"/>
          <w:lang w:val="en-GB" w:eastAsia="fr-FR"/>
        </w:rPr>
        <w:tab/>
        <w:t>At the end, add the following sentence:</w:t>
      </w:r>
    </w:p>
    <w:p w14:paraId="5A5ACDF5"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“Otherwise, for carriage of ammonia solution, see UN Nos. 2073, 2672 and 3318.”</w:t>
      </w:r>
    </w:p>
    <w:p w14:paraId="689C0A37"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ECE/TRANS/WP.15/AC.1/2020/36)</w:t>
      </w:r>
    </w:p>
    <w:p w14:paraId="4540D47E"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SP 663</w:t>
      </w:r>
      <w:r w:rsidRPr="001A5103">
        <w:rPr>
          <w:rFonts w:ascii="Times New Roman" w:eastAsia="Times New Roman" w:hAnsi="Times New Roman" w:cs="Times New Roman"/>
          <w:sz w:val="20"/>
          <w:szCs w:val="20"/>
          <w:lang w:val="en-GB" w:eastAsia="fr-FR"/>
        </w:rPr>
        <w:tab/>
        <w:t>Amend the first paragraph under “</w:t>
      </w:r>
      <w:r w:rsidRPr="001A5103">
        <w:rPr>
          <w:rFonts w:ascii="Times New Roman" w:eastAsia="Times New Roman" w:hAnsi="Times New Roman" w:cs="Times New Roman"/>
          <w:b/>
          <w:bCs/>
          <w:sz w:val="20"/>
          <w:szCs w:val="20"/>
          <w:lang w:val="en-GB" w:eastAsia="fr-FR"/>
        </w:rPr>
        <w:t>General provisions:</w:t>
      </w:r>
      <w:r w:rsidRPr="001A5103">
        <w:rPr>
          <w:rFonts w:ascii="Times New Roman" w:eastAsia="Times New Roman" w:hAnsi="Times New Roman" w:cs="Times New Roman"/>
          <w:sz w:val="20"/>
          <w:szCs w:val="20"/>
          <w:lang w:val="en-GB" w:eastAsia="fr-FR"/>
        </w:rPr>
        <w:t>” to read as follows:</w:t>
      </w:r>
    </w:p>
    <w:p w14:paraId="6324D0EB"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w:t>
      </w:r>
      <w:proofErr w:type="spellStart"/>
      <w:r w:rsidRPr="001A5103">
        <w:rPr>
          <w:rFonts w:ascii="Times New Roman" w:eastAsia="Times New Roman" w:hAnsi="Times New Roman" w:cs="Times New Roman"/>
          <w:sz w:val="20"/>
          <w:szCs w:val="20"/>
          <w:lang w:val="en-GB" w:eastAsia="fr-FR"/>
        </w:rPr>
        <w:t>Packagings</w:t>
      </w:r>
      <w:proofErr w:type="spellEnd"/>
      <w:r w:rsidRPr="001A5103">
        <w:rPr>
          <w:rFonts w:ascii="Times New Roman" w:eastAsia="Times New Roman" w:hAnsi="Times New Roman" w:cs="Times New Roman"/>
          <w:sz w:val="20"/>
          <w:szCs w:val="20"/>
          <w:lang w:val="en-GB" w:eastAsia="fr-FR"/>
        </w:rPr>
        <w:t xml:space="preserve">, discarded, empty, uncleaned with residues presenting a primary or subsidiary hazard of Class 5.1 shall not be loaded in bulk together with </w:t>
      </w:r>
      <w:proofErr w:type="spellStart"/>
      <w:r w:rsidRPr="001A5103">
        <w:rPr>
          <w:rFonts w:ascii="Times New Roman" w:eastAsia="Times New Roman" w:hAnsi="Times New Roman" w:cs="Times New Roman"/>
          <w:sz w:val="20"/>
          <w:szCs w:val="20"/>
          <w:lang w:val="en-GB" w:eastAsia="fr-FR"/>
        </w:rPr>
        <w:t>packagings</w:t>
      </w:r>
      <w:proofErr w:type="spellEnd"/>
      <w:r w:rsidRPr="001A5103">
        <w:rPr>
          <w:rFonts w:ascii="Times New Roman" w:eastAsia="Times New Roman" w:hAnsi="Times New Roman" w:cs="Times New Roman"/>
          <w:sz w:val="20"/>
          <w:szCs w:val="20"/>
          <w:lang w:val="en-GB" w:eastAsia="fr-FR"/>
        </w:rPr>
        <w:t xml:space="preserve">, discarded, empty, uncleaned with residues presenting a hazard of other classes. </w:t>
      </w:r>
      <w:proofErr w:type="spellStart"/>
      <w:r w:rsidRPr="001A5103">
        <w:rPr>
          <w:rFonts w:ascii="Times New Roman" w:eastAsia="Times New Roman" w:hAnsi="Times New Roman" w:cs="Times New Roman"/>
          <w:sz w:val="20"/>
          <w:szCs w:val="20"/>
          <w:lang w:val="en-GB" w:eastAsia="fr-FR"/>
        </w:rPr>
        <w:t>Packagings</w:t>
      </w:r>
      <w:proofErr w:type="spellEnd"/>
      <w:r w:rsidRPr="001A5103">
        <w:rPr>
          <w:rFonts w:ascii="Times New Roman" w:eastAsia="Times New Roman" w:hAnsi="Times New Roman" w:cs="Times New Roman"/>
          <w:sz w:val="20"/>
          <w:szCs w:val="20"/>
          <w:lang w:val="en-GB" w:eastAsia="fr-FR"/>
        </w:rPr>
        <w:t xml:space="preserve">, discarded, empty, uncleaned with residues presenting a primary or subsidiary hazard of Class 5.1 shall not be packed with other </w:t>
      </w:r>
      <w:proofErr w:type="spellStart"/>
      <w:r w:rsidRPr="001A5103">
        <w:rPr>
          <w:rFonts w:ascii="Times New Roman" w:eastAsia="Times New Roman" w:hAnsi="Times New Roman" w:cs="Times New Roman"/>
          <w:sz w:val="20"/>
          <w:szCs w:val="20"/>
          <w:lang w:val="en-GB" w:eastAsia="fr-FR"/>
        </w:rPr>
        <w:t>packagings</w:t>
      </w:r>
      <w:proofErr w:type="spellEnd"/>
      <w:r w:rsidRPr="001A5103">
        <w:rPr>
          <w:rFonts w:ascii="Times New Roman" w:eastAsia="Times New Roman" w:hAnsi="Times New Roman" w:cs="Times New Roman"/>
          <w:sz w:val="20"/>
          <w:szCs w:val="20"/>
          <w:lang w:val="en-GB" w:eastAsia="fr-FR"/>
        </w:rPr>
        <w:t>, discarded, empty, uncleaned with residues presenting hazards of other classes in the same outer packaging.”</w:t>
      </w:r>
    </w:p>
    <w:p w14:paraId="166FBDD6"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document ECE/TRANS/WP.15/AC.1/2020/60, as amended)</w:t>
      </w:r>
    </w:p>
    <w:p w14:paraId="6E63B241" w14:textId="77777777" w:rsidR="001A5103" w:rsidRPr="001A5103" w:rsidRDefault="001A5103" w:rsidP="000168F4">
      <w:pPr>
        <w:keepNext/>
        <w:keepLines/>
        <w:tabs>
          <w:tab w:val="right" w:pos="851"/>
        </w:tabs>
        <w:kinsoku/>
        <w:overflowPunct/>
        <w:autoSpaceDE/>
        <w:autoSpaceDN/>
        <w:adjustRightInd/>
        <w:snapToGrid/>
        <w:spacing w:before="240" w:after="120" w:line="240" w:lineRule="exact"/>
        <w:ind w:right="1134"/>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lastRenderedPageBreak/>
        <w:tab/>
      </w:r>
      <w:r w:rsidRPr="001A5103">
        <w:rPr>
          <w:rFonts w:ascii="Times New Roman" w:eastAsia="Times New Roman" w:hAnsi="Times New Roman" w:cs="Times New Roman"/>
          <w:b/>
          <w:sz w:val="20"/>
          <w:szCs w:val="20"/>
          <w:lang w:val="en-GB" w:eastAsia="fr-FR"/>
        </w:rPr>
        <w:tab/>
        <w:t>Chapter 4.1</w:t>
      </w:r>
    </w:p>
    <w:p w14:paraId="01BA6187" w14:textId="77777777" w:rsidR="001A5103" w:rsidRPr="001A5103" w:rsidRDefault="001A5103" w:rsidP="001A5103">
      <w:pPr>
        <w:kinsoku/>
        <w:overflowPunct/>
        <w:autoSpaceDE/>
        <w:autoSpaceDN/>
        <w:adjustRightInd/>
        <w:snapToGrid/>
        <w:spacing w:after="240"/>
        <w:ind w:left="2259" w:right="1134" w:hanging="1125"/>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4.1.4.1, P200 (13)</w:t>
      </w:r>
      <w:r w:rsidRPr="001A5103">
        <w:rPr>
          <w:rFonts w:ascii="Times New Roman" w:eastAsia="Times New Roman" w:hAnsi="Times New Roman" w:cs="Times New Roman"/>
          <w:sz w:val="20"/>
          <w:szCs w:val="20"/>
          <w:lang w:val="en-GB" w:eastAsia="fr-FR"/>
        </w:rPr>
        <w:tab/>
        <w:t>In 2.4, replace “EN ISO 11114-1:2012” by “EN ISO 11114-1:2020”.</w:t>
      </w:r>
    </w:p>
    <w:p w14:paraId="663C1989"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informal document INF.53/Rev.2, consequential amendment)</w:t>
      </w:r>
    </w:p>
    <w:p w14:paraId="2AAC7E08"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4.1.6.15</w:t>
      </w:r>
      <w:r w:rsidRPr="001A5103">
        <w:rPr>
          <w:rFonts w:ascii="Times New Roman" w:eastAsia="Times New Roman" w:hAnsi="Times New Roman" w:cs="Times New Roman"/>
          <w:sz w:val="20"/>
          <w:szCs w:val="20"/>
          <w:lang w:val="en-GB" w:eastAsia="fr-FR"/>
        </w:rPr>
        <w:tab/>
        <w:t>Amend to read as follows:</w:t>
      </w:r>
    </w:p>
    <w:p w14:paraId="366BBA8B"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“4.1.6.15</w:t>
      </w:r>
      <w:r w:rsidRPr="001A5103">
        <w:rPr>
          <w:rFonts w:ascii="Times New Roman" w:eastAsia="Times New Roman" w:hAnsi="Times New Roman" w:cs="Times New Roman"/>
          <w:sz w:val="20"/>
          <w:szCs w:val="20"/>
          <w:lang w:val="en-GB" w:eastAsia="fr-FR"/>
        </w:rPr>
        <w:tab/>
        <w:t>For UN pressure receptacles, the ISO standards and EN ISO standards listed in Table 1, except EN ISO 14245 and EN ISO 15995, shall be applied. For information on which standard shall be used at the time of manufacturing the equipment, see 6.2.2.3.</w:t>
      </w:r>
    </w:p>
    <w:p w14:paraId="5DE044D4"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For other pressure receptacles, the requirements of section 4.1.6 are considered to have been complied with if the standards in Table 1, as relevant, are applied. For information on which standards shall be used for the manufacture of valves with inherent protection, see 6.2.4.1.  For information on the applicability of standards for manufacturing valve protection caps and valve guards, see Table 2:</w:t>
      </w:r>
    </w:p>
    <w:p w14:paraId="7FBD6D27" w14:textId="77777777" w:rsidR="001A5103" w:rsidRPr="001A5103" w:rsidRDefault="001A5103" w:rsidP="001A5103">
      <w:pPr>
        <w:kinsoku/>
        <w:overflowPunct/>
        <w:autoSpaceDE/>
        <w:autoSpaceDN/>
        <w:adjustRightInd/>
        <w:spacing w:before="120" w:after="120"/>
        <w:ind w:left="1134"/>
        <w:jc w:val="center"/>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Table 1: Standards for UN and non-UN pressure receptacles</w:t>
      </w:r>
    </w:p>
    <w:tbl>
      <w:tblPr>
        <w:tblW w:w="8329"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27"/>
        <w:gridCol w:w="4360"/>
      </w:tblGrid>
      <w:tr w:rsidR="001A5103" w:rsidRPr="001A5103" w14:paraId="6BE8C4E6" w14:textId="77777777" w:rsidTr="00D10BD9">
        <w:tc>
          <w:tcPr>
            <w:tcW w:w="1242" w:type="dxa"/>
            <w:shd w:val="clear" w:color="auto" w:fill="auto"/>
            <w:vAlign w:val="center"/>
          </w:tcPr>
          <w:p w14:paraId="21115FD7"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Applicable paragraphs</w:t>
            </w:r>
          </w:p>
        </w:tc>
        <w:tc>
          <w:tcPr>
            <w:tcW w:w="2727" w:type="dxa"/>
            <w:shd w:val="clear" w:color="auto" w:fill="auto"/>
            <w:vAlign w:val="center"/>
          </w:tcPr>
          <w:p w14:paraId="32967986"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b/>
                <w:bCs/>
                <w:sz w:val="20"/>
                <w:szCs w:val="20"/>
                <w:lang w:val="en-GB" w:eastAsia="fr-FR"/>
              </w:rPr>
              <w:t>Reference</w:t>
            </w:r>
          </w:p>
        </w:tc>
        <w:tc>
          <w:tcPr>
            <w:tcW w:w="4360" w:type="dxa"/>
            <w:shd w:val="clear" w:color="auto" w:fill="auto"/>
            <w:vAlign w:val="center"/>
          </w:tcPr>
          <w:p w14:paraId="51C0C8EB"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b/>
                <w:sz w:val="20"/>
                <w:szCs w:val="20"/>
                <w:u w:val="single"/>
                <w:lang w:val="en-GB" w:eastAsia="fr-FR"/>
              </w:rPr>
            </w:pPr>
            <w:r w:rsidRPr="001A5103">
              <w:rPr>
                <w:rFonts w:ascii="Times New Roman" w:eastAsia="Times New Roman" w:hAnsi="Times New Roman" w:cs="Times New Roman"/>
                <w:b/>
                <w:bCs/>
                <w:sz w:val="20"/>
                <w:szCs w:val="20"/>
                <w:lang w:val="en-GB" w:eastAsia="fr-FR"/>
              </w:rPr>
              <w:t>Title of document</w:t>
            </w:r>
          </w:p>
        </w:tc>
      </w:tr>
      <w:tr w:rsidR="001A5103" w:rsidRPr="001A5103" w14:paraId="14284F22" w14:textId="77777777" w:rsidTr="00D10BD9">
        <w:tc>
          <w:tcPr>
            <w:tcW w:w="1242" w:type="dxa"/>
            <w:vMerge w:val="restart"/>
            <w:shd w:val="clear" w:color="auto" w:fill="auto"/>
          </w:tcPr>
          <w:p w14:paraId="5BD68A1D"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4.1.6.2</w:t>
            </w:r>
          </w:p>
        </w:tc>
        <w:tc>
          <w:tcPr>
            <w:tcW w:w="2727" w:type="dxa"/>
            <w:shd w:val="clear" w:color="auto" w:fill="auto"/>
          </w:tcPr>
          <w:p w14:paraId="507D5D5D"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EN ISO 11114-1:2020</w:t>
            </w:r>
          </w:p>
        </w:tc>
        <w:tc>
          <w:tcPr>
            <w:tcW w:w="4360" w:type="dxa"/>
            <w:shd w:val="clear" w:color="auto" w:fill="auto"/>
          </w:tcPr>
          <w:p w14:paraId="7473A906"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u w:val="single"/>
                <w:lang w:val="en-GB" w:eastAsia="fr-FR"/>
              </w:rPr>
            </w:pPr>
            <w:r w:rsidRPr="001A5103">
              <w:rPr>
                <w:rFonts w:ascii="Times New Roman" w:eastAsia="Times New Roman" w:hAnsi="Times New Roman" w:cs="Times New Roman"/>
                <w:sz w:val="20"/>
                <w:szCs w:val="20"/>
                <w:lang w:val="en-GB" w:eastAsia="fr-FR"/>
              </w:rPr>
              <w:t>Gas cylinders – Compatibility of cylinder and valve materials with gas contents – Part 1: Metallic Materials</w:t>
            </w:r>
          </w:p>
        </w:tc>
      </w:tr>
      <w:tr w:rsidR="001A5103" w:rsidRPr="001A5103" w14:paraId="6784A85B" w14:textId="77777777" w:rsidTr="00D10BD9">
        <w:tc>
          <w:tcPr>
            <w:tcW w:w="1242" w:type="dxa"/>
            <w:vMerge/>
            <w:shd w:val="clear" w:color="auto" w:fill="auto"/>
          </w:tcPr>
          <w:p w14:paraId="697079E1"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p>
        </w:tc>
        <w:tc>
          <w:tcPr>
            <w:tcW w:w="2727" w:type="dxa"/>
            <w:shd w:val="clear" w:color="auto" w:fill="auto"/>
          </w:tcPr>
          <w:p w14:paraId="1B00A53A"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EN ISO 11114-2:2013</w:t>
            </w:r>
          </w:p>
        </w:tc>
        <w:tc>
          <w:tcPr>
            <w:tcW w:w="4360" w:type="dxa"/>
            <w:shd w:val="clear" w:color="auto" w:fill="auto"/>
          </w:tcPr>
          <w:p w14:paraId="02CF588C"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u w:val="single"/>
                <w:lang w:val="en-GB" w:eastAsia="fr-FR"/>
              </w:rPr>
            </w:pPr>
            <w:r w:rsidRPr="001A5103">
              <w:rPr>
                <w:rFonts w:ascii="Times New Roman" w:eastAsia="Times New Roman" w:hAnsi="Times New Roman" w:cs="Times New Roman"/>
                <w:sz w:val="20"/>
                <w:szCs w:val="20"/>
                <w:lang w:val="en-GB" w:eastAsia="fr-FR"/>
              </w:rPr>
              <w:t>Gas cylinders – Compatibility of cylinder and valve materials with gas contents – Part 2: Non-metallic Materials</w:t>
            </w:r>
          </w:p>
        </w:tc>
      </w:tr>
      <w:tr w:rsidR="001A5103" w:rsidRPr="001A5103" w14:paraId="79B46874" w14:textId="77777777" w:rsidTr="00D10BD9">
        <w:tc>
          <w:tcPr>
            <w:tcW w:w="1242" w:type="dxa"/>
            <w:shd w:val="clear" w:color="auto" w:fill="auto"/>
          </w:tcPr>
          <w:p w14:paraId="673B9F6C"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4.1.6.4</w:t>
            </w:r>
          </w:p>
        </w:tc>
        <w:tc>
          <w:tcPr>
            <w:tcW w:w="2727" w:type="dxa"/>
            <w:shd w:val="clear" w:color="auto" w:fill="auto"/>
          </w:tcPr>
          <w:p w14:paraId="755FE672"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 xml:space="preserve">ISO 11621:1997 </w:t>
            </w:r>
            <w:r w:rsidRPr="001A5103">
              <w:rPr>
                <w:rFonts w:ascii="Times New Roman" w:eastAsia="Times New Roman" w:hAnsi="Times New Roman" w:cs="Times New Roman"/>
                <w:sz w:val="20"/>
                <w:szCs w:val="20"/>
                <w:lang w:val="en-GB" w:eastAsia="fr-FR"/>
              </w:rPr>
              <w:br/>
              <w:t>or EN ISO 11621:2005</w:t>
            </w:r>
          </w:p>
        </w:tc>
        <w:tc>
          <w:tcPr>
            <w:tcW w:w="4360" w:type="dxa"/>
            <w:shd w:val="clear" w:color="auto" w:fill="auto"/>
          </w:tcPr>
          <w:p w14:paraId="7B18990C"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u w:val="single"/>
                <w:lang w:val="en-GB" w:eastAsia="fr-FR"/>
              </w:rPr>
            </w:pPr>
            <w:r w:rsidRPr="001A5103">
              <w:rPr>
                <w:rFonts w:ascii="Times New Roman" w:eastAsia="Times New Roman" w:hAnsi="Times New Roman" w:cs="Times New Roman"/>
                <w:sz w:val="20"/>
                <w:szCs w:val="20"/>
                <w:lang w:val="en-GB" w:eastAsia="fr-FR"/>
              </w:rPr>
              <w:t>Gas cylinders – Procedures for change of gas service</w:t>
            </w:r>
          </w:p>
        </w:tc>
      </w:tr>
      <w:tr w:rsidR="001A5103" w:rsidRPr="001A5103" w14:paraId="1801B7CC" w14:textId="77777777" w:rsidTr="00D10BD9">
        <w:tc>
          <w:tcPr>
            <w:tcW w:w="1242" w:type="dxa"/>
            <w:vMerge w:val="restart"/>
            <w:shd w:val="clear" w:color="auto" w:fill="auto"/>
          </w:tcPr>
          <w:p w14:paraId="1918172A"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4.1.6.8 Valves with inherent protection</w:t>
            </w:r>
          </w:p>
        </w:tc>
        <w:tc>
          <w:tcPr>
            <w:tcW w:w="2727" w:type="dxa"/>
            <w:shd w:val="clear" w:color="auto" w:fill="auto"/>
          </w:tcPr>
          <w:p w14:paraId="4C3D64D3"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Clause 4.6.2 of EN ISO 10297:2006 or</w:t>
            </w:r>
          </w:p>
          <w:p w14:paraId="6A51BFD4"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clause 5.5.2 of EN ISO10297:2014 or</w:t>
            </w:r>
          </w:p>
          <w:p w14:paraId="5D39054D"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clause 5.5.2 of EN ISO 10297:2014 + A1:2017</w:t>
            </w:r>
          </w:p>
        </w:tc>
        <w:tc>
          <w:tcPr>
            <w:tcW w:w="4360" w:type="dxa"/>
            <w:shd w:val="clear" w:color="auto" w:fill="auto"/>
          </w:tcPr>
          <w:p w14:paraId="6F8D3A47"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u w:val="single"/>
                <w:lang w:val="en-GB" w:eastAsia="fr-FR"/>
              </w:rPr>
            </w:pPr>
            <w:r w:rsidRPr="001A5103">
              <w:rPr>
                <w:rFonts w:ascii="Times New Roman" w:eastAsia="Times New Roman" w:hAnsi="Times New Roman" w:cs="Times New Roman"/>
                <w:sz w:val="20"/>
                <w:szCs w:val="20"/>
                <w:lang w:val="en-GB" w:eastAsia="fr-FR"/>
              </w:rPr>
              <w:t>Gas cylinders – Cylinder valves – Specification and type testing</w:t>
            </w:r>
          </w:p>
        </w:tc>
      </w:tr>
      <w:tr w:rsidR="001A5103" w:rsidRPr="001A5103" w14:paraId="33B3FDF1" w14:textId="77777777" w:rsidTr="00D10BD9">
        <w:tc>
          <w:tcPr>
            <w:tcW w:w="1242" w:type="dxa"/>
            <w:vMerge/>
            <w:shd w:val="clear" w:color="auto" w:fill="auto"/>
          </w:tcPr>
          <w:p w14:paraId="14F4C648"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p>
        </w:tc>
        <w:tc>
          <w:tcPr>
            <w:tcW w:w="2727" w:type="dxa"/>
            <w:shd w:val="clear" w:color="auto" w:fill="auto"/>
          </w:tcPr>
          <w:p w14:paraId="0D678257"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Clause 5.3.8 of EN 13152:2001 + A1:2003</w:t>
            </w:r>
          </w:p>
        </w:tc>
        <w:tc>
          <w:tcPr>
            <w:tcW w:w="4360" w:type="dxa"/>
            <w:shd w:val="clear" w:color="auto" w:fill="auto"/>
          </w:tcPr>
          <w:p w14:paraId="56FFF056"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u w:val="single"/>
                <w:lang w:val="en-GB" w:eastAsia="fr-FR"/>
              </w:rPr>
            </w:pPr>
            <w:r w:rsidRPr="001A5103">
              <w:rPr>
                <w:rFonts w:ascii="Times New Roman" w:eastAsia="Times New Roman" w:hAnsi="Times New Roman" w:cs="Times New Roman"/>
                <w:sz w:val="20"/>
                <w:szCs w:val="20"/>
                <w:lang w:val="en-GB" w:eastAsia="fr-FR"/>
              </w:rPr>
              <w:t>Testing and specifications of LPG cylinder valves – Self-closing</w:t>
            </w:r>
          </w:p>
        </w:tc>
      </w:tr>
      <w:tr w:rsidR="001A5103" w:rsidRPr="001A5103" w14:paraId="331999F1" w14:textId="77777777" w:rsidTr="00D10BD9">
        <w:tc>
          <w:tcPr>
            <w:tcW w:w="1242" w:type="dxa"/>
            <w:vMerge/>
            <w:shd w:val="clear" w:color="auto" w:fill="auto"/>
          </w:tcPr>
          <w:p w14:paraId="1B21D334"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p>
        </w:tc>
        <w:tc>
          <w:tcPr>
            <w:tcW w:w="2727" w:type="dxa"/>
            <w:shd w:val="clear" w:color="auto" w:fill="auto"/>
          </w:tcPr>
          <w:p w14:paraId="7BB044C2"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Clause 5.3.7 of EN 13153:2001 + A1:2003</w:t>
            </w:r>
          </w:p>
        </w:tc>
        <w:tc>
          <w:tcPr>
            <w:tcW w:w="4360" w:type="dxa"/>
            <w:shd w:val="clear" w:color="auto" w:fill="auto"/>
          </w:tcPr>
          <w:p w14:paraId="344AC2A2"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u w:val="single"/>
                <w:lang w:val="en-GB" w:eastAsia="fr-FR"/>
              </w:rPr>
            </w:pPr>
            <w:r w:rsidRPr="001A5103">
              <w:rPr>
                <w:rFonts w:ascii="Times New Roman" w:eastAsia="Times New Roman" w:hAnsi="Times New Roman" w:cs="Times New Roman"/>
                <w:sz w:val="20"/>
                <w:szCs w:val="20"/>
                <w:lang w:val="en-GB" w:eastAsia="fr-FR"/>
              </w:rPr>
              <w:t>Specifications and testing of LPG cylinder valves – Manually operated</w:t>
            </w:r>
          </w:p>
        </w:tc>
      </w:tr>
      <w:tr w:rsidR="001A5103" w:rsidRPr="001A5103" w14:paraId="29D34676" w14:textId="77777777" w:rsidTr="00D10BD9">
        <w:tc>
          <w:tcPr>
            <w:tcW w:w="1242" w:type="dxa"/>
            <w:vMerge/>
            <w:shd w:val="clear" w:color="auto" w:fill="auto"/>
          </w:tcPr>
          <w:p w14:paraId="78338B43"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p>
        </w:tc>
        <w:tc>
          <w:tcPr>
            <w:tcW w:w="2727" w:type="dxa"/>
            <w:shd w:val="clear" w:color="auto" w:fill="auto"/>
          </w:tcPr>
          <w:p w14:paraId="6C728BF0"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 xml:space="preserve">Clause 5.9 of EN ISO 14245:2010 </w:t>
            </w:r>
            <w:r w:rsidRPr="001A5103">
              <w:rPr>
                <w:rFonts w:ascii="Times New Roman" w:eastAsia="Times New Roman" w:hAnsi="Times New Roman" w:cs="Times New Roman"/>
                <w:bCs/>
                <w:sz w:val="20"/>
                <w:szCs w:val="20"/>
                <w:lang w:val="en-GB" w:eastAsia="fr-FR"/>
              </w:rPr>
              <w:t>or clause 5 9 of EN ISO 14245:2019</w:t>
            </w:r>
          </w:p>
        </w:tc>
        <w:tc>
          <w:tcPr>
            <w:tcW w:w="4360" w:type="dxa"/>
            <w:shd w:val="clear" w:color="auto" w:fill="auto"/>
          </w:tcPr>
          <w:p w14:paraId="016F671C"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u w:val="single"/>
                <w:lang w:val="en-GB" w:eastAsia="fr-FR"/>
              </w:rPr>
            </w:pPr>
            <w:r w:rsidRPr="001A5103">
              <w:rPr>
                <w:rFonts w:ascii="Times New Roman" w:eastAsia="Times New Roman" w:hAnsi="Times New Roman" w:cs="Times New Roman"/>
                <w:sz w:val="20"/>
                <w:szCs w:val="20"/>
                <w:lang w:val="en-GB" w:eastAsia="fr-FR"/>
              </w:rPr>
              <w:t xml:space="preserve">Gas cylinders – Specifications and testing of LPG cylinder valves – Self-closing </w:t>
            </w:r>
          </w:p>
        </w:tc>
      </w:tr>
      <w:tr w:rsidR="001A5103" w:rsidRPr="001A5103" w14:paraId="5CD20441" w14:textId="77777777" w:rsidTr="00D10BD9">
        <w:tc>
          <w:tcPr>
            <w:tcW w:w="1242" w:type="dxa"/>
            <w:vMerge/>
            <w:shd w:val="clear" w:color="auto" w:fill="auto"/>
          </w:tcPr>
          <w:p w14:paraId="2942D391"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p>
        </w:tc>
        <w:tc>
          <w:tcPr>
            <w:tcW w:w="2727" w:type="dxa"/>
            <w:shd w:val="clear" w:color="auto" w:fill="auto"/>
          </w:tcPr>
          <w:p w14:paraId="03BB3796"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 xml:space="preserve">Clause 5.10 of EN ISO 15995:2010 </w:t>
            </w:r>
            <w:r w:rsidRPr="001A5103">
              <w:rPr>
                <w:rFonts w:ascii="Times New Roman" w:eastAsia="Times New Roman" w:hAnsi="Times New Roman" w:cs="Times New Roman"/>
                <w:bCs/>
                <w:sz w:val="20"/>
                <w:szCs w:val="20"/>
                <w:lang w:val="en-GB" w:eastAsia="fr-FR"/>
              </w:rPr>
              <w:t xml:space="preserve">or </w:t>
            </w:r>
            <w:r w:rsidRPr="001A5103">
              <w:rPr>
                <w:rFonts w:ascii="Times New Roman" w:eastAsia="Times New Roman" w:hAnsi="Times New Roman" w:cs="Times New Roman"/>
                <w:sz w:val="20"/>
                <w:szCs w:val="20"/>
                <w:lang w:val="en-GB" w:eastAsia="fr-FR"/>
              </w:rPr>
              <w:t xml:space="preserve">clause </w:t>
            </w:r>
            <w:r w:rsidRPr="001A5103">
              <w:rPr>
                <w:rFonts w:ascii="Times New Roman" w:eastAsia="Times New Roman" w:hAnsi="Times New Roman" w:cs="Times New Roman"/>
                <w:bCs/>
                <w:sz w:val="20"/>
                <w:szCs w:val="20"/>
                <w:lang w:val="en-GB" w:eastAsia="fr-FR"/>
              </w:rPr>
              <w:t>5.10 of EN ISO 15995:2019</w:t>
            </w:r>
          </w:p>
        </w:tc>
        <w:tc>
          <w:tcPr>
            <w:tcW w:w="4360" w:type="dxa"/>
            <w:shd w:val="clear" w:color="auto" w:fill="auto"/>
          </w:tcPr>
          <w:p w14:paraId="40501F6A"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u w:val="single"/>
                <w:lang w:val="en-GB" w:eastAsia="fr-FR"/>
              </w:rPr>
            </w:pPr>
            <w:r w:rsidRPr="001A5103">
              <w:rPr>
                <w:rFonts w:ascii="Times New Roman" w:eastAsia="Times New Roman" w:hAnsi="Times New Roman" w:cs="Times New Roman"/>
                <w:sz w:val="20"/>
                <w:szCs w:val="20"/>
                <w:lang w:val="en-GB" w:eastAsia="fr-FR"/>
              </w:rPr>
              <w:t xml:space="preserve">Gas cylinders – Specifications and testing of LPG cylinder valves – Manually operated </w:t>
            </w:r>
          </w:p>
        </w:tc>
      </w:tr>
      <w:tr w:rsidR="001A5103" w:rsidRPr="001A5103" w14:paraId="48F2B800" w14:textId="77777777" w:rsidTr="00D10BD9">
        <w:tc>
          <w:tcPr>
            <w:tcW w:w="1242" w:type="dxa"/>
            <w:vMerge/>
            <w:shd w:val="clear" w:color="auto" w:fill="auto"/>
          </w:tcPr>
          <w:p w14:paraId="7FFA1291"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p>
        </w:tc>
        <w:tc>
          <w:tcPr>
            <w:tcW w:w="2727" w:type="dxa"/>
            <w:shd w:val="clear" w:color="auto" w:fill="auto"/>
          </w:tcPr>
          <w:p w14:paraId="37A74687"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Clause 5.4.2 of EN ISO 17879:2017</w:t>
            </w:r>
          </w:p>
        </w:tc>
        <w:tc>
          <w:tcPr>
            <w:tcW w:w="4360" w:type="dxa"/>
            <w:shd w:val="clear" w:color="auto" w:fill="auto"/>
          </w:tcPr>
          <w:p w14:paraId="27497AA4"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u w:val="single"/>
                <w:lang w:val="en-GB" w:eastAsia="fr-FR"/>
              </w:rPr>
            </w:pPr>
            <w:r w:rsidRPr="001A5103">
              <w:rPr>
                <w:rFonts w:ascii="Times New Roman" w:eastAsia="Times New Roman" w:hAnsi="Times New Roman" w:cs="Times New Roman"/>
                <w:sz w:val="20"/>
                <w:szCs w:val="20"/>
                <w:lang w:val="en-GB" w:eastAsia="fr-FR"/>
              </w:rPr>
              <w:t>Gas cylinders – Self-closing cylinder valves - Specification and type testing</w:t>
            </w:r>
          </w:p>
        </w:tc>
      </w:tr>
      <w:tr w:rsidR="001A5103" w:rsidRPr="001A5103" w14:paraId="74335885" w14:textId="77777777" w:rsidTr="00D10BD9">
        <w:tc>
          <w:tcPr>
            <w:tcW w:w="1242" w:type="dxa"/>
            <w:vMerge w:val="restart"/>
            <w:shd w:val="clear" w:color="auto" w:fill="auto"/>
          </w:tcPr>
          <w:p w14:paraId="2289AA59"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4.1.6.8 (b) and (c)</w:t>
            </w:r>
          </w:p>
        </w:tc>
        <w:tc>
          <w:tcPr>
            <w:tcW w:w="2727" w:type="dxa"/>
            <w:shd w:val="clear" w:color="auto" w:fill="auto"/>
          </w:tcPr>
          <w:p w14:paraId="1658E3B6"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 xml:space="preserve">ISO 11117:1998 or EN ISO 11117:2008 + Cor 1:2009 </w:t>
            </w:r>
            <w:r w:rsidRPr="001A5103">
              <w:rPr>
                <w:rFonts w:ascii="Times New Roman" w:eastAsia="Times New Roman" w:hAnsi="Times New Roman" w:cs="Times New Roman"/>
                <w:bCs/>
                <w:sz w:val="20"/>
                <w:szCs w:val="20"/>
                <w:lang w:val="en-GB" w:eastAsia="fr-FR"/>
              </w:rPr>
              <w:t>or EN ISO 11117:2019</w:t>
            </w:r>
          </w:p>
        </w:tc>
        <w:tc>
          <w:tcPr>
            <w:tcW w:w="4360" w:type="dxa"/>
            <w:shd w:val="clear" w:color="auto" w:fill="auto"/>
          </w:tcPr>
          <w:p w14:paraId="6B248C9D"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u w:val="single"/>
                <w:lang w:val="en-GB" w:eastAsia="fr-FR"/>
              </w:rPr>
            </w:pPr>
            <w:r w:rsidRPr="001A5103">
              <w:rPr>
                <w:rFonts w:ascii="Times New Roman" w:eastAsia="Times New Roman" w:hAnsi="Times New Roman" w:cs="Times New Roman"/>
                <w:sz w:val="20"/>
                <w:szCs w:val="20"/>
                <w:lang w:val="en-GB" w:eastAsia="fr-FR"/>
              </w:rPr>
              <w:t>Gas cylinders – Valve protection caps and guards – Design construction and tests</w:t>
            </w:r>
          </w:p>
        </w:tc>
      </w:tr>
      <w:tr w:rsidR="001A5103" w:rsidRPr="001A5103" w14:paraId="23C6DA7F" w14:textId="77777777" w:rsidTr="00D10BD9">
        <w:tc>
          <w:tcPr>
            <w:tcW w:w="1242" w:type="dxa"/>
            <w:vMerge/>
            <w:tcBorders>
              <w:bottom w:val="single" w:sz="4" w:space="0" w:color="auto"/>
            </w:tcBorders>
            <w:shd w:val="clear" w:color="auto" w:fill="auto"/>
          </w:tcPr>
          <w:p w14:paraId="70D7DF53"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p>
        </w:tc>
        <w:tc>
          <w:tcPr>
            <w:tcW w:w="2727" w:type="dxa"/>
            <w:tcBorders>
              <w:bottom w:val="single" w:sz="4" w:space="0" w:color="auto"/>
            </w:tcBorders>
            <w:shd w:val="clear" w:color="auto" w:fill="auto"/>
          </w:tcPr>
          <w:p w14:paraId="249F5A7B"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EN 962:1996 +A2:2000</w:t>
            </w:r>
          </w:p>
        </w:tc>
        <w:tc>
          <w:tcPr>
            <w:tcW w:w="4360" w:type="dxa"/>
            <w:tcBorders>
              <w:bottom w:val="single" w:sz="4" w:space="0" w:color="auto"/>
            </w:tcBorders>
            <w:shd w:val="clear" w:color="auto" w:fill="auto"/>
          </w:tcPr>
          <w:p w14:paraId="105EE6BF"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u w:val="single"/>
                <w:lang w:val="en-GB" w:eastAsia="fr-FR"/>
              </w:rPr>
            </w:pPr>
            <w:r w:rsidRPr="001A5103">
              <w:rPr>
                <w:rFonts w:ascii="Times New Roman" w:eastAsia="Times New Roman" w:hAnsi="Times New Roman" w:cs="Times New Roman"/>
                <w:sz w:val="20"/>
                <w:szCs w:val="20"/>
                <w:lang w:val="en-GB" w:eastAsia="fr-FR"/>
              </w:rPr>
              <w:t>Transportable gas cylinders –</w:t>
            </w:r>
            <w:r w:rsidRPr="001A5103">
              <w:rPr>
                <w:rFonts w:ascii="Times New Roman" w:eastAsia="Times New Roman" w:hAnsi="Times New Roman" w:cs="Times New Roman"/>
                <w:sz w:val="20"/>
                <w:szCs w:val="20"/>
                <w:u w:val="single"/>
                <w:lang w:val="en-GB" w:eastAsia="fr-FR"/>
              </w:rPr>
              <w:t xml:space="preserve"> </w:t>
            </w:r>
            <w:r w:rsidRPr="001A5103">
              <w:rPr>
                <w:rFonts w:ascii="Times New Roman" w:eastAsia="Times New Roman" w:hAnsi="Times New Roman" w:cs="Times New Roman"/>
                <w:sz w:val="20"/>
                <w:szCs w:val="20"/>
                <w:lang w:val="en-GB" w:eastAsia="fr-FR"/>
              </w:rPr>
              <w:t>Valve protection caps and valve guards for industrial and medical gas cylinders – Design, construction and tests</w:t>
            </w:r>
          </w:p>
        </w:tc>
      </w:tr>
      <w:tr w:rsidR="001A5103" w:rsidRPr="001A5103" w14:paraId="68E34BC2" w14:textId="77777777" w:rsidTr="00D10BD9">
        <w:tc>
          <w:tcPr>
            <w:tcW w:w="1242" w:type="dxa"/>
            <w:vMerge/>
            <w:tcBorders>
              <w:bottom w:val="single" w:sz="4" w:space="0" w:color="auto"/>
            </w:tcBorders>
            <w:shd w:val="clear" w:color="auto" w:fill="auto"/>
          </w:tcPr>
          <w:p w14:paraId="1EB8FAF4"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p>
        </w:tc>
        <w:tc>
          <w:tcPr>
            <w:tcW w:w="2727" w:type="dxa"/>
            <w:tcBorders>
              <w:bottom w:val="single" w:sz="4" w:space="0" w:color="auto"/>
            </w:tcBorders>
            <w:shd w:val="clear" w:color="auto" w:fill="auto"/>
          </w:tcPr>
          <w:p w14:paraId="39801AB0"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ISO 16111:2008</w:t>
            </w:r>
          </w:p>
        </w:tc>
        <w:tc>
          <w:tcPr>
            <w:tcW w:w="4360" w:type="dxa"/>
            <w:tcBorders>
              <w:bottom w:val="single" w:sz="4" w:space="0" w:color="auto"/>
            </w:tcBorders>
            <w:shd w:val="clear" w:color="auto" w:fill="auto"/>
          </w:tcPr>
          <w:p w14:paraId="028CA6AF"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u w:val="single"/>
                <w:lang w:val="en-GB" w:eastAsia="fr-FR"/>
              </w:rPr>
            </w:pPr>
            <w:r w:rsidRPr="001A5103">
              <w:rPr>
                <w:rFonts w:ascii="Times New Roman" w:eastAsia="Times New Roman" w:hAnsi="Times New Roman" w:cs="Times New Roman"/>
                <w:sz w:val="20"/>
                <w:szCs w:val="20"/>
                <w:lang w:val="en-GB" w:eastAsia="fr-FR"/>
              </w:rPr>
              <w:t>Transportable gas storage devices – Hydrogen absorbed in reversible metal hydride</w:t>
            </w:r>
          </w:p>
        </w:tc>
      </w:tr>
    </w:tbl>
    <w:p w14:paraId="72DE368E" w14:textId="77777777" w:rsidR="001A5103" w:rsidRPr="001A5103" w:rsidRDefault="001A5103" w:rsidP="001A5103">
      <w:pPr>
        <w:kinsoku/>
        <w:overflowPunct/>
        <w:autoSpaceDE/>
        <w:autoSpaceDN/>
        <w:adjustRightInd/>
        <w:spacing w:before="120" w:after="120"/>
        <w:ind w:left="1418"/>
        <w:jc w:val="center"/>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 xml:space="preserve">Table 2: Manufacturing dates applicable to valve protection caps and guards fitted </w:t>
      </w:r>
      <w:r w:rsidRPr="001A5103">
        <w:rPr>
          <w:rFonts w:ascii="Times New Roman" w:eastAsia="Times New Roman" w:hAnsi="Times New Roman" w:cs="Times New Roman"/>
          <w:sz w:val="20"/>
          <w:szCs w:val="20"/>
          <w:lang w:val="en-GB" w:eastAsia="fr-FR"/>
        </w:rPr>
        <w:br/>
        <w:t>to non-UN pressure receptacles</w:t>
      </w:r>
    </w:p>
    <w:tbl>
      <w:tblPr>
        <w:tblW w:w="8329"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4950"/>
        <w:gridCol w:w="1559"/>
      </w:tblGrid>
      <w:tr w:rsidR="001A5103" w:rsidRPr="001A5103" w14:paraId="3ACC0C51" w14:textId="77777777" w:rsidTr="00D10BD9">
        <w:tc>
          <w:tcPr>
            <w:tcW w:w="1820" w:type="dxa"/>
            <w:shd w:val="clear" w:color="auto" w:fill="auto"/>
            <w:vAlign w:val="center"/>
          </w:tcPr>
          <w:p w14:paraId="51DFD7B3"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bCs/>
                <w:sz w:val="20"/>
                <w:szCs w:val="20"/>
                <w:lang w:val="en-GB" w:eastAsia="fr-FR"/>
              </w:rPr>
              <w:t>Reference</w:t>
            </w:r>
          </w:p>
        </w:tc>
        <w:tc>
          <w:tcPr>
            <w:tcW w:w="4950" w:type="dxa"/>
            <w:shd w:val="clear" w:color="auto" w:fill="auto"/>
            <w:vAlign w:val="center"/>
          </w:tcPr>
          <w:p w14:paraId="1362E072"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bCs/>
                <w:sz w:val="20"/>
                <w:szCs w:val="20"/>
                <w:lang w:val="en-GB" w:eastAsia="fr-FR"/>
              </w:rPr>
              <w:t>Title of document</w:t>
            </w:r>
          </w:p>
        </w:tc>
        <w:tc>
          <w:tcPr>
            <w:tcW w:w="1559" w:type="dxa"/>
            <w:shd w:val="clear" w:color="auto" w:fill="auto"/>
          </w:tcPr>
          <w:p w14:paraId="534936E7"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Applicable for manufacture</w:t>
            </w:r>
          </w:p>
        </w:tc>
      </w:tr>
      <w:tr w:rsidR="001A5103" w:rsidRPr="001A5103" w14:paraId="43C91FBD" w14:textId="77777777" w:rsidTr="00D10BD9">
        <w:tc>
          <w:tcPr>
            <w:tcW w:w="1820" w:type="dxa"/>
            <w:shd w:val="clear" w:color="auto" w:fill="auto"/>
          </w:tcPr>
          <w:p w14:paraId="41015572"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lastRenderedPageBreak/>
              <w:t>ISO 11117:1998</w:t>
            </w:r>
          </w:p>
        </w:tc>
        <w:tc>
          <w:tcPr>
            <w:tcW w:w="4950" w:type="dxa"/>
            <w:shd w:val="clear" w:color="auto" w:fill="auto"/>
          </w:tcPr>
          <w:p w14:paraId="6B37BDF8"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Gas cylinders – Valve protection caps and valve guards for industrial and medical gas cylinders – Design construction and tests</w:t>
            </w:r>
          </w:p>
        </w:tc>
        <w:tc>
          <w:tcPr>
            <w:tcW w:w="1559" w:type="dxa"/>
            <w:shd w:val="clear" w:color="auto" w:fill="auto"/>
          </w:tcPr>
          <w:p w14:paraId="547FBED7"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Until 31 December 2014</w:t>
            </w:r>
          </w:p>
        </w:tc>
      </w:tr>
      <w:tr w:rsidR="001A5103" w:rsidRPr="001A5103" w14:paraId="38BAB7A5" w14:textId="77777777" w:rsidTr="00D10BD9">
        <w:tc>
          <w:tcPr>
            <w:tcW w:w="1820" w:type="dxa"/>
            <w:shd w:val="clear" w:color="auto" w:fill="auto"/>
          </w:tcPr>
          <w:p w14:paraId="15D36324"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EN ISO 11117: 2008 + Cor 1:2009</w:t>
            </w:r>
          </w:p>
        </w:tc>
        <w:tc>
          <w:tcPr>
            <w:tcW w:w="4950" w:type="dxa"/>
            <w:shd w:val="clear" w:color="auto" w:fill="auto"/>
          </w:tcPr>
          <w:p w14:paraId="698F0882"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Gas cylinders – Valve protection caps and valve guards – Design, construction and tests</w:t>
            </w:r>
          </w:p>
        </w:tc>
        <w:tc>
          <w:tcPr>
            <w:tcW w:w="1559" w:type="dxa"/>
            <w:shd w:val="clear" w:color="auto" w:fill="auto"/>
          </w:tcPr>
          <w:p w14:paraId="2F46586A"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Until 31 December 2024</w:t>
            </w:r>
          </w:p>
        </w:tc>
      </w:tr>
      <w:tr w:rsidR="001A5103" w:rsidRPr="001A5103" w14:paraId="42993E8A" w14:textId="77777777" w:rsidTr="00D10BD9">
        <w:tc>
          <w:tcPr>
            <w:tcW w:w="1820" w:type="dxa"/>
            <w:shd w:val="clear" w:color="auto" w:fill="auto"/>
          </w:tcPr>
          <w:p w14:paraId="6E240650"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bCs/>
                <w:sz w:val="20"/>
                <w:szCs w:val="20"/>
                <w:lang w:val="en-GB" w:eastAsia="fr-FR"/>
              </w:rPr>
            </w:pPr>
            <w:r w:rsidRPr="001A5103">
              <w:rPr>
                <w:rFonts w:ascii="Times New Roman" w:eastAsia="Times New Roman" w:hAnsi="Times New Roman" w:cs="Times New Roman"/>
                <w:bCs/>
                <w:sz w:val="20"/>
                <w:szCs w:val="20"/>
                <w:lang w:val="en-GB" w:eastAsia="fr-FR"/>
              </w:rPr>
              <w:t>EN ISO 11117:2019</w:t>
            </w:r>
          </w:p>
        </w:tc>
        <w:tc>
          <w:tcPr>
            <w:tcW w:w="4950" w:type="dxa"/>
            <w:shd w:val="clear" w:color="auto" w:fill="auto"/>
          </w:tcPr>
          <w:p w14:paraId="77130EF0"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bCs/>
                <w:sz w:val="20"/>
                <w:szCs w:val="20"/>
                <w:lang w:val="en-GB" w:eastAsia="fr-FR"/>
              </w:rPr>
            </w:pPr>
            <w:r w:rsidRPr="001A5103">
              <w:rPr>
                <w:rFonts w:ascii="Times New Roman" w:eastAsia="Times New Roman" w:hAnsi="Times New Roman" w:cs="Times New Roman"/>
                <w:bCs/>
                <w:sz w:val="20"/>
                <w:szCs w:val="20"/>
                <w:lang w:val="en-GB" w:eastAsia="fr-FR"/>
              </w:rPr>
              <w:t>Gas cylinders – Valve protection caps and guards – Design, construction and tests</w:t>
            </w:r>
          </w:p>
        </w:tc>
        <w:tc>
          <w:tcPr>
            <w:tcW w:w="1559" w:type="dxa"/>
            <w:shd w:val="clear" w:color="auto" w:fill="auto"/>
          </w:tcPr>
          <w:p w14:paraId="31311256"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bCs/>
                <w:sz w:val="20"/>
                <w:szCs w:val="20"/>
                <w:lang w:val="en-GB" w:eastAsia="fr-FR"/>
              </w:rPr>
            </w:pPr>
            <w:r w:rsidRPr="001A5103">
              <w:rPr>
                <w:rFonts w:ascii="Times New Roman" w:eastAsia="Times New Roman" w:hAnsi="Times New Roman" w:cs="Times New Roman"/>
                <w:bCs/>
                <w:sz w:val="20"/>
                <w:szCs w:val="20"/>
                <w:lang w:val="en-GB" w:eastAsia="fr-FR"/>
              </w:rPr>
              <w:t>Until further notice</w:t>
            </w:r>
          </w:p>
        </w:tc>
      </w:tr>
      <w:tr w:rsidR="001A5103" w:rsidRPr="001A5103" w14:paraId="1C90E1C8" w14:textId="77777777" w:rsidTr="00D10BD9">
        <w:tc>
          <w:tcPr>
            <w:tcW w:w="1820" w:type="dxa"/>
            <w:shd w:val="clear" w:color="auto" w:fill="auto"/>
          </w:tcPr>
          <w:p w14:paraId="0C01110C"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EN 962:1996 +A2:2000</w:t>
            </w:r>
          </w:p>
        </w:tc>
        <w:tc>
          <w:tcPr>
            <w:tcW w:w="4950" w:type="dxa"/>
            <w:shd w:val="clear" w:color="auto" w:fill="auto"/>
          </w:tcPr>
          <w:p w14:paraId="1FF7B5D4"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Transportable gas cylinders – Valve protection caps and valve guards for industrial and medical gas cylinders – Design, construction and tests</w:t>
            </w:r>
          </w:p>
        </w:tc>
        <w:tc>
          <w:tcPr>
            <w:tcW w:w="1559" w:type="dxa"/>
            <w:shd w:val="clear" w:color="auto" w:fill="auto"/>
          </w:tcPr>
          <w:p w14:paraId="7D074FE4" w14:textId="77777777" w:rsidR="001A5103" w:rsidRPr="001A5103" w:rsidRDefault="001A5103" w:rsidP="001A5103">
            <w:pPr>
              <w:tabs>
                <w:tab w:val="left" w:pos="1418"/>
                <w:tab w:val="left" w:pos="1843"/>
              </w:tabs>
              <w:kinsoku/>
              <w:overflowPunct/>
              <w:autoSpaceDE/>
              <w:autoSpaceDN/>
              <w:adjustRightInd/>
              <w:snapToGrid/>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Until 31 December 2014</w:t>
            </w:r>
          </w:p>
        </w:tc>
      </w:tr>
    </w:tbl>
    <w:p w14:paraId="7D32642F" w14:textId="77777777" w:rsidR="001A5103" w:rsidRPr="001A5103" w:rsidRDefault="001A5103" w:rsidP="001A5103">
      <w:pPr>
        <w:kinsoku/>
        <w:overflowPunct/>
        <w:autoSpaceDE/>
        <w:autoSpaceDN/>
        <w:adjustRightInd/>
        <w:spacing w:before="120" w:after="120"/>
        <w:ind w:left="1134"/>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ECE/TRANS/WP.15/AC.1/2020/46 as amended and informal document INF.53/Rev.2)</w:t>
      </w:r>
    </w:p>
    <w:p w14:paraId="113A5790" w14:textId="77777777" w:rsidR="001A5103" w:rsidRPr="001A5103" w:rsidRDefault="001A5103" w:rsidP="000168F4">
      <w:pPr>
        <w:keepNext/>
        <w:keepLines/>
        <w:tabs>
          <w:tab w:val="right" w:pos="851"/>
        </w:tabs>
        <w:kinsoku/>
        <w:overflowPunct/>
        <w:autoSpaceDE/>
        <w:autoSpaceDN/>
        <w:adjustRightInd/>
        <w:snapToGrid/>
        <w:spacing w:before="240" w:after="120" w:line="240" w:lineRule="exact"/>
        <w:ind w:right="1134"/>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ab/>
      </w:r>
      <w:r w:rsidRPr="001A5103">
        <w:rPr>
          <w:rFonts w:ascii="Times New Roman" w:eastAsia="Times New Roman" w:hAnsi="Times New Roman" w:cs="Times New Roman"/>
          <w:b/>
          <w:sz w:val="20"/>
          <w:szCs w:val="20"/>
          <w:lang w:val="en-GB" w:eastAsia="fr-FR"/>
        </w:rPr>
        <w:tab/>
        <w:t>Chapter 4.3</w:t>
      </w:r>
    </w:p>
    <w:p w14:paraId="0FA52BE3" w14:textId="77777777" w:rsidR="001A5103" w:rsidRPr="001A5103" w:rsidRDefault="001A5103" w:rsidP="001A5103">
      <w:pPr>
        <w:keepNext/>
        <w:keepLines/>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 xml:space="preserve">4.3.3.3.2 </w:t>
      </w:r>
      <w:r w:rsidRPr="001A5103">
        <w:rPr>
          <w:rFonts w:ascii="Times New Roman" w:eastAsia="Times New Roman" w:hAnsi="Times New Roman" w:cs="Times New Roman"/>
          <w:sz w:val="20"/>
          <w:szCs w:val="20"/>
          <w:lang w:val="en-GB" w:eastAsia="fr-FR"/>
        </w:rPr>
        <w:tab/>
        <w:t xml:space="preserve">Delete and add “4.3.3.3.2 </w:t>
      </w:r>
      <w:r w:rsidRPr="001A5103">
        <w:rPr>
          <w:rFonts w:ascii="Times New Roman" w:eastAsia="Times New Roman" w:hAnsi="Times New Roman" w:cs="Times New Roman"/>
          <w:i/>
          <w:sz w:val="20"/>
          <w:szCs w:val="20"/>
          <w:lang w:val="en-GB" w:eastAsia="fr-FR"/>
        </w:rPr>
        <w:t>(Deleted)”</w:t>
      </w:r>
      <w:r w:rsidRPr="001A5103">
        <w:rPr>
          <w:rFonts w:ascii="Times New Roman" w:eastAsia="Times New Roman" w:hAnsi="Times New Roman" w:cs="Times New Roman"/>
          <w:sz w:val="20"/>
          <w:szCs w:val="20"/>
          <w:lang w:val="en-GB" w:eastAsia="fr-FR"/>
        </w:rPr>
        <w:t>.</w:t>
      </w:r>
    </w:p>
    <w:p w14:paraId="5679B645"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documents: informal document INF.64 and ECE/TRANS/WP.15/AC.1/2020/26)</w:t>
      </w:r>
    </w:p>
    <w:p w14:paraId="16525427" w14:textId="77777777" w:rsidR="001A5103" w:rsidRPr="001A5103" w:rsidRDefault="001A5103" w:rsidP="000168F4">
      <w:pPr>
        <w:keepNext/>
        <w:keepLines/>
        <w:tabs>
          <w:tab w:val="right" w:pos="851"/>
        </w:tabs>
        <w:kinsoku/>
        <w:overflowPunct/>
        <w:autoSpaceDE/>
        <w:autoSpaceDN/>
        <w:adjustRightInd/>
        <w:snapToGrid/>
        <w:spacing w:before="240" w:after="120" w:line="240" w:lineRule="exact"/>
        <w:ind w:right="1134"/>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ab/>
      </w:r>
      <w:r w:rsidRPr="001A5103">
        <w:rPr>
          <w:rFonts w:ascii="Times New Roman" w:eastAsia="Times New Roman" w:hAnsi="Times New Roman" w:cs="Times New Roman"/>
          <w:b/>
          <w:sz w:val="20"/>
          <w:szCs w:val="20"/>
          <w:lang w:val="en-GB" w:eastAsia="fr-FR"/>
        </w:rPr>
        <w:tab/>
        <w:t>Chapter 5.3</w:t>
      </w:r>
    </w:p>
    <w:p w14:paraId="6F7322E6" w14:textId="77777777" w:rsidR="001A5103" w:rsidRPr="001A5103" w:rsidRDefault="001A5103" w:rsidP="001A5103">
      <w:pPr>
        <w:kinsoku/>
        <w:overflowPunct/>
        <w:autoSpaceDE/>
        <w:autoSpaceDN/>
        <w:adjustRightInd/>
        <w:snapToGrid/>
        <w:spacing w:after="240"/>
        <w:ind w:left="2259" w:right="1134" w:hanging="1125"/>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5.3.2.1.5</w:t>
      </w:r>
      <w:r w:rsidRPr="001A5103">
        <w:rPr>
          <w:rFonts w:ascii="Times New Roman" w:eastAsia="Times New Roman" w:hAnsi="Times New Roman" w:cs="Times New Roman"/>
          <w:sz w:val="20"/>
          <w:szCs w:val="20"/>
          <w:lang w:val="en-GB" w:eastAsia="fr-FR"/>
        </w:rPr>
        <w:tab/>
        <w:t>Amend the note to read as follows:</w:t>
      </w:r>
    </w:p>
    <w:p w14:paraId="2F0EBD61" w14:textId="008A7594"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w:t>
      </w:r>
      <w:r w:rsidRPr="001A5103">
        <w:rPr>
          <w:rFonts w:ascii="Times New Roman" w:eastAsia="Times New Roman" w:hAnsi="Times New Roman" w:cs="Times New Roman"/>
          <w:b/>
          <w:bCs/>
          <w:i/>
          <w:iCs/>
          <w:sz w:val="20"/>
          <w:szCs w:val="20"/>
          <w:lang w:val="en-GB" w:eastAsia="fr-FR"/>
        </w:rPr>
        <w:t>NOTE:</w:t>
      </w:r>
      <w:r w:rsidRPr="001A5103">
        <w:rPr>
          <w:rFonts w:ascii="Times New Roman" w:eastAsia="Times New Roman" w:hAnsi="Times New Roman" w:cs="Times New Roman"/>
          <w:i/>
          <w:iCs/>
          <w:sz w:val="20"/>
          <w:szCs w:val="20"/>
          <w:lang w:val="en-GB" w:eastAsia="fr-FR"/>
        </w:rPr>
        <w:tab/>
        <w:t>This paragraph need not be applied to vehicles carrying bulk containers, tanks and MEGCs with a maximum capacity of 3 000 litres.”</w:t>
      </w:r>
    </w:p>
    <w:p w14:paraId="6383F466"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informal document INF.61, as amended)</w:t>
      </w:r>
    </w:p>
    <w:p w14:paraId="5843D5CE" w14:textId="77777777" w:rsidR="001A5103" w:rsidRPr="001A5103" w:rsidRDefault="001A5103" w:rsidP="000168F4">
      <w:pPr>
        <w:keepNext/>
        <w:keepLines/>
        <w:tabs>
          <w:tab w:val="right" w:pos="851"/>
        </w:tabs>
        <w:kinsoku/>
        <w:overflowPunct/>
        <w:autoSpaceDE/>
        <w:autoSpaceDN/>
        <w:adjustRightInd/>
        <w:snapToGrid/>
        <w:spacing w:before="240" w:after="120" w:line="240" w:lineRule="exact"/>
        <w:ind w:right="1134"/>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 xml:space="preserve"> </w:t>
      </w:r>
      <w:r w:rsidRPr="001A5103">
        <w:rPr>
          <w:rFonts w:ascii="Times New Roman" w:eastAsia="Times New Roman" w:hAnsi="Times New Roman" w:cs="Times New Roman"/>
          <w:b/>
          <w:sz w:val="20"/>
          <w:szCs w:val="20"/>
          <w:lang w:val="en-GB" w:eastAsia="fr-FR"/>
        </w:rPr>
        <w:tab/>
      </w:r>
      <w:r w:rsidRPr="001A5103">
        <w:rPr>
          <w:rFonts w:ascii="Times New Roman" w:eastAsia="Times New Roman" w:hAnsi="Times New Roman" w:cs="Times New Roman"/>
          <w:b/>
          <w:sz w:val="20"/>
          <w:szCs w:val="20"/>
          <w:lang w:val="en-GB" w:eastAsia="fr-FR"/>
        </w:rPr>
        <w:tab/>
        <w:t>Chapter 6.2</w:t>
      </w:r>
    </w:p>
    <w:p w14:paraId="3D6E1721" w14:textId="77777777" w:rsidR="001A5103" w:rsidRPr="001A5103" w:rsidRDefault="001A5103" w:rsidP="001A5103">
      <w:pPr>
        <w:kinsoku/>
        <w:overflowPunct/>
        <w:autoSpaceDE/>
        <w:autoSpaceDN/>
        <w:adjustRightInd/>
        <w:snapToGrid/>
        <w:spacing w:after="240"/>
        <w:ind w:left="2259" w:right="1134" w:hanging="1125"/>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6.2.3.5.1</w:t>
      </w:r>
      <w:r w:rsidRPr="001A5103">
        <w:rPr>
          <w:rFonts w:ascii="Times New Roman" w:eastAsia="Times New Roman" w:hAnsi="Times New Roman" w:cs="Times New Roman"/>
          <w:sz w:val="20"/>
          <w:szCs w:val="20"/>
          <w:lang w:val="en-GB" w:eastAsia="fr-FR"/>
        </w:rPr>
        <w:tab/>
        <w:t>In note 2, replace “EN ISO 16148:2016” by “EN ISO 16148:2016 + A1:2020”.</w:t>
      </w:r>
    </w:p>
    <w:p w14:paraId="437A17EB"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informal document INF.53/Rev.2)</w:t>
      </w:r>
    </w:p>
    <w:p w14:paraId="3DF45E6C"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6.2.4.1</w:t>
      </w:r>
      <w:r w:rsidRPr="001A5103">
        <w:rPr>
          <w:rFonts w:ascii="Times New Roman" w:eastAsia="Times New Roman" w:hAnsi="Times New Roman" w:cs="Times New Roman"/>
          <w:sz w:val="20"/>
          <w:szCs w:val="20"/>
          <w:lang w:val="en-GB" w:eastAsia="fr-FR"/>
        </w:rPr>
        <w:tab/>
      </w:r>
      <w:r w:rsidRPr="001A5103">
        <w:rPr>
          <w:rFonts w:ascii="Times New Roman" w:eastAsia="Times New Roman" w:hAnsi="Times New Roman" w:cs="Times New Roman"/>
          <w:sz w:val="20"/>
          <w:szCs w:val="20"/>
          <w:lang w:val="en-GB" w:eastAsia="fr-FR"/>
        </w:rPr>
        <w:tab/>
        <w:t>In the table, under “for design and construction”, add the following new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1A5103" w:rsidRPr="001A5103" w14:paraId="2A232DCD" w14:textId="77777777" w:rsidTr="00D10BD9">
        <w:tc>
          <w:tcPr>
            <w:tcW w:w="1701" w:type="dxa"/>
            <w:vAlign w:val="center"/>
          </w:tcPr>
          <w:p w14:paraId="62D73D15" w14:textId="77777777" w:rsidR="001A5103" w:rsidRPr="001A5103" w:rsidRDefault="001A5103" w:rsidP="001A5103">
            <w:pPr>
              <w:widowControl w:val="0"/>
              <w:kinsoku/>
              <w:overflowPunct/>
              <w:autoSpaceDE/>
              <w:autoSpaceDN/>
              <w:adjustRightInd/>
              <w:snapToGrid/>
              <w:spacing w:before="60" w:after="60"/>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 xml:space="preserve">EN 17339:2020 </w:t>
            </w:r>
          </w:p>
          <w:p w14:paraId="764F4563" w14:textId="77777777" w:rsidR="001A5103" w:rsidRPr="001A5103" w:rsidRDefault="001A5103" w:rsidP="001A5103">
            <w:pPr>
              <w:widowControl w:val="0"/>
              <w:kinsoku/>
              <w:overflowPunct/>
              <w:autoSpaceDE/>
              <w:autoSpaceDN/>
              <w:adjustRightInd/>
              <w:snapToGrid/>
              <w:spacing w:before="60" w:after="60"/>
              <w:rPr>
                <w:rFonts w:ascii="Times New Roman" w:eastAsia="Times New Roman" w:hAnsi="Times New Roman" w:cs="Times New Roman"/>
                <w:sz w:val="20"/>
                <w:szCs w:val="20"/>
                <w:lang w:val="en-GB" w:eastAsia="fr-FR"/>
              </w:rPr>
            </w:pPr>
          </w:p>
        </w:tc>
        <w:tc>
          <w:tcPr>
            <w:tcW w:w="3686" w:type="dxa"/>
          </w:tcPr>
          <w:p w14:paraId="5A25E358" w14:textId="77777777" w:rsidR="001A5103" w:rsidRPr="001A5103" w:rsidRDefault="001A5103" w:rsidP="001A5103">
            <w:pPr>
              <w:widowControl w:val="0"/>
              <w:kinsoku/>
              <w:overflowPunct/>
              <w:autoSpaceDE/>
              <w:autoSpaceDN/>
              <w:adjustRightInd/>
              <w:snapToGrid/>
              <w:spacing w:before="60" w:after="120"/>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Transportable gas cylinders – Fully wrapped carbon composite cylinders and tubes for hydrogen</w:t>
            </w:r>
          </w:p>
        </w:tc>
        <w:tc>
          <w:tcPr>
            <w:tcW w:w="1417" w:type="dxa"/>
            <w:vAlign w:val="center"/>
          </w:tcPr>
          <w:p w14:paraId="7A8F94E3" w14:textId="77777777" w:rsidR="001A5103" w:rsidRPr="001A5103" w:rsidRDefault="001A5103" w:rsidP="001A5103">
            <w:pPr>
              <w:widowControl w:val="0"/>
              <w:kinsoku/>
              <w:overflowPunct/>
              <w:autoSpaceDE/>
              <w:autoSpaceDN/>
              <w:adjustRightInd/>
              <w:snapToGrid/>
              <w:spacing w:before="60" w:after="60"/>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6.2.3.1 and 6.2.3.4</w:t>
            </w:r>
          </w:p>
        </w:tc>
        <w:tc>
          <w:tcPr>
            <w:tcW w:w="992" w:type="dxa"/>
            <w:vAlign w:val="center"/>
          </w:tcPr>
          <w:p w14:paraId="714FB436" w14:textId="77777777" w:rsidR="001A5103" w:rsidRPr="001A5103" w:rsidRDefault="001A5103" w:rsidP="001A5103">
            <w:pPr>
              <w:widowControl w:val="0"/>
              <w:kinsoku/>
              <w:overflowPunct/>
              <w:autoSpaceDE/>
              <w:autoSpaceDN/>
              <w:adjustRightInd/>
              <w:snapToGrid/>
              <w:spacing w:before="60" w:after="60"/>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Until further notice</w:t>
            </w:r>
          </w:p>
        </w:tc>
        <w:tc>
          <w:tcPr>
            <w:tcW w:w="851" w:type="dxa"/>
            <w:vAlign w:val="center"/>
          </w:tcPr>
          <w:p w14:paraId="19C15D40" w14:textId="77777777" w:rsidR="001A5103" w:rsidRPr="001A5103" w:rsidRDefault="001A5103" w:rsidP="001A5103">
            <w:pPr>
              <w:widowControl w:val="0"/>
              <w:kinsoku/>
              <w:overflowPunct/>
              <w:autoSpaceDE/>
              <w:autoSpaceDN/>
              <w:adjustRightInd/>
              <w:snapToGrid/>
              <w:spacing w:before="60" w:after="60"/>
              <w:rPr>
                <w:rFonts w:ascii="Times New Roman" w:eastAsia="Times New Roman" w:hAnsi="Times New Roman" w:cs="Times New Roman"/>
                <w:sz w:val="20"/>
                <w:szCs w:val="20"/>
                <w:lang w:val="en-GB" w:eastAsia="fr-FR"/>
              </w:rPr>
            </w:pPr>
          </w:p>
        </w:tc>
      </w:tr>
    </w:tbl>
    <w:p w14:paraId="22A0EB3D" w14:textId="77777777" w:rsidR="001A5103" w:rsidRPr="001A5103" w:rsidRDefault="001A5103" w:rsidP="001A5103">
      <w:pPr>
        <w:tabs>
          <w:tab w:val="left" w:pos="2268"/>
        </w:tabs>
        <w:kinsoku/>
        <w:overflowPunct/>
        <w:autoSpaceDE/>
        <w:autoSpaceDN/>
        <w:adjustRightInd/>
        <w:snapToGri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ab/>
        <w:t>In the table, under “for closures”:</w:t>
      </w:r>
    </w:p>
    <w:p w14:paraId="126D4DDE" w14:textId="77777777" w:rsidR="001A5103" w:rsidRPr="001A5103" w:rsidRDefault="001A5103" w:rsidP="001A5103">
      <w:pPr>
        <w:numPr>
          <w:ilvl w:val="0"/>
          <w:numId w:val="15"/>
        </w:numPr>
        <w:kinsoku/>
        <w:overflowPunct/>
        <w:autoSpaceDE/>
        <w:autoSpaceDN/>
        <w:adjustRightInd/>
        <w:snapToGrid/>
        <w:spacing w:before="120" w:after="120"/>
        <w:ind w:left="2410" w:right="1134" w:hanging="142"/>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For “EN 13175:2019 (except clause 6.1.6)”, in column (4), replace “Until further notice” by “Between 1 January 2021 and 31 December 2024”. After the row for “EN 13175:2019 (except clause 6.1.6)”,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1A5103" w:rsidRPr="001A5103" w14:paraId="633E51D3" w14:textId="77777777" w:rsidTr="00D10BD9">
        <w:tc>
          <w:tcPr>
            <w:tcW w:w="1701" w:type="dxa"/>
            <w:vAlign w:val="center"/>
          </w:tcPr>
          <w:p w14:paraId="0650F4CD" w14:textId="77777777" w:rsidR="001A5103" w:rsidRPr="001A5103" w:rsidRDefault="001A5103" w:rsidP="001A5103">
            <w:pPr>
              <w:widowControl w:val="0"/>
              <w:kinsoku/>
              <w:overflowPunct/>
              <w:autoSpaceDE/>
              <w:autoSpaceDN/>
              <w:adjustRightInd/>
              <w:snapToGrid/>
              <w:spacing w:before="60" w:after="60"/>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EN 13175:2019 + A1:2020</w:t>
            </w:r>
          </w:p>
        </w:tc>
        <w:tc>
          <w:tcPr>
            <w:tcW w:w="3686" w:type="dxa"/>
          </w:tcPr>
          <w:p w14:paraId="6ACC03F5" w14:textId="77777777" w:rsidR="001A5103" w:rsidRPr="001A5103" w:rsidRDefault="001A5103" w:rsidP="001A5103">
            <w:pPr>
              <w:widowControl w:val="0"/>
              <w:kinsoku/>
              <w:overflowPunct/>
              <w:autoSpaceDE/>
              <w:autoSpaceDN/>
              <w:adjustRightInd/>
              <w:snapToGrid/>
              <w:spacing w:before="60" w:after="120"/>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LPG Equipment and accessories – Specification and testing for Liquefied Petroleum Gas (LPG) pressure vessel valves and fittings</w:t>
            </w:r>
          </w:p>
        </w:tc>
        <w:tc>
          <w:tcPr>
            <w:tcW w:w="1417" w:type="dxa"/>
            <w:vAlign w:val="center"/>
          </w:tcPr>
          <w:p w14:paraId="2FC0C3A5" w14:textId="77777777" w:rsidR="001A5103" w:rsidRPr="001A5103" w:rsidRDefault="001A5103" w:rsidP="001A5103">
            <w:pPr>
              <w:widowControl w:val="0"/>
              <w:kinsoku/>
              <w:overflowPunct/>
              <w:autoSpaceDE/>
              <w:autoSpaceDN/>
              <w:adjustRightInd/>
              <w:snapToGrid/>
              <w:spacing w:before="60" w:after="60"/>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6.2.3.1 and 6.2.3.3</w:t>
            </w:r>
          </w:p>
        </w:tc>
        <w:tc>
          <w:tcPr>
            <w:tcW w:w="992" w:type="dxa"/>
            <w:vAlign w:val="center"/>
          </w:tcPr>
          <w:p w14:paraId="111E4B50" w14:textId="77777777" w:rsidR="001A5103" w:rsidRPr="001A5103" w:rsidRDefault="001A5103" w:rsidP="001A5103">
            <w:pPr>
              <w:widowControl w:val="0"/>
              <w:kinsoku/>
              <w:overflowPunct/>
              <w:autoSpaceDE/>
              <w:autoSpaceDN/>
              <w:adjustRightInd/>
              <w:snapToGrid/>
              <w:spacing w:before="60" w:after="60"/>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Until further notice</w:t>
            </w:r>
          </w:p>
        </w:tc>
        <w:tc>
          <w:tcPr>
            <w:tcW w:w="851" w:type="dxa"/>
            <w:vAlign w:val="center"/>
          </w:tcPr>
          <w:p w14:paraId="523C02A5" w14:textId="77777777" w:rsidR="001A5103" w:rsidRPr="001A5103" w:rsidRDefault="001A5103" w:rsidP="001A5103">
            <w:pPr>
              <w:widowControl w:val="0"/>
              <w:kinsoku/>
              <w:overflowPunct/>
              <w:autoSpaceDE/>
              <w:autoSpaceDN/>
              <w:adjustRightInd/>
              <w:snapToGrid/>
              <w:spacing w:before="60" w:after="60"/>
              <w:rPr>
                <w:rFonts w:ascii="Times New Roman" w:eastAsia="Times New Roman" w:hAnsi="Times New Roman" w:cs="Times New Roman"/>
                <w:sz w:val="20"/>
                <w:szCs w:val="20"/>
                <w:lang w:val="en-GB" w:eastAsia="fr-FR"/>
              </w:rPr>
            </w:pPr>
          </w:p>
        </w:tc>
      </w:tr>
    </w:tbl>
    <w:p w14:paraId="68D5FC58" w14:textId="77777777" w:rsidR="001A5103" w:rsidRPr="001A5103" w:rsidRDefault="001A5103" w:rsidP="001A5103">
      <w:pPr>
        <w:numPr>
          <w:ilvl w:val="0"/>
          <w:numId w:val="15"/>
        </w:numPr>
        <w:kinsoku/>
        <w:overflowPunct/>
        <w:autoSpaceDE/>
        <w:autoSpaceDN/>
        <w:adjustRightInd/>
        <w:snapToGrid/>
        <w:spacing w:before="120" w:after="120"/>
        <w:ind w:left="2410" w:right="1134" w:hanging="142"/>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For “EN 13953:2015”, in column (4), replace “Until further notice” by “Between 1 January 2017 and 31 December 2024”. After the row for “EN 13953:2015”,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1A5103" w:rsidRPr="001A5103" w14:paraId="7FFA20CE" w14:textId="77777777" w:rsidTr="00D10BD9">
        <w:tc>
          <w:tcPr>
            <w:tcW w:w="1701" w:type="dxa"/>
            <w:vAlign w:val="center"/>
          </w:tcPr>
          <w:p w14:paraId="743E9CFF" w14:textId="77777777" w:rsidR="001A5103" w:rsidRPr="001A5103" w:rsidRDefault="001A5103" w:rsidP="001A5103">
            <w:pPr>
              <w:widowControl w:val="0"/>
              <w:kinsoku/>
              <w:overflowPunct/>
              <w:autoSpaceDE/>
              <w:autoSpaceDN/>
              <w:adjustRightInd/>
              <w:snapToGrid/>
              <w:spacing w:before="60" w:after="60"/>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EN 13953:2020</w:t>
            </w:r>
          </w:p>
        </w:tc>
        <w:tc>
          <w:tcPr>
            <w:tcW w:w="3686" w:type="dxa"/>
          </w:tcPr>
          <w:p w14:paraId="2119EB75" w14:textId="77777777" w:rsidR="001A5103" w:rsidRPr="001A5103" w:rsidRDefault="001A5103" w:rsidP="001A5103">
            <w:pPr>
              <w:widowControl w:val="0"/>
              <w:kinsoku/>
              <w:overflowPunct/>
              <w:autoSpaceDE/>
              <w:autoSpaceDN/>
              <w:adjustRightInd/>
              <w:snapToGrid/>
              <w:spacing w:before="60" w:after="120"/>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 xml:space="preserve">LPG Equipment and accessories – Pressure relief valves for transportable refillable cylinders for Liquefied Petroleum Gas (LPG) </w:t>
            </w:r>
          </w:p>
        </w:tc>
        <w:tc>
          <w:tcPr>
            <w:tcW w:w="1417" w:type="dxa"/>
            <w:vAlign w:val="center"/>
          </w:tcPr>
          <w:p w14:paraId="7A6AB50D" w14:textId="77777777" w:rsidR="001A5103" w:rsidRPr="001A5103" w:rsidRDefault="001A5103" w:rsidP="001A5103">
            <w:pPr>
              <w:widowControl w:val="0"/>
              <w:kinsoku/>
              <w:overflowPunct/>
              <w:autoSpaceDE/>
              <w:autoSpaceDN/>
              <w:adjustRightInd/>
              <w:snapToGrid/>
              <w:spacing w:before="60" w:after="60"/>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6.2.3.1, 6.2.3.3 and 6.2.3.4</w:t>
            </w:r>
          </w:p>
        </w:tc>
        <w:tc>
          <w:tcPr>
            <w:tcW w:w="992" w:type="dxa"/>
            <w:vAlign w:val="center"/>
          </w:tcPr>
          <w:p w14:paraId="6AB0B3D9" w14:textId="77777777" w:rsidR="001A5103" w:rsidRPr="001A5103" w:rsidRDefault="001A5103" w:rsidP="001A5103">
            <w:pPr>
              <w:widowControl w:val="0"/>
              <w:kinsoku/>
              <w:overflowPunct/>
              <w:autoSpaceDE/>
              <w:autoSpaceDN/>
              <w:adjustRightInd/>
              <w:snapToGrid/>
              <w:spacing w:before="60" w:after="60"/>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Until further notice</w:t>
            </w:r>
          </w:p>
        </w:tc>
        <w:tc>
          <w:tcPr>
            <w:tcW w:w="851" w:type="dxa"/>
            <w:vAlign w:val="center"/>
          </w:tcPr>
          <w:p w14:paraId="17F07D0D" w14:textId="77777777" w:rsidR="001A5103" w:rsidRPr="001A5103" w:rsidRDefault="001A5103" w:rsidP="001A5103">
            <w:pPr>
              <w:widowControl w:val="0"/>
              <w:kinsoku/>
              <w:overflowPunct/>
              <w:autoSpaceDE/>
              <w:autoSpaceDN/>
              <w:adjustRightInd/>
              <w:snapToGrid/>
              <w:spacing w:before="60" w:after="60"/>
              <w:rPr>
                <w:rFonts w:ascii="Times New Roman" w:eastAsia="Times New Roman" w:hAnsi="Times New Roman" w:cs="Times New Roman"/>
                <w:sz w:val="20"/>
                <w:szCs w:val="20"/>
                <w:lang w:val="en-GB" w:eastAsia="fr-FR"/>
              </w:rPr>
            </w:pPr>
          </w:p>
        </w:tc>
      </w:tr>
    </w:tbl>
    <w:p w14:paraId="39C96ACF" w14:textId="77777777" w:rsidR="001A5103" w:rsidRPr="001A5103" w:rsidRDefault="001A5103" w:rsidP="001A5103">
      <w:pPr>
        <w:kinsoku/>
        <w:overflowPunct/>
        <w:autoSpaceDE/>
        <w:autoSpaceDN/>
        <w:adjustRightInd/>
        <w:snapToGrid/>
        <w:spacing w:before="120"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informal document INF.53/Rev.2)</w:t>
      </w:r>
    </w:p>
    <w:p w14:paraId="7F13574B"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6.2.5.4.2</w:t>
      </w:r>
      <w:r w:rsidRPr="001A5103">
        <w:rPr>
          <w:rFonts w:ascii="Times New Roman" w:eastAsia="Times New Roman" w:hAnsi="Times New Roman" w:cs="Times New Roman"/>
          <w:sz w:val="20"/>
          <w:szCs w:val="20"/>
          <w:lang w:val="en-GB" w:eastAsia="fr-FR"/>
        </w:rPr>
        <w:tab/>
        <w:t>Replace “EN 1975:1999 + A1:2003” by “EN ISO 7866:2012 + AC:2014”.</w:t>
      </w:r>
    </w:p>
    <w:p w14:paraId="2408DF1E"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lastRenderedPageBreak/>
        <w:t>(Reference document: informal document INF.53/Rev.2)</w:t>
      </w:r>
    </w:p>
    <w:p w14:paraId="036459F1" w14:textId="77777777" w:rsidR="001A5103" w:rsidRPr="001A5103" w:rsidRDefault="001A5103" w:rsidP="000168F4">
      <w:pPr>
        <w:keepNext/>
        <w:keepLines/>
        <w:tabs>
          <w:tab w:val="right" w:pos="851"/>
        </w:tabs>
        <w:kinsoku/>
        <w:overflowPunct/>
        <w:autoSpaceDE/>
        <w:autoSpaceDN/>
        <w:adjustRightInd/>
        <w:snapToGrid/>
        <w:spacing w:before="240" w:after="120" w:line="240" w:lineRule="exact"/>
        <w:ind w:right="1134"/>
        <w:rPr>
          <w:rFonts w:ascii="Times New Roman" w:eastAsia="Times New Roman" w:hAnsi="Times New Roman" w:cs="Times New Roman"/>
          <w:b/>
          <w:sz w:val="20"/>
          <w:szCs w:val="20"/>
          <w:lang w:val="en-GB" w:eastAsia="fr-FR"/>
        </w:rPr>
      </w:pPr>
      <w:r w:rsidRPr="001A5103">
        <w:rPr>
          <w:rFonts w:ascii="Times New Roman" w:eastAsia="Times New Roman" w:hAnsi="Times New Roman" w:cs="Times New Roman"/>
          <w:b/>
          <w:sz w:val="20"/>
          <w:szCs w:val="20"/>
          <w:lang w:val="en-GB" w:eastAsia="fr-FR"/>
        </w:rPr>
        <w:tab/>
      </w:r>
      <w:r w:rsidRPr="001A5103">
        <w:rPr>
          <w:rFonts w:ascii="Times New Roman" w:eastAsia="Times New Roman" w:hAnsi="Times New Roman" w:cs="Times New Roman"/>
          <w:b/>
          <w:sz w:val="20"/>
          <w:szCs w:val="20"/>
          <w:lang w:val="en-GB" w:eastAsia="fr-FR"/>
        </w:rPr>
        <w:tab/>
        <w:t>Chapter 6.8</w:t>
      </w:r>
    </w:p>
    <w:p w14:paraId="35380E25" w14:textId="77277114" w:rsidR="001A5103" w:rsidRPr="001A5103" w:rsidRDefault="001A5103" w:rsidP="001A5103">
      <w:pPr>
        <w:kinsoku/>
        <w:overflowPunct/>
        <w:autoSpaceDE/>
        <w:autoSpaceDN/>
        <w:adjustRightInd/>
        <w:snapToGrid/>
        <w:spacing w:after="120"/>
        <w:ind w:left="2268" w:right="1134" w:hanging="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6.8.2.2.1</w:t>
      </w:r>
      <w:r w:rsidRPr="001A5103">
        <w:rPr>
          <w:rFonts w:ascii="Times New Roman" w:eastAsia="Times New Roman" w:hAnsi="Times New Roman" w:cs="Times New Roman"/>
          <w:sz w:val="20"/>
          <w:szCs w:val="20"/>
          <w:lang w:val="en-GB" w:eastAsia="fr-FR"/>
        </w:rPr>
        <w:tab/>
        <w:t>After the first sentence, add the following new sentence:</w:t>
      </w:r>
    </w:p>
    <w:p w14:paraId="4283694C"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“Welded elements shall be attached to the shell in such a way that tearing of the shell is prevented.”</w:t>
      </w:r>
    </w:p>
    <w:p w14:paraId="466B69DE"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documents: informal document INF.64, ECE/TRANS/WP.15/AC.1/2020/6)</w:t>
      </w:r>
    </w:p>
    <w:p w14:paraId="658C94BB"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6.8.2.6.1</w:t>
      </w:r>
      <w:r w:rsidRPr="001A5103">
        <w:rPr>
          <w:rFonts w:ascii="Times New Roman" w:eastAsia="Times New Roman" w:hAnsi="Times New Roman" w:cs="Times New Roman"/>
          <w:sz w:val="20"/>
          <w:szCs w:val="20"/>
          <w:lang w:val="en-GB" w:eastAsia="fr-FR"/>
        </w:rPr>
        <w:tab/>
        <w:t>In the table, under “for equipment”:</w:t>
      </w:r>
    </w:p>
    <w:p w14:paraId="5D32C20B" w14:textId="77777777" w:rsidR="001A5103" w:rsidRPr="001A5103" w:rsidRDefault="001A5103" w:rsidP="001A5103">
      <w:pPr>
        <w:numPr>
          <w:ilvl w:val="0"/>
          <w:numId w:val="15"/>
        </w:numPr>
        <w:kinsoku/>
        <w:overflowPunct/>
        <w:autoSpaceDE/>
        <w:autoSpaceDN/>
        <w:adjustRightInd/>
        <w:snapToGrid/>
        <w:spacing w:before="120" w:after="120"/>
        <w:ind w:left="2410" w:right="1134" w:hanging="142"/>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For “EN 13175:2019 (except clause 6.1.6)”, in column (4), replace “Until further notice” by “Between 1 January 2021 and 31 December 2024”. After the row for “EN 13175:2019 (except clause 6.1.6)”, insert the following row:</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417"/>
        <w:gridCol w:w="992"/>
        <w:gridCol w:w="851"/>
      </w:tblGrid>
      <w:tr w:rsidR="001A5103" w:rsidRPr="001A5103" w14:paraId="7705DF13" w14:textId="77777777" w:rsidTr="00D10BD9">
        <w:tc>
          <w:tcPr>
            <w:tcW w:w="1701" w:type="dxa"/>
            <w:vAlign w:val="center"/>
          </w:tcPr>
          <w:p w14:paraId="7F4B005A" w14:textId="77777777" w:rsidR="001A5103" w:rsidRPr="001A5103" w:rsidRDefault="001A5103" w:rsidP="001A5103">
            <w:pPr>
              <w:widowControl w:val="0"/>
              <w:kinsoku/>
              <w:overflowPunct/>
              <w:autoSpaceDE/>
              <w:autoSpaceDN/>
              <w:adjustRightInd/>
              <w:snapToGrid/>
              <w:spacing w:before="60" w:after="60"/>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EN 13175:2019 + A1:2020</w:t>
            </w:r>
          </w:p>
        </w:tc>
        <w:tc>
          <w:tcPr>
            <w:tcW w:w="3686" w:type="dxa"/>
          </w:tcPr>
          <w:p w14:paraId="7B596D29" w14:textId="77777777" w:rsidR="001A5103" w:rsidRPr="001A5103" w:rsidRDefault="001A5103" w:rsidP="001A5103">
            <w:pPr>
              <w:widowControl w:val="0"/>
              <w:kinsoku/>
              <w:overflowPunct/>
              <w:autoSpaceDE/>
              <w:autoSpaceDN/>
              <w:adjustRightInd/>
              <w:snapToGrid/>
              <w:spacing w:before="60" w:after="120"/>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LPG Equipment and accessories – Specification and testing for Liquefied Petroleum Gas (LPG) pressure vessel valves and fittings</w:t>
            </w:r>
          </w:p>
        </w:tc>
        <w:tc>
          <w:tcPr>
            <w:tcW w:w="1417" w:type="dxa"/>
            <w:vAlign w:val="center"/>
          </w:tcPr>
          <w:p w14:paraId="30BDB076" w14:textId="77777777" w:rsidR="001A5103" w:rsidRPr="001A5103" w:rsidRDefault="001A5103" w:rsidP="001A5103">
            <w:pPr>
              <w:widowControl w:val="0"/>
              <w:kinsoku/>
              <w:overflowPunct/>
              <w:autoSpaceDE/>
              <w:autoSpaceDN/>
              <w:adjustRightInd/>
              <w:snapToGrid/>
              <w:spacing w:before="60" w:after="60"/>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6.8.2.1.1, 6.8.2.2, 6.8.2.4.1 and 6.8.3.2.3</w:t>
            </w:r>
          </w:p>
        </w:tc>
        <w:tc>
          <w:tcPr>
            <w:tcW w:w="992" w:type="dxa"/>
            <w:vAlign w:val="center"/>
          </w:tcPr>
          <w:p w14:paraId="78276E5D" w14:textId="77777777" w:rsidR="001A5103" w:rsidRPr="001A5103" w:rsidRDefault="001A5103" w:rsidP="001A5103">
            <w:pPr>
              <w:widowControl w:val="0"/>
              <w:kinsoku/>
              <w:overflowPunct/>
              <w:autoSpaceDE/>
              <w:autoSpaceDN/>
              <w:adjustRightInd/>
              <w:snapToGrid/>
              <w:spacing w:before="60" w:after="60"/>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Until further notice</w:t>
            </w:r>
          </w:p>
        </w:tc>
        <w:tc>
          <w:tcPr>
            <w:tcW w:w="851" w:type="dxa"/>
            <w:vAlign w:val="center"/>
          </w:tcPr>
          <w:p w14:paraId="1BC1DB46" w14:textId="77777777" w:rsidR="001A5103" w:rsidRPr="001A5103" w:rsidRDefault="001A5103" w:rsidP="001A5103">
            <w:pPr>
              <w:widowControl w:val="0"/>
              <w:kinsoku/>
              <w:overflowPunct/>
              <w:autoSpaceDE/>
              <w:autoSpaceDN/>
              <w:adjustRightInd/>
              <w:snapToGrid/>
              <w:spacing w:before="60" w:after="60"/>
              <w:rPr>
                <w:rFonts w:ascii="Times New Roman" w:eastAsia="Times New Roman" w:hAnsi="Times New Roman" w:cs="Times New Roman"/>
                <w:sz w:val="20"/>
                <w:szCs w:val="20"/>
                <w:lang w:val="en-GB" w:eastAsia="fr-FR"/>
              </w:rPr>
            </w:pPr>
          </w:p>
        </w:tc>
      </w:tr>
    </w:tbl>
    <w:p w14:paraId="374BC328" w14:textId="77777777" w:rsidR="001A5103" w:rsidRPr="001A5103" w:rsidRDefault="001A5103" w:rsidP="001A5103">
      <w:pPr>
        <w:kinsoku/>
        <w:overflowPunct/>
        <w:autoSpaceDE/>
        <w:autoSpaceDN/>
        <w:adjustRightInd/>
        <w:snapToGrid/>
        <w:spacing w:before="120"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 informal document INF.53/Rev.2)</w:t>
      </w:r>
    </w:p>
    <w:p w14:paraId="708A94B1"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6.8.3.4.6</w:t>
      </w:r>
      <w:r w:rsidRPr="001A5103">
        <w:rPr>
          <w:rFonts w:ascii="Times New Roman" w:eastAsia="Times New Roman" w:hAnsi="Times New Roman" w:cs="Times New Roman"/>
          <w:sz w:val="20"/>
          <w:szCs w:val="20"/>
          <w:lang w:val="en-GB" w:eastAsia="fr-FR"/>
        </w:rPr>
        <w:tab/>
        <w:t>Amend to read as follows:</w:t>
      </w:r>
    </w:p>
    <w:p w14:paraId="6929A434" w14:textId="77777777" w:rsidR="001A5103" w:rsidRPr="001A5103" w:rsidRDefault="001A5103" w:rsidP="001A5103">
      <w:pPr>
        <w:kinsoku/>
        <w:overflowPunct/>
        <w:autoSpaceDE/>
        <w:autoSpaceDN/>
        <w:adjustRightInd/>
        <w:snapToGrid/>
        <w:spacing w:after="200"/>
        <w:ind w:lef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“6.8.3.4.6</w:t>
      </w:r>
      <w:r w:rsidRPr="001A5103">
        <w:rPr>
          <w:rFonts w:ascii="Times New Roman" w:eastAsia="Times New Roman" w:hAnsi="Times New Roman" w:cs="Times New Roman"/>
          <w:sz w:val="20"/>
          <w:szCs w:val="20"/>
          <w:lang w:val="en-GB" w:eastAsia="fr-FR"/>
        </w:rPr>
        <w:tab/>
        <w:t>For tanks intended for the carriage of refrigerated liquefied gases:</w:t>
      </w:r>
    </w:p>
    <w:p w14:paraId="7D8D4E88" w14:textId="77777777" w:rsidR="001A5103" w:rsidRPr="001A5103" w:rsidRDefault="001A5103" w:rsidP="001A5103">
      <w:pPr>
        <w:kinsoku/>
        <w:overflowPunct/>
        <w:autoSpaceDE/>
        <w:autoSpaceDN/>
        <w:adjustRightInd/>
        <w:snapToGrid/>
        <w:spacing w:after="120"/>
        <w:ind w:left="1701" w:right="1134" w:hanging="567"/>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(a)</w:t>
      </w:r>
      <w:r w:rsidRPr="001A5103">
        <w:rPr>
          <w:rFonts w:ascii="Times New Roman" w:eastAsia="Times New Roman" w:hAnsi="Times New Roman" w:cs="Times New Roman"/>
          <w:sz w:val="20"/>
          <w:szCs w:val="20"/>
          <w:lang w:val="en-GB" w:eastAsia="fr-FR"/>
        </w:rPr>
        <w:tab/>
        <w:t xml:space="preserve">By derogation from the requirements of 6.8.2.4.2, the periodic inspections shall take place </w:t>
      </w:r>
    </w:p>
    <w:tbl>
      <w:tblPr>
        <w:tblW w:w="0" w:type="auto"/>
        <w:tblLook w:val="01E0" w:firstRow="1" w:lastRow="1" w:firstColumn="1" w:lastColumn="1" w:noHBand="0" w:noVBand="0"/>
      </w:tblPr>
      <w:tblGrid>
        <w:gridCol w:w="4949"/>
        <w:gridCol w:w="4689"/>
      </w:tblGrid>
      <w:tr w:rsidR="001A5103" w:rsidRPr="001A5103" w14:paraId="64247A20" w14:textId="77777777" w:rsidTr="00D10BD9">
        <w:tc>
          <w:tcPr>
            <w:tcW w:w="5058" w:type="dxa"/>
            <w:tcBorders>
              <w:right w:val="single" w:sz="4" w:space="0" w:color="auto"/>
            </w:tcBorders>
          </w:tcPr>
          <w:p w14:paraId="310AA9F9" w14:textId="77777777" w:rsidR="001A5103" w:rsidRPr="001A5103" w:rsidRDefault="001A5103" w:rsidP="001A5103">
            <w:pPr>
              <w:kinsoku/>
              <w:overflowPunct/>
              <w:autoSpaceDE/>
              <w:autoSpaceDN/>
              <w:adjustRightInd/>
              <w:snapToGrid/>
              <w:spacing w:after="120"/>
              <w:ind w:left="1593"/>
              <w:jc w:val="both"/>
              <w:rPr>
                <w:rFonts w:ascii="Times New Roman" w:eastAsia="Times New Roman" w:hAnsi="Times New Roman" w:cs="Times New Roman"/>
                <w:noProof/>
                <w:sz w:val="20"/>
                <w:szCs w:val="20"/>
                <w:lang w:val="en-GB" w:eastAsia="fr-FR"/>
              </w:rPr>
            </w:pPr>
            <w:r w:rsidRPr="001A5103">
              <w:rPr>
                <w:rFonts w:ascii="Times New Roman" w:eastAsia="Times New Roman" w:hAnsi="Times New Roman" w:cs="Times New Roman"/>
                <w:bCs/>
                <w:iCs/>
                <w:sz w:val="20"/>
                <w:szCs w:val="20"/>
                <w:lang w:val="en-GB" w:eastAsia="fr-FR"/>
              </w:rPr>
              <w:t xml:space="preserve">at least </w:t>
            </w:r>
            <w:r w:rsidRPr="001A5103">
              <w:rPr>
                <w:rFonts w:ascii="Times New Roman" w:eastAsia="Times New Roman" w:hAnsi="Times New Roman" w:cs="Times New Roman"/>
                <w:sz w:val="20"/>
                <w:szCs w:val="20"/>
                <w:lang w:val="en-GB" w:eastAsia="fr-FR"/>
              </w:rPr>
              <w:t>after six years</w:t>
            </w:r>
          </w:p>
        </w:tc>
        <w:tc>
          <w:tcPr>
            <w:tcW w:w="4770" w:type="dxa"/>
            <w:tcBorders>
              <w:left w:val="single" w:sz="4" w:space="0" w:color="auto"/>
            </w:tcBorders>
          </w:tcPr>
          <w:p w14:paraId="012784F6" w14:textId="77777777" w:rsidR="001A5103" w:rsidRPr="001A5103" w:rsidRDefault="001A5103" w:rsidP="001A5103">
            <w:pPr>
              <w:tabs>
                <w:tab w:val="left" w:pos="-1227"/>
                <w:tab w:val="left" w:pos="-883"/>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kinsoku/>
              <w:overflowPunct/>
              <w:autoSpaceDE/>
              <w:autoSpaceDN/>
              <w:adjustRightInd/>
              <w:snapToGrid/>
              <w:ind w:left="1418" w:right="597" w:hanging="1418"/>
              <w:jc w:val="both"/>
              <w:rPr>
                <w:rFonts w:ascii="Times New Roman" w:eastAsia="SimSun" w:hAnsi="Times New Roman" w:cs="Times New Roman"/>
                <w:sz w:val="20"/>
                <w:szCs w:val="20"/>
                <w:lang w:val="en-GB"/>
              </w:rPr>
            </w:pPr>
            <w:r w:rsidRPr="001A5103">
              <w:rPr>
                <w:rFonts w:ascii="Times New Roman" w:eastAsia="SimSun" w:hAnsi="Times New Roman" w:cs="Times New Roman"/>
                <w:sz w:val="20"/>
                <w:szCs w:val="20"/>
                <w:lang w:val="en-GB"/>
              </w:rPr>
              <w:t>at least after eight years</w:t>
            </w:r>
          </w:p>
        </w:tc>
      </w:tr>
    </w:tbl>
    <w:p w14:paraId="666E16A2" w14:textId="77777777" w:rsidR="001A5103" w:rsidRPr="001A5103" w:rsidRDefault="001A5103" w:rsidP="001A5103">
      <w:pPr>
        <w:kinsoku/>
        <w:overflowPunct/>
        <w:autoSpaceDE/>
        <w:autoSpaceDN/>
        <w:adjustRightInd/>
        <w:snapToGrid/>
        <w:spacing w:before="120"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ab/>
      </w:r>
      <w:r w:rsidRPr="001A5103">
        <w:rPr>
          <w:rFonts w:ascii="Times New Roman" w:eastAsia="Times New Roman" w:hAnsi="Times New Roman" w:cs="Times New Roman"/>
          <w:sz w:val="20"/>
          <w:szCs w:val="20"/>
          <w:lang w:val="en-GB" w:eastAsia="fr-FR"/>
        </w:rPr>
        <w:tab/>
        <w:t>of service and thereafter at least every 12 years.</w:t>
      </w:r>
    </w:p>
    <w:p w14:paraId="28673792" w14:textId="77777777" w:rsidR="001A5103" w:rsidRPr="001A5103" w:rsidRDefault="001A5103" w:rsidP="001A5103">
      <w:pPr>
        <w:kinsoku/>
        <w:overflowPunct/>
        <w:autoSpaceDE/>
        <w:autoSpaceDN/>
        <w:adjustRightInd/>
        <w:snapToGrid/>
        <w:spacing w:after="120"/>
        <w:ind w:left="1701" w:right="1134" w:hanging="567"/>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(b)</w:t>
      </w:r>
      <w:r w:rsidRPr="001A5103">
        <w:rPr>
          <w:rFonts w:ascii="Times New Roman" w:eastAsia="Times New Roman" w:hAnsi="Times New Roman" w:cs="Times New Roman"/>
          <w:sz w:val="20"/>
          <w:szCs w:val="20"/>
          <w:lang w:val="en-GB" w:eastAsia="fr-FR"/>
        </w:rPr>
        <w:tab/>
        <w:t>By derogation from the requirements of 6.8.2.4.3, the intermediate inspections shall take place at least six years after each periodic inspection.”</w:t>
      </w:r>
    </w:p>
    <w:p w14:paraId="1ACB930A" w14:textId="77777777" w:rsidR="001A5103" w:rsidRPr="001A5103" w:rsidRDefault="001A5103" w:rsidP="001A5103">
      <w:pPr>
        <w:keepNext/>
        <w:keepLines/>
        <w:kinsoku/>
        <w:overflowPunct/>
        <w:autoSpaceDE/>
        <w:autoSpaceDN/>
        <w:adjustRightInd/>
        <w:snapToGrid/>
        <w:spacing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documents: informal document INF.64, ECE/TRANS/WP.15/AC.1/2020/1 and ECE/TRANS/WP.15/AC.1/2020/7)</w:t>
      </w:r>
    </w:p>
    <w:p w14:paraId="0ED4A68D" w14:textId="15F72433" w:rsidR="001A5103" w:rsidRPr="001A5103" w:rsidRDefault="001A5103" w:rsidP="001A5103">
      <w:pPr>
        <w:keepNext/>
        <w:keepLines/>
        <w:kinsoku/>
        <w:overflowPunct/>
        <w:autoSpaceDE/>
        <w:autoSpaceDN/>
        <w:adjustRightInd/>
        <w:snapToGrid/>
        <w:spacing w:after="120"/>
        <w:ind w:left="2268" w:right="1134" w:hanging="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 xml:space="preserve">6.8.4 </w:t>
      </w:r>
      <w:r w:rsidR="003A7E93">
        <w:rPr>
          <w:rFonts w:ascii="Times New Roman" w:eastAsia="Times New Roman" w:hAnsi="Times New Roman" w:cs="Times New Roman"/>
          <w:sz w:val="20"/>
          <w:szCs w:val="20"/>
          <w:lang w:val="en-GB" w:eastAsia="fr-FR"/>
        </w:rPr>
        <w:t>(</w:t>
      </w:r>
      <w:r w:rsidRPr="001A5103">
        <w:rPr>
          <w:rFonts w:ascii="Times New Roman" w:eastAsia="Times New Roman" w:hAnsi="Times New Roman" w:cs="Times New Roman"/>
          <w:sz w:val="20"/>
          <w:szCs w:val="20"/>
          <w:lang w:val="en-GB" w:eastAsia="fr-FR"/>
        </w:rPr>
        <w:t>a), TC6</w:t>
      </w:r>
      <w:r w:rsidRPr="001A5103">
        <w:rPr>
          <w:rFonts w:ascii="Times New Roman" w:eastAsia="Times New Roman" w:hAnsi="Times New Roman" w:cs="Times New Roman"/>
          <w:sz w:val="20"/>
          <w:szCs w:val="20"/>
          <w:lang w:val="en-GB" w:eastAsia="fr-FR"/>
        </w:rPr>
        <w:tab/>
      </w:r>
      <w:r w:rsidRPr="001A5103">
        <w:rPr>
          <w:rFonts w:ascii="Times New Roman" w:eastAsia="Times New Roman" w:hAnsi="Times New Roman" w:cs="Times New Roman"/>
          <w:sz w:val="20"/>
          <w:szCs w:val="20"/>
          <w:lang w:val="en-GB" w:eastAsia="fr-FR"/>
        </w:rPr>
        <w:tab/>
      </w:r>
      <w:r w:rsidRPr="001A5103">
        <w:rPr>
          <w:rFonts w:ascii="Times New Roman" w:eastAsia="Times New Roman" w:hAnsi="Times New Roman" w:cs="Times New Roman"/>
          <w:sz w:val="20"/>
          <w:szCs w:val="20"/>
          <w:lang w:val="en-GB" w:eastAsia="fr-FR"/>
        </w:rPr>
        <w:tab/>
        <w:t>Amend to read as follows:</w:t>
      </w:r>
    </w:p>
    <w:p w14:paraId="0F062061" w14:textId="77777777" w:rsidR="001A5103" w:rsidRPr="001A5103" w:rsidRDefault="001A5103" w:rsidP="001A5103">
      <w:pPr>
        <w:keepNext/>
        <w:keepLines/>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“The wall thickness of tanks made of aluminium not less than 99% pure or aluminium alloy need not exceed 15 mm even where calculation in accordance with 6.8.2.1.17 gives a higher value.”</w:t>
      </w:r>
    </w:p>
    <w:p w14:paraId="7914E2B5"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i/>
          <w:iCs/>
          <w:sz w:val="20"/>
          <w:szCs w:val="20"/>
          <w:lang w:val="en-GB" w:eastAsia="fr-FR"/>
        </w:rPr>
      </w:pPr>
      <w:r w:rsidRPr="001A5103">
        <w:rPr>
          <w:rFonts w:ascii="Times New Roman" w:eastAsia="Times New Roman" w:hAnsi="Times New Roman" w:cs="Times New Roman"/>
          <w:i/>
          <w:iCs/>
          <w:sz w:val="20"/>
          <w:szCs w:val="20"/>
          <w:lang w:val="en-GB" w:eastAsia="fr-FR"/>
        </w:rPr>
        <w:t>(Reference documents: informal document INF.64 and ECE/TRANS/WP.15/AC.1/2020/34)</w:t>
      </w:r>
    </w:p>
    <w:p w14:paraId="314A1FCF" w14:textId="45346C4E" w:rsidR="001A5103" w:rsidRPr="001A5103" w:rsidRDefault="001A5103" w:rsidP="001A5103">
      <w:pPr>
        <w:kinsoku/>
        <w:overflowPunct/>
        <w:autoSpaceDE/>
        <w:autoSpaceDN/>
        <w:adjustRightInd/>
        <w:snapToGrid/>
        <w:spacing w:after="120"/>
        <w:ind w:left="2268" w:right="1134" w:hanging="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 xml:space="preserve">6.8.4 </w:t>
      </w:r>
      <w:r w:rsidR="003A7E93">
        <w:rPr>
          <w:rFonts w:ascii="Times New Roman" w:eastAsia="Times New Roman" w:hAnsi="Times New Roman" w:cs="Times New Roman"/>
          <w:sz w:val="20"/>
          <w:szCs w:val="20"/>
          <w:lang w:val="en-GB" w:eastAsia="fr-FR"/>
        </w:rPr>
        <w:t>(</w:t>
      </w:r>
      <w:r w:rsidRPr="001A5103">
        <w:rPr>
          <w:rFonts w:ascii="Times New Roman" w:eastAsia="Times New Roman" w:hAnsi="Times New Roman" w:cs="Times New Roman"/>
          <w:sz w:val="20"/>
          <w:szCs w:val="20"/>
          <w:lang w:val="en-GB" w:eastAsia="fr-FR"/>
        </w:rPr>
        <w:t>b), TE14</w:t>
      </w:r>
      <w:r w:rsidRPr="001A5103">
        <w:rPr>
          <w:rFonts w:ascii="Times New Roman" w:eastAsia="Times New Roman" w:hAnsi="Times New Roman" w:cs="Times New Roman"/>
          <w:sz w:val="20"/>
          <w:szCs w:val="20"/>
          <w:lang w:val="en-GB" w:eastAsia="fr-FR"/>
        </w:rPr>
        <w:tab/>
        <w:t>Amend the second sentence to read as follows:</w:t>
      </w:r>
    </w:p>
    <w:p w14:paraId="03B30AF7" w14:textId="77777777" w:rsidR="001A5103" w:rsidRPr="001A5103" w:rsidRDefault="001A5103" w:rsidP="001A5103">
      <w:pPr>
        <w:kinsoku/>
        <w:overflowPunct/>
        <w:autoSpaceDE/>
        <w:autoSpaceDN/>
        <w:adjustRightInd/>
        <w:snapToGrid/>
        <w:spacing w:after="120"/>
        <w:ind w:left="1134" w:right="1134"/>
        <w:jc w:val="both"/>
        <w:rPr>
          <w:rFonts w:ascii="Times New Roman" w:eastAsia="Times New Roman" w:hAnsi="Times New Roman" w:cs="Times New Roman"/>
          <w:sz w:val="20"/>
          <w:szCs w:val="20"/>
          <w:lang w:val="en-GB" w:eastAsia="fr-FR"/>
        </w:rPr>
      </w:pPr>
      <w:r w:rsidRPr="001A5103">
        <w:rPr>
          <w:rFonts w:ascii="Times New Roman" w:eastAsia="Times New Roman" w:hAnsi="Times New Roman" w:cs="Times New Roman"/>
          <w:sz w:val="20"/>
          <w:szCs w:val="20"/>
          <w:lang w:val="en-GB" w:eastAsia="fr-FR"/>
        </w:rPr>
        <w:t>“The thermal insulation directly in contact with the shell and/or components of the heating system shall have an ignition temperature at least 50 °C higher than the maximum temperature for which the tank was designed.”</w:t>
      </w:r>
    </w:p>
    <w:p w14:paraId="7E8D19D1" w14:textId="77777777" w:rsidR="000B1F8C" w:rsidRDefault="001A5103" w:rsidP="00D42BA3">
      <w:pPr>
        <w:spacing w:before="240"/>
        <w:jc w:val="center"/>
        <w:rPr>
          <w:u w:val="single"/>
          <w:lang w:val="en-GB" w:eastAsia="en-US"/>
        </w:rPr>
      </w:pPr>
      <w:r w:rsidRPr="001A5103">
        <w:rPr>
          <w:rFonts w:ascii="Times New Roman" w:eastAsia="Times New Roman" w:hAnsi="Times New Roman" w:cs="Times New Roman"/>
          <w:i/>
          <w:iCs/>
          <w:sz w:val="20"/>
          <w:szCs w:val="20"/>
          <w:lang w:val="en-GB" w:eastAsia="fr-FR"/>
        </w:rPr>
        <w:t>(Reference documents: informal document INF.64 and ECE/TRANS/WP.15/AC.1/2020/31)</w:t>
      </w:r>
      <w:r w:rsidR="00D42BA3">
        <w:rPr>
          <w:u w:val="single"/>
          <w:lang w:val="en-GB" w:eastAsia="en-US"/>
        </w:rPr>
        <w:tab/>
      </w:r>
    </w:p>
    <w:p w14:paraId="03851BDF" w14:textId="690EF9AC" w:rsidR="001A5103" w:rsidRPr="00D42BA3" w:rsidRDefault="00D42BA3" w:rsidP="00D42BA3">
      <w:pPr>
        <w:spacing w:before="240"/>
        <w:jc w:val="center"/>
        <w:rPr>
          <w:u w:val="single"/>
          <w:lang w:val="en-GB" w:eastAsia="en-US"/>
        </w:rPr>
      </w:pPr>
      <w:r>
        <w:rPr>
          <w:u w:val="single"/>
          <w:lang w:val="en-GB" w:eastAsia="en-US"/>
        </w:rPr>
        <w:tab/>
      </w:r>
      <w:r>
        <w:rPr>
          <w:u w:val="single"/>
          <w:lang w:val="en-GB" w:eastAsia="en-US"/>
        </w:rPr>
        <w:tab/>
      </w:r>
    </w:p>
    <w:p w14:paraId="6997ACA5" w14:textId="44E90A21" w:rsidR="001A5103" w:rsidRDefault="001A5103">
      <w:pPr>
        <w:suppressAutoHyphens w:val="0"/>
        <w:kinsoku/>
        <w:overflowPunct/>
        <w:autoSpaceDE/>
        <w:autoSpaceDN/>
        <w:adjustRightInd/>
        <w:snapToGrid/>
        <w:spacing w:after="160" w:line="259" w:lineRule="auto"/>
      </w:pPr>
    </w:p>
    <w:p w14:paraId="7AC72FFF" w14:textId="77777777" w:rsidR="00446FE5" w:rsidRPr="00150DB2" w:rsidRDefault="00446FE5" w:rsidP="001A5103">
      <w:pPr>
        <w:suppressAutoHyphens w:val="0"/>
        <w:kinsoku/>
        <w:overflowPunct/>
        <w:autoSpaceDE/>
        <w:autoSpaceDN/>
        <w:adjustRightInd/>
        <w:snapToGrid/>
        <w:spacing w:after="160" w:line="259" w:lineRule="auto"/>
      </w:pPr>
    </w:p>
    <w:sectPr w:rsidR="00446FE5" w:rsidRPr="00150DB2" w:rsidSect="001A5103">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8CF29" w14:textId="77777777" w:rsidR="00D10BD9" w:rsidRDefault="00D10BD9" w:rsidP="00F95C08">
      <w:pPr>
        <w:spacing w:line="240" w:lineRule="auto"/>
      </w:pPr>
    </w:p>
  </w:endnote>
  <w:endnote w:type="continuationSeparator" w:id="0">
    <w:p w14:paraId="42B53CD5" w14:textId="77777777" w:rsidR="00D10BD9" w:rsidRPr="00AC3823" w:rsidRDefault="00D10BD9" w:rsidP="00AC3823">
      <w:pPr>
        <w:pStyle w:val="Footer"/>
      </w:pPr>
    </w:p>
  </w:endnote>
  <w:endnote w:type="continuationNotice" w:id="1">
    <w:p w14:paraId="111AC3ED" w14:textId="77777777" w:rsidR="00D10BD9" w:rsidRDefault="00D10B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DCCA" w14:textId="77777777" w:rsidR="00D10BD9" w:rsidRPr="000B1F8C" w:rsidRDefault="00D10BD9" w:rsidP="001A5103">
    <w:pPr>
      <w:pStyle w:val="Footer"/>
      <w:tabs>
        <w:tab w:val="right" w:pos="9638"/>
      </w:tabs>
      <w:rPr>
        <w:rFonts w:asciiTheme="majorBidi" w:hAnsiTheme="majorBidi" w:cstheme="majorBidi"/>
        <w:b/>
        <w:sz w:val="18"/>
      </w:rPr>
    </w:pPr>
    <w:r w:rsidRPr="000B1F8C">
      <w:rPr>
        <w:rFonts w:asciiTheme="majorBidi" w:hAnsiTheme="majorBidi" w:cstheme="majorBidi"/>
        <w:b/>
        <w:sz w:val="18"/>
      </w:rPr>
      <w:fldChar w:fldCharType="begin"/>
    </w:r>
    <w:r w:rsidRPr="000B1F8C">
      <w:rPr>
        <w:rFonts w:asciiTheme="majorBidi" w:hAnsiTheme="majorBidi" w:cstheme="majorBidi"/>
        <w:b/>
        <w:sz w:val="18"/>
      </w:rPr>
      <w:instrText xml:space="preserve"> PAGE  \* MERGEFORMAT </w:instrText>
    </w:r>
    <w:r w:rsidRPr="000B1F8C">
      <w:rPr>
        <w:rFonts w:asciiTheme="majorBidi" w:hAnsiTheme="majorBidi" w:cstheme="majorBidi"/>
        <w:b/>
        <w:sz w:val="18"/>
      </w:rPr>
      <w:fldChar w:fldCharType="separate"/>
    </w:r>
    <w:r w:rsidRPr="000B1F8C">
      <w:rPr>
        <w:rFonts w:asciiTheme="majorBidi" w:hAnsiTheme="majorBidi" w:cstheme="majorBidi"/>
        <w:b/>
        <w:noProof/>
        <w:sz w:val="18"/>
      </w:rPr>
      <w:t>2</w:t>
    </w:r>
    <w:r w:rsidRPr="000B1F8C">
      <w:rPr>
        <w:rFonts w:asciiTheme="majorBidi" w:hAnsiTheme="majorBidi" w:cstheme="majorBidi"/>
        <w:b/>
        <w:sz w:val="18"/>
      </w:rPr>
      <w:fldChar w:fldCharType="end"/>
    </w:r>
    <w:r w:rsidRPr="000B1F8C">
      <w:rPr>
        <w:rFonts w:asciiTheme="majorBidi" w:hAnsiTheme="majorBidi" w:cstheme="majorBidi"/>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44AC" w14:textId="77777777" w:rsidR="00D10BD9" w:rsidRPr="000B1F8C" w:rsidRDefault="00D10BD9" w:rsidP="001A5103">
    <w:pPr>
      <w:pStyle w:val="Footer"/>
      <w:tabs>
        <w:tab w:val="right" w:pos="9638"/>
      </w:tabs>
      <w:rPr>
        <w:rFonts w:asciiTheme="majorBidi" w:hAnsiTheme="majorBidi" w:cstheme="majorBidi"/>
        <w:b/>
        <w:sz w:val="18"/>
      </w:rPr>
    </w:pPr>
    <w:r>
      <w:tab/>
    </w:r>
    <w:r w:rsidRPr="000B1F8C">
      <w:rPr>
        <w:rFonts w:asciiTheme="majorBidi" w:hAnsiTheme="majorBidi" w:cstheme="majorBidi"/>
        <w:b/>
        <w:sz w:val="18"/>
      </w:rPr>
      <w:fldChar w:fldCharType="begin"/>
    </w:r>
    <w:r w:rsidRPr="000B1F8C">
      <w:rPr>
        <w:rFonts w:asciiTheme="majorBidi" w:hAnsiTheme="majorBidi" w:cstheme="majorBidi"/>
        <w:b/>
        <w:sz w:val="18"/>
      </w:rPr>
      <w:instrText xml:space="preserve"> PAGE  \* MERGEFORMAT </w:instrText>
    </w:r>
    <w:r w:rsidRPr="000B1F8C">
      <w:rPr>
        <w:rFonts w:asciiTheme="majorBidi" w:hAnsiTheme="majorBidi" w:cstheme="majorBidi"/>
        <w:b/>
        <w:sz w:val="18"/>
      </w:rPr>
      <w:fldChar w:fldCharType="separate"/>
    </w:r>
    <w:r w:rsidRPr="000B1F8C">
      <w:rPr>
        <w:rFonts w:asciiTheme="majorBidi" w:hAnsiTheme="majorBidi" w:cstheme="majorBidi"/>
        <w:b/>
        <w:noProof/>
        <w:sz w:val="18"/>
      </w:rPr>
      <w:t>3</w:t>
    </w:r>
    <w:r w:rsidRPr="000B1F8C">
      <w:rPr>
        <w:rFonts w:asciiTheme="majorBidi" w:hAnsiTheme="majorBidi" w:cstheme="majorBidi"/>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817C" w14:textId="5844243B" w:rsidR="00D10BD9" w:rsidRPr="001A5103" w:rsidRDefault="00D10BD9" w:rsidP="001A5103">
    <w:pPr>
      <w:pStyle w:val="Footer"/>
      <w:spacing w:before="240"/>
      <w:rPr>
        <w:sz w:val="20"/>
      </w:rPr>
    </w:pPr>
    <w:r>
      <w:rPr>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775A0" w14:textId="77777777" w:rsidR="00D10BD9" w:rsidRPr="00AC3823" w:rsidRDefault="00D10BD9" w:rsidP="00AC3823">
      <w:pPr>
        <w:pStyle w:val="Footer"/>
        <w:tabs>
          <w:tab w:val="right" w:pos="2155"/>
        </w:tabs>
        <w:spacing w:after="80" w:line="240" w:lineRule="atLeast"/>
        <w:ind w:left="680"/>
        <w:rPr>
          <w:u w:val="single"/>
        </w:rPr>
      </w:pPr>
      <w:r>
        <w:rPr>
          <w:u w:val="single"/>
        </w:rPr>
        <w:tab/>
      </w:r>
    </w:p>
  </w:footnote>
  <w:footnote w:type="continuationSeparator" w:id="0">
    <w:p w14:paraId="0F81058C" w14:textId="77777777" w:rsidR="00D10BD9" w:rsidRPr="00AC3823" w:rsidRDefault="00D10BD9" w:rsidP="00AC3823">
      <w:pPr>
        <w:pStyle w:val="Footer"/>
        <w:tabs>
          <w:tab w:val="right" w:pos="2155"/>
        </w:tabs>
        <w:spacing w:after="80" w:line="240" w:lineRule="atLeast"/>
        <w:ind w:left="680"/>
        <w:rPr>
          <w:u w:val="single"/>
        </w:rPr>
      </w:pPr>
      <w:r>
        <w:rPr>
          <w:u w:val="single"/>
        </w:rPr>
        <w:tab/>
      </w:r>
    </w:p>
  </w:footnote>
  <w:footnote w:type="continuationNotice" w:id="1">
    <w:p w14:paraId="1DA67DBC" w14:textId="77777777" w:rsidR="00D10BD9" w:rsidRPr="00AC3823" w:rsidRDefault="00D10BD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69D1" w14:textId="77777777" w:rsidR="00D10BD9" w:rsidRPr="000B1F8C" w:rsidRDefault="00D10BD9">
    <w:pPr>
      <w:pStyle w:val="Header"/>
      <w:rPr>
        <w:rFonts w:asciiTheme="majorBidi" w:hAnsiTheme="majorBidi" w:cstheme="majorBidi"/>
      </w:rPr>
    </w:pPr>
    <w:r w:rsidRPr="000B1F8C">
      <w:rPr>
        <w:rFonts w:asciiTheme="majorBidi" w:hAnsiTheme="majorBidi" w:cstheme="majorBidi"/>
      </w:rPr>
      <w:fldChar w:fldCharType="begin"/>
    </w:r>
    <w:r w:rsidRPr="000B1F8C">
      <w:rPr>
        <w:rFonts w:asciiTheme="majorBidi" w:hAnsiTheme="majorBidi" w:cstheme="majorBidi"/>
      </w:rPr>
      <w:instrText xml:space="preserve"> TITLE  \* MERGEFORMAT </w:instrText>
    </w:r>
    <w:r w:rsidRPr="000B1F8C">
      <w:rPr>
        <w:rFonts w:asciiTheme="majorBidi" w:hAnsiTheme="majorBidi" w:cstheme="majorBidi"/>
      </w:rPr>
      <w:fldChar w:fldCharType="separate"/>
    </w:r>
    <w:r w:rsidRPr="000B1F8C">
      <w:rPr>
        <w:rFonts w:asciiTheme="majorBidi" w:hAnsiTheme="majorBidi" w:cstheme="majorBidi"/>
      </w:rPr>
      <w:t>INF.8</w:t>
    </w:r>
    <w:r w:rsidRPr="000B1F8C">
      <w:rPr>
        <w:rFonts w:asciiTheme="majorBidi" w:hAnsiTheme="majorBidi" w:cstheme="majorBid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E28F" w14:textId="77777777" w:rsidR="00D10BD9" w:rsidRPr="000B1F8C" w:rsidRDefault="00D10BD9" w:rsidP="001A5103">
    <w:pPr>
      <w:pStyle w:val="Header"/>
      <w:jc w:val="right"/>
      <w:rPr>
        <w:rFonts w:asciiTheme="majorBidi" w:hAnsiTheme="majorBidi" w:cstheme="majorBidi"/>
      </w:rPr>
    </w:pPr>
    <w:r w:rsidRPr="000B1F8C">
      <w:rPr>
        <w:rFonts w:asciiTheme="majorBidi" w:hAnsiTheme="majorBidi" w:cstheme="majorBidi"/>
      </w:rPr>
      <w:fldChar w:fldCharType="begin"/>
    </w:r>
    <w:r w:rsidRPr="000B1F8C">
      <w:rPr>
        <w:rFonts w:asciiTheme="majorBidi" w:hAnsiTheme="majorBidi" w:cstheme="majorBidi"/>
      </w:rPr>
      <w:instrText xml:space="preserve"> TITLE  \* MERGEFORMAT </w:instrText>
    </w:r>
    <w:r w:rsidRPr="000B1F8C">
      <w:rPr>
        <w:rFonts w:asciiTheme="majorBidi" w:hAnsiTheme="majorBidi" w:cstheme="majorBidi"/>
      </w:rPr>
      <w:fldChar w:fldCharType="separate"/>
    </w:r>
    <w:r w:rsidRPr="000B1F8C">
      <w:rPr>
        <w:rFonts w:asciiTheme="majorBidi" w:hAnsiTheme="majorBidi" w:cstheme="majorBidi"/>
      </w:rPr>
      <w:t>INF.8</w:t>
    </w:r>
    <w:r w:rsidRPr="000B1F8C">
      <w:rPr>
        <w:rFonts w:asciiTheme="majorBidi" w:hAnsiTheme="majorBidi" w:cstheme="majorBid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FC72" w14:textId="0233888C" w:rsidR="00D10BD9" w:rsidRPr="001A5103" w:rsidRDefault="00D10BD9" w:rsidP="001A5103">
    <w:pPr>
      <w:pBdr>
        <w:bottom w:val="single" w:sz="4" w:space="4" w:color="auto"/>
      </w:pBdr>
      <w:kinsoku/>
      <w:overflowPunct/>
      <w:autoSpaceDE/>
      <w:autoSpaceDN/>
      <w:adjustRightInd/>
      <w:snapToGrid/>
      <w:spacing w:line="240" w:lineRule="auto"/>
      <w:jc w:val="right"/>
      <w:rPr>
        <w:rFonts w:ascii="Times New Roman" w:eastAsia="Times New Roman" w:hAnsi="Times New Roman" w:cs="Times New Roman"/>
        <w:b/>
        <w:sz w:val="28"/>
        <w:szCs w:val="28"/>
        <w:lang w:val="fr-CH" w:eastAsia="en-US"/>
      </w:rPr>
    </w:pPr>
    <w:r w:rsidRPr="001A5103">
      <w:rPr>
        <w:rFonts w:ascii="Times New Roman" w:eastAsia="Times New Roman" w:hAnsi="Times New Roman" w:cs="Times New Roman"/>
        <w:b/>
        <w:sz w:val="28"/>
        <w:szCs w:val="28"/>
        <w:lang w:val="fr-CH" w:eastAsia="en-US"/>
      </w:rPr>
      <w:t>INF.</w:t>
    </w:r>
    <w:r>
      <w:rPr>
        <w:rFonts w:ascii="Times New Roman" w:eastAsia="Times New Roman" w:hAnsi="Times New Roman" w:cs="Times New Roman"/>
        <w:b/>
        <w:sz w:val="28"/>
        <w:szCs w:val="28"/>
        <w:lang w:val="fr-CH" w:eastAsia="en-US"/>
      </w:rPr>
      <w:t>8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03"/>
    <w:rsid w:val="00004289"/>
    <w:rsid w:val="000168F4"/>
    <w:rsid w:val="00017F94"/>
    <w:rsid w:val="00023842"/>
    <w:rsid w:val="000334F9"/>
    <w:rsid w:val="0007796D"/>
    <w:rsid w:val="000B1F8C"/>
    <w:rsid w:val="000B7790"/>
    <w:rsid w:val="000C390E"/>
    <w:rsid w:val="000F4172"/>
    <w:rsid w:val="000F71A4"/>
    <w:rsid w:val="00103267"/>
    <w:rsid w:val="0011052E"/>
    <w:rsid w:val="00111F2F"/>
    <w:rsid w:val="0014365E"/>
    <w:rsid w:val="0014660A"/>
    <w:rsid w:val="00150DB2"/>
    <w:rsid w:val="00176178"/>
    <w:rsid w:val="001A5103"/>
    <w:rsid w:val="001F525A"/>
    <w:rsid w:val="00223272"/>
    <w:rsid w:val="00237F37"/>
    <w:rsid w:val="0024779E"/>
    <w:rsid w:val="00291F1D"/>
    <w:rsid w:val="0029407C"/>
    <w:rsid w:val="00350987"/>
    <w:rsid w:val="00353ED5"/>
    <w:rsid w:val="003748EA"/>
    <w:rsid w:val="00382A1F"/>
    <w:rsid w:val="00390178"/>
    <w:rsid w:val="003A7E93"/>
    <w:rsid w:val="003D1AD0"/>
    <w:rsid w:val="00446FE5"/>
    <w:rsid w:val="00452396"/>
    <w:rsid w:val="004D1CEB"/>
    <w:rsid w:val="005505B7"/>
    <w:rsid w:val="0055629C"/>
    <w:rsid w:val="00573BE5"/>
    <w:rsid w:val="00586ED3"/>
    <w:rsid w:val="00596AA9"/>
    <w:rsid w:val="005B51CC"/>
    <w:rsid w:val="006122C4"/>
    <w:rsid w:val="006573C7"/>
    <w:rsid w:val="006E2C9B"/>
    <w:rsid w:val="0071601D"/>
    <w:rsid w:val="0076624F"/>
    <w:rsid w:val="00766CEC"/>
    <w:rsid w:val="0079527C"/>
    <w:rsid w:val="007A62E6"/>
    <w:rsid w:val="007D0A06"/>
    <w:rsid w:val="0080684C"/>
    <w:rsid w:val="00815502"/>
    <w:rsid w:val="00871C75"/>
    <w:rsid w:val="008776DC"/>
    <w:rsid w:val="008A7C2B"/>
    <w:rsid w:val="008F2A1D"/>
    <w:rsid w:val="0093050C"/>
    <w:rsid w:val="00957790"/>
    <w:rsid w:val="009705C8"/>
    <w:rsid w:val="00A00461"/>
    <w:rsid w:val="00A12AB5"/>
    <w:rsid w:val="00AC12CC"/>
    <w:rsid w:val="00AC3823"/>
    <w:rsid w:val="00AD3959"/>
    <w:rsid w:val="00AE323C"/>
    <w:rsid w:val="00AE7D9F"/>
    <w:rsid w:val="00B00181"/>
    <w:rsid w:val="00B43C66"/>
    <w:rsid w:val="00B547FD"/>
    <w:rsid w:val="00B765F7"/>
    <w:rsid w:val="00BA0CA9"/>
    <w:rsid w:val="00BB3E59"/>
    <w:rsid w:val="00BD1C94"/>
    <w:rsid w:val="00BE1F4C"/>
    <w:rsid w:val="00BE4745"/>
    <w:rsid w:val="00BF3C2C"/>
    <w:rsid w:val="00C02897"/>
    <w:rsid w:val="00C1455A"/>
    <w:rsid w:val="00C94FD2"/>
    <w:rsid w:val="00CF3AE1"/>
    <w:rsid w:val="00D10BD9"/>
    <w:rsid w:val="00D25123"/>
    <w:rsid w:val="00D3439C"/>
    <w:rsid w:val="00D40AEB"/>
    <w:rsid w:val="00D42BA3"/>
    <w:rsid w:val="00DA22F4"/>
    <w:rsid w:val="00DB1831"/>
    <w:rsid w:val="00DD3BFD"/>
    <w:rsid w:val="00DE77BB"/>
    <w:rsid w:val="00DF447C"/>
    <w:rsid w:val="00DF6678"/>
    <w:rsid w:val="00E22CF2"/>
    <w:rsid w:val="00E33F14"/>
    <w:rsid w:val="00E44C0E"/>
    <w:rsid w:val="00E52D9F"/>
    <w:rsid w:val="00F12269"/>
    <w:rsid w:val="00F164B0"/>
    <w:rsid w:val="00F660DF"/>
    <w:rsid w:val="00F80094"/>
    <w:rsid w:val="00F95C08"/>
    <w:rsid w:val="00FA01DD"/>
    <w:rsid w:val="00FF5BD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E7720"/>
  <w15:chartTrackingRefBased/>
  <w15:docId w15:val="{46DFA66E-F883-4B1B-8FF4-CF27557D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table" w:customStyle="1" w:styleId="TableGrid1">
    <w:name w:val="Table Grid1"/>
    <w:basedOn w:val="TableNormal"/>
    <w:next w:val="TableGrid"/>
    <w:rsid w:val="001A5103"/>
    <w:pPr>
      <w:suppressAutoHyphens/>
      <w:spacing w:after="0" w:line="240" w:lineRule="atLeas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BD1C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transport/themes/dangerous_good/risk_management_framework_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ec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tif.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5E28-3636-4DA1-B671-B4DFDCD1C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465BE-EA75-434E-922C-7A9131EE6F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1DF6D0-5845-4090-BAA9-26A4F3068E15}">
  <ds:schemaRefs>
    <ds:schemaRef ds:uri="http://schemas.microsoft.com/sharepoint/v3/contenttype/forms"/>
  </ds:schemaRefs>
</ds:datastoreItem>
</file>

<file path=customXml/itemProps4.xml><?xml version="1.0" encoding="utf-8"?>
<ds:datastoreItem xmlns:ds="http://schemas.openxmlformats.org/officeDocument/2006/customXml" ds:itemID="{CA24A332-CD02-4256-B970-99F6ACCF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2269</Words>
  <Characters>13777</Characters>
  <Application>Microsoft Office Word</Application>
  <DocSecurity>0</DocSecurity>
  <Lines>405</Lines>
  <Paragraphs>276</Paragraphs>
  <ScaleCrop>false</ScaleCrop>
  <HeadingPairs>
    <vt:vector size="2" baseType="variant">
      <vt:variant>
        <vt:lpstr>Title</vt:lpstr>
      </vt:variant>
      <vt:variant>
        <vt:i4>1</vt:i4>
      </vt:variant>
    </vt:vector>
  </HeadingPairs>
  <TitlesOfParts>
    <vt:vector size="1" baseType="lpstr">
      <vt:lpstr>INF.8</vt:lpstr>
    </vt:vector>
  </TitlesOfParts>
  <Company>UNOG</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INF.8</dc:title>
  <dc:subject/>
  <dc:creator>Sabrina Mansion</dc:creator>
  <cp:keywords/>
  <dc:description/>
  <cp:lastModifiedBy>Christine Barrio-Champeau</cp:lastModifiedBy>
  <cp:revision>21</cp:revision>
  <cp:lastPrinted>2014-05-14T10:59:00Z</cp:lastPrinted>
  <dcterms:created xsi:type="dcterms:W3CDTF">2020-10-20T13:54:00Z</dcterms:created>
  <dcterms:modified xsi:type="dcterms:W3CDTF">2020-10-22T11:35:00Z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