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A98F3" w14:textId="77777777" w:rsidR="00215A1B" w:rsidRPr="00560572" w:rsidRDefault="00215A1B" w:rsidP="00881CD2">
      <w:pPr>
        <w:suppressAutoHyphens/>
        <w:spacing w:before="120" w:after="0" w:line="240" w:lineRule="atLeast"/>
        <w:rPr>
          <w:b/>
          <w:sz w:val="28"/>
          <w:szCs w:val="28"/>
        </w:rPr>
      </w:pPr>
      <w:r>
        <w:rPr>
          <w:b/>
          <w:sz w:val="28"/>
          <w:szCs w:val="28"/>
        </w:rPr>
        <w:t>Economic Commission for Europe</w:t>
      </w:r>
    </w:p>
    <w:p w14:paraId="3C4A663D" w14:textId="77777777" w:rsidR="00215A1B" w:rsidRPr="00560572" w:rsidRDefault="00215A1B" w:rsidP="00F5390C">
      <w:pPr>
        <w:spacing w:before="120" w:after="0" w:line="240" w:lineRule="atLeast"/>
        <w:rPr>
          <w:sz w:val="28"/>
          <w:szCs w:val="28"/>
        </w:rPr>
      </w:pPr>
      <w:r>
        <w:rPr>
          <w:sz w:val="28"/>
          <w:szCs w:val="28"/>
        </w:rPr>
        <w:t>Inland Transport Committee</w:t>
      </w:r>
    </w:p>
    <w:p w14:paraId="0D410256" w14:textId="77777777" w:rsidR="005E0CF7" w:rsidRPr="005E0CF7" w:rsidRDefault="005E0CF7" w:rsidP="00881CD2">
      <w:pPr>
        <w:suppressAutoHyphens/>
        <w:spacing w:before="120" w:after="0" w:line="240" w:lineRule="atLeast"/>
        <w:rPr>
          <w:b/>
          <w:szCs w:val="24"/>
        </w:rPr>
      </w:pPr>
      <w:r>
        <w:rPr>
          <w:b/>
          <w:sz w:val="24"/>
          <w:szCs w:val="24"/>
        </w:rPr>
        <w:t>Working</w:t>
      </w:r>
      <w:r>
        <w:rPr>
          <w:b/>
          <w:szCs w:val="24"/>
        </w:rPr>
        <w:t xml:space="preserve"> Party on the Transport of Dangerous Goods</w:t>
      </w:r>
    </w:p>
    <w:p w14:paraId="12035E5C" w14:textId="3361257D" w:rsidR="005E0CF7" w:rsidRPr="005E0CF7" w:rsidRDefault="006211FA" w:rsidP="00881CD2">
      <w:pPr>
        <w:suppressAutoHyphens/>
        <w:spacing w:before="120" w:after="0" w:line="240" w:lineRule="atLeast"/>
        <w:rPr>
          <w:b/>
          <w:szCs w:val="24"/>
        </w:rPr>
      </w:pPr>
      <w:r>
        <w:rPr>
          <w:b/>
          <w:szCs w:val="24"/>
        </w:rPr>
        <w:t>10</w:t>
      </w:r>
      <w:r w:rsidR="00CA1DC1">
        <w:rPr>
          <w:b/>
          <w:szCs w:val="24"/>
        </w:rPr>
        <w:t>8</w:t>
      </w:r>
      <w:r>
        <w:rPr>
          <w:b/>
          <w:szCs w:val="24"/>
        </w:rPr>
        <w:t>th session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CA1DC1">
        <w:rPr>
          <w:b/>
          <w:szCs w:val="24"/>
        </w:rPr>
        <w:t>4</w:t>
      </w:r>
      <w:r w:rsidR="00FA5BBA">
        <w:rPr>
          <w:b/>
          <w:szCs w:val="24"/>
        </w:rPr>
        <w:t xml:space="preserve"> November</w:t>
      </w:r>
      <w:r>
        <w:rPr>
          <w:b/>
          <w:szCs w:val="24"/>
        </w:rPr>
        <w:t xml:space="preserve"> 20</w:t>
      </w:r>
      <w:r w:rsidR="00CA1DC1">
        <w:rPr>
          <w:b/>
          <w:szCs w:val="24"/>
        </w:rPr>
        <w:t>20</w:t>
      </w:r>
    </w:p>
    <w:p w14:paraId="26479CFB" w14:textId="3EFBD09F" w:rsidR="005E0CF7" w:rsidRPr="005E0CF7" w:rsidRDefault="005E0CF7" w:rsidP="005E0CF7">
      <w:pPr>
        <w:spacing w:after="0" w:line="240" w:lineRule="atLeast"/>
        <w:rPr>
          <w:szCs w:val="24"/>
        </w:rPr>
      </w:pPr>
      <w:r>
        <w:t xml:space="preserve">Geneva, </w:t>
      </w:r>
      <w:r w:rsidR="00CA1DC1">
        <w:t>10-13</w:t>
      </w:r>
      <w:r>
        <w:t xml:space="preserve"> November 20</w:t>
      </w:r>
      <w:r w:rsidR="00CA1DC1">
        <w:t>20</w:t>
      </w:r>
    </w:p>
    <w:p w14:paraId="245E0D72" w14:textId="77777777" w:rsidR="005E0CF7" w:rsidRPr="005E0CF7" w:rsidRDefault="005E0CF7" w:rsidP="005E0CF7">
      <w:pPr>
        <w:spacing w:after="0" w:line="240" w:lineRule="atLeast"/>
        <w:rPr>
          <w:szCs w:val="24"/>
        </w:rPr>
      </w:pPr>
      <w:r>
        <w:t>Item 6 of the provisional agenda:</w:t>
      </w:r>
    </w:p>
    <w:p w14:paraId="47369419" w14:textId="77777777" w:rsidR="00427300" w:rsidRPr="00750E45" w:rsidRDefault="00750E45" w:rsidP="005E0CF7">
      <w:pPr>
        <w:spacing w:after="0" w:line="240" w:lineRule="atLeast"/>
        <w:rPr>
          <w:b/>
          <w:bCs/>
        </w:rPr>
      </w:pPr>
      <w:r>
        <w:rPr>
          <w:b/>
          <w:bCs/>
        </w:rPr>
        <w:t>Interpretation of ADR</w:t>
      </w:r>
    </w:p>
    <w:p w14:paraId="13DC5A14" w14:textId="77777777" w:rsidR="00F85049" w:rsidRPr="00F85049" w:rsidRDefault="002D736A" w:rsidP="00FA5BBA">
      <w:pPr>
        <w:pStyle w:val="HChG"/>
      </w:pPr>
      <w:r>
        <w:tab/>
      </w:r>
      <w:r>
        <w:tab/>
        <w:t xml:space="preserve">Questions of interpretation: Application of the requirements concerning the electrical equipment of vehicles in accordance with 9.2.1.1 of ADR – transitional provisions </w:t>
      </w:r>
    </w:p>
    <w:p w14:paraId="07786053" w14:textId="77777777" w:rsidR="00750E45" w:rsidRPr="00890ED4" w:rsidRDefault="00750E45" w:rsidP="00FA5BBA">
      <w:pPr>
        <w:pStyle w:val="H1G"/>
      </w:pPr>
      <w:r>
        <w:tab/>
      </w:r>
      <w:r>
        <w:tab/>
        <w:t>Transmitted by the Government of Germany</w:t>
      </w:r>
    </w:p>
    <w:p w14:paraId="3516EB09" w14:textId="2D74B576" w:rsidR="00CA1DC1" w:rsidRDefault="00CA1DC1" w:rsidP="00CA1DC1">
      <w:pPr>
        <w:pStyle w:val="HChG"/>
        <w:spacing w:before="480"/>
      </w:pPr>
      <w:r>
        <w:tab/>
      </w:r>
      <w:r>
        <w:tab/>
        <w:t>Background</w:t>
      </w:r>
    </w:p>
    <w:p w14:paraId="2F31AF75" w14:textId="06B01E73" w:rsidR="00CA1DC1" w:rsidRDefault="00CA1DC1" w:rsidP="00CA1DC1">
      <w:pPr>
        <w:pStyle w:val="SingleTxtG"/>
      </w:pPr>
      <w:r>
        <w:t>This informal document was already submitted as informal document INF.16 at the 107</w:t>
      </w:r>
      <w:r w:rsidRPr="00CA1DC1">
        <w:rPr>
          <w:vertAlign w:val="superscript"/>
        </w:rPr>
        <w:t>th</w:t>
      </w:r>
      <w:r>
        <w:t xml:space="preserve"> session (11-15 November 2019) (see ECE/TRANS/WP.15/248, § 78-79).</w:t>
      </w:r>
    </w:p>
    <w:p w14:paraId="1AC4F0CF" w14:textId="610758C5" w:rsidR="00CA1DC1" w:rsidRPr="00CA1DC1" w:rsidRDefault="00CA1DC1" w:rsidP="00CA1DC1">
      <w:pPr>
        <w:suppressAutoHyphens/>
        <w:spacing w:after="120" w:line="240" w:lineRule="atLeast"/>
        <w:ind w:left="1134" w:right="1134"/>
        <w:jc w:val="both"/>
        <w:rPr>
          <w:rFonts w:eastAsia="SimSun"/>
          <w:lang w:eastAsia="zh-CN"/>
        </w:rPr>
      </w:pPr>
      <w:r w:rsidRPr="00CA1DC1">
        <w:rPr>
          <w:rFonts w:eastAsia="SimSun"/>
          <w:lang w:eastAsia="zh-CN"/>
        </w:rPr>
        <w:t>In reply to the question raised by Germany, several cases were discussed:</w:t>
      </w:r>
    </w:p>
    <w:p w14:paraId="1056F6D7" w14:textId="77777777" w:rsidR="00CA1DC1" w:rsidRPr="00CA1DC1" w:rsidRDefault="00CA1DC1" w:rsidP="00CA1DC1">
      <w:pPr>
        <w:suppressAutoHyphens/>
        <w:spacing w:after="120" w:line="240" w:lineRule="atLeast"/>
        <w:ind w:left="1134" w:right="1134"/>
        <w:jc w:val="both"/>
        <w:rPr>
          <w:rFonts w:eastAsia="SimSun"/>
          <w:lang w:eastAsia="zh-CN"/>
        </w:rPr>
      </w:pPr>
      <w:r w:rsidRPr="00CA1DC1">
        <w:rPr>
          <w:rFonts w:eastAsia="SimSun"/>
          <w:lang w:eastAsia="zh-CN"/>
        </w:rPr>
        <w:tab/>
        <w:t>(a)</w:t>
      </w:r>
      <w:r w:rsidRPr="00CA1DC1">
        <w:rPr>
          <w:rFonts w:eastAsia="SimSun"/>
          <w:lang w:eastAsia="zh-CN"/>
        </w:rPr>
        <w:tab/>
        <w:t>Standard vehicle registered earlier than the date shown in the “Comments” column of the table in 9.2.1.1 and converted during the same period for the purposes of ADR and deemed to comply with ADR;</w:t>
      </w:r>
    </w:p>
    <w:p w14:paraId="73484E13" w14:textId="77777777" w:rsidR="00CA1DC1" w:rsidRPr="00CA1DC1" w:rsidRDefault="00CA1DC1" w:rsidP="00CA1DC1">
      <w:pPr>
        <w:suppressAutoHyphens/>
        <w:spacing w:after="120" w:line="240" w:lineRule="atLeast"/>
        <w:ind w:left="1134" w:right="1134"/>
        <w:jc w:val="both"/>
        <w:rPr>
          <w:rFonts w:eastAsia="SimSun"/>
          <w:lang w:eastAsia="zh-CN"/>
        </w:rPr>
      </w:pPr>
      <w:r w:rsidRPr="00CA1DC1">
        <w:rPr>
          <w:rFonts w:eastAsia="SimSun"/>
          <w:lang w:eastAsia="zh-CN"/>
        </w:rPr>
        <w:tab/>
        <w:t>(b)</w:t>
      </w:r>
      <w:r w:rsidRPr="00CA1DC1">
        <w:rPr>
          <w:rFonts w:eastAsia="SimSun"/>
          <w:lang w:eastAsia="zh-CN"/>
        </w:rPr>
        <w:tab/>
        <w:t>Standard vehicle registered earlier than the date shown in the “Comments” column in 9.2.1.1 but converted to an ADR vehicle after new requirements have been introduced in ADR;</w:t>
      </w:r>
    </w:p>
    <w:p w14:paraId="37E8230B" w14:textId="77777777" w:rsidR="00CA1DC1" w:rsidRPr="00CA1DC1" w:rsidRDefault="00CA1DC1" w:rsidP="00CA1DC1">
      <w:pPr>
        <w:suppressAutoHyphens/>
        <w:spacing w:after="120" w:line="240" w:lineRule="atLeast"/>
        <w:ind w:left="1134" w:right="1134"/>
        <w:jc w:val="both"/>
        <w:rPr>
          <w:rFonts w:eastAsia="SimSun"/>
          <w:lang w:eastAsia="zh-CN"/>
        </w:rPr>
      </w:pPr>
      <w:r w:rsidRPr="00CA1DC1">
        <w:rPr>
          <w:rFonts w:eastAsia="SimSun"/>
          <w:lang w:eastAsia="zh-CN"/>
        </w:rPr>
        <w:tab/>
        <w:t>(c)</w:t>
      </w:r>
      <w:r w:rsidRPr="00CA1DC1">
        <w:rPr>
          <w:rFonts w:eastAsia="SimSun"/>
          <w:lang w:eastAsia="zh-CN"/>
        </w:rPr>
        <w:tab/>
        <w:t>Vehicles that did not meet the requirements to be approved as ADR vehicles at the time of registration.</w:t>
      </w:r>
    </w:p>
    <w:p w14:paraId="680E9C9C" w14:textId="71E559BA" w:rsidR="00CA1DC1" w:rsidRPr="00CA1DC1" w:rsidRDefault="00CA1DC1" w:rsidP="00CA1DC1">
      <w:pPr>
        <w:suppressAutoHyphens/>
        <w:spacing w:after="120" w:line="240" w:lineRule="atLeast"/>
        <w:ind w:left="1134" w:right="1134"/>
        <w:jc w:val="both"/>
        <w:rPr>
          <w:rFonts w:eastAsia="SimSun"/>
          <w:lang w:eastAsia="zh-CN"/>
        </w:rPr>
      </w:pPr>
      <w:r w:rsidRPr="00CA1DC1">
        <w:rPr>
          <w:rFonts w:eastAsia="SimSun"/>
          <w:lang w:eastAsia="zh-CN"/>
        </w:rPr>
        <w:t xml:space="preserve">Opinions differed and </w:t>
      </w:r>
      <w:r>
        <w:rPr>
          <w:rFonts w:eastAsia="SimSun"/>
          <w:lang w:eastAsia="zh-CN"/>
        </w:rPr>
        <w:t xml:space="preserve">it was agreed that </w:t>
      </w:r>
      <w:r w:rsidRPr="00CA1DC1">
        <w:rPr>
          <w:rFonts w:eastAsia="SimSun"/>
          <w:lang w:eastAsia="zh-CN"/>
        </w:rPr>
        <w:t xml:space="preserve">this subject would be discussed again at the </w:t>
      </w:r>
      <w:r>
        <w:rPr>
          <w:rFonts w:eastAsia="SimSun"/>
          <w:lang w:eastAsia="zh-CN"/>
        </w:rPr>
        <w:t>108th</w:t>
      </w:r>
      <w:r w:rsidRPr="00CA1DC1">
        <w:rPr>
          <w:rFonts w:eastAsia="SimSun"/>
          <w:lang w:eastAsia="zh-CN"/>
        </w:rPr>
        <w:t xml:space="preserve"> session.</w:t>
      </w:r>
    </w:p>
    <w:p w14:paraId="30140654" w14:textId="77777777" w:rsidR="00750E45" w:rsidRDefault="00750E45" w:rsidP="00750E45">
      <w:pPr>
        <w:pStyle w:val="HChG"/>
        <w:spacing w:before="480"/>
      </w:pPr>
      <w:r>
        <w:tab/>
      </w:r>
      <w:r>
        <w:tab/>
        <w:t>Introduction</w:t>
      </w:r>
    </w:p>
    <w:p w14:paraId="0B438482" w14:textId="77777777" w:rsidR="00F85049" w:rsidRPr="00F85049" w:rsidRDefault="00F85049" w:rsidP="00F85049">
      <w:pPr>
        <w:tabs>
          <w:tab w:val="left" w:pos="510"/>
          <w:tab w:val="left" w:pos="1021"/>
          <w:tab w:val="left" w:pos="1531"/>
        </w:tabs>
        <w:spacing w:line="360" w:lineRule="auto"/>
        <w:rPr>
          <w:rFonts w:ascii="Arial" w:eastAsia="Calibri" w:hAnsi="Arial" w:cs="Arial"/>
          <w:sz w:val="24"/>
          <w:szCs w:val="22"/>
          <w:u w:val="single"/>
        </w:rPr>
      </w:pPr>
      <w:r>
        <w:rPr>
          <w:rFonts w:ascii="Arial" w:hAnsi="Arial"/>
          <w:noProof/>
          <w:sz w:val="24"/>
          <w:szCs w:val="22"/>
          <w:lang w:val="de-DE" w:eastAsia="de-DE"/>
        </w:rPr>
        <w:drawing>
          <wp:inline distT="0" distB="0" distL="0" distR="0" wp14:anchorId="6A285606" wp14:editId="28791579">
            <wp:extent cx="6181963" cy="2160987"/>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5233" t="32671" r="15231" b="24117"/>
                    <a:stretch/>
                  </pic:blipFill>
                  <pic:spPr bwMode="auto">
                    <a:xfrm>
                      <a:off x="0" y="0"/>
                      <a:ext cx="6198382" cy="2166726"/>
                    </a:xfrm>
                    <a:prstGeom prst="rect">
                      <a:avLst/>
                    </a:prstGeom>
                    <a:ln>
                      <a:noFill/>
                    </a:ln>
                    <a:extLst>
                      <a:ext uri="{53640926-AAD7-44D8-BBD7-CCE9431645EC}">
                        <a14:shadowObscured xmlns:a14="http://schemas.microsoft.com/office/drawing/2010/main"/>
                      </a:ext>
                    </a:extLst>
                  </pic:spPr>
                </pic:pic>
              </a:graphicData>
            </a:graphic>
          </wp:inline>
        </w:drawing>
      </w:r>
    </w:p>
    <w:p w14:paraId="383F2759" w14:textId="77777777" w:rsidR="00F85049" w:rsidRPr="00F85049" w:rsidRDefault="00FA5BBA" w:rsidP="00FA5BBA">
      <w:pPr>
        <w:pStyle w:val="HChG"/>
        <w:rPr>
          <w:rFonts w:eastAsia="Calibri"/>
        </w:rPr>
      </w:pPr>
      <w:r>
        <w:lastRenderedPageBreak/>
        <w:tab/>
      </w:r>
      <w:r>
        <w:tab/>
      </w:r>
      <w:r w:rsidR="00F85049">
        <w:t>Summary</w:t>
      </w:r>
    </w:p>
    <w:p w14:paraId="69D55D0B" w14:textId="77777777" w:rsidR="00F85049" w:rsidRPr="00F85049" w:rsidRDefault="00FA5BBA" w:rsidP="00FA5BBA">
      <w:pPr>
        <w:pStyle w:val="SingleTxtG"/>
        <w:rPr>
          <w:rFonts w:eastAsia="Calibri"/>
        </w:rPr>
      </w:pPr>
      <w:r>
        <w:t>1.</w:t>
      </w:r>
      <w:r>
        <w:tab/>
      </w:r>
      <w:r w:rsidR="00F85049">
        <w:t xml:space="preserve">In the table for 9.2.1.1 of ADR, reference is made to vehicles such as EX/II, EX/III, FL and AT that, in accordance with the requirements of Chapter 9.2, have to comply with this table. For the electrical equipment, the column „comments“ in the table contains information in </w:t>
      </w:r>
      <w:r w:rsidR="00F85049">
        <w:rPr>
          <w:vertAlign w:val="superscript"/>
        </w:rPr>
        <w:t>a</w:t>
      </w:r>
      <w:r w:rsidR="00F85049">
        <w:t xml:space="preserve"> and </w:t>
      </w:r>
      <w:r w:rsidR="00F85049">
        <w:rPr>
          <w:vertAlign w:val="superscript"/>
        </w:rPr>
        <w:t>b</w:t>
      </w:r>
      <w:r w:rsidR="00F85049">
        <w:t xml:space="preserve"> on the applicability for vehicles.</w:t>
      </w:r>
    </w:p>
    <w:p w14:paraId="395F556C" w14:textId="77777777" w:rsidR="00F85049" w:rsidRPr="00F85049" w:rsidRDefault="00FA5BBA" w:rsidP="00FA5BBA">
      <w:pPr>
        <w:pStyle w:val="SingleTxtG"/>
        <w:rPr>
          <w:rFonts w:eastAsia="Calibri"/>
        </w:rPr>
      </w:pPr>
      <w:r>
        <w:t>2.</w:t>
      </w:r>
      <w:r>
        <w:tab/>
      </w:r>
      <w:r w:rsidR="00F85049">
        <w:t xml:space="preserve">The wording „registered“ and, additionally in some instances, „entered into service if registration is not mandatory“ are used for this purpose. Formally, this provision thus aims at the registration in accordance with road traffic law, as an entry into service in accordance with dangerous goods law instead of the registration in accordance with traffic law is not provided for in ADR. </w:t>
      </w:r>
    </w:p>
    <w:p w14:paraId="195CF5B1" w14:textId="77777777" w:rsidR="00F85049" w:rsidRPr="00F85049" w:rsidRDefault="00FA5BBA" w:rsidP="00FA5BBA">
      <w:pPr>
        <w:pStyle w:val="SingleTxtG"/>
        <w:rPr>
          <w:rFonts w:eastAsia="Calibri"/>
        </w:rPr>
      </w:pPr>
      <w:r>
        <w:t>3.</w:t>
      </w:r>
      <w:r>
        <w:tab/>
      </w:r>
      <w:r w:rsidR="00F85049">
        <w:t>However, the question arises of whether this was really the intention of the transitional requirements. In particular, the question arises of which requirements the electrical equipment of vehicles that were first registered before 31 March 2018 but are to be used as an EX/II, EX/III, FL or AT vehicle only at a later date and whose electrical equipment thus does not comply with the requirements of Part 9 of a previous version of ADR has to comply with. After 31 March 2020, the requirements of Part 9 in force up to 31 December 2018, too, will no longer be applicable (see 1.6.5.4).</w:t>
      </w:r>
    </w:p>
    <w:p w14:paraId="206779D9" w14:textId="77777777" w:rsidR="00750E45" w:rsidRDefault="00750E45" w:rsidP="00750E45">
      <w:pPr>
        <w:pStyle w:val="HChG"/>
        <w:spacing w:before="400"/>
        <w:ind w:firstLine="0"/>
      </w:pPr>
      <w:bookmarkStart w:id="0" w:name="_GoBack"/>
      <w:bookmarkEnd w:id="0"/>
      <w:r>
        <w:t>Discussion</w:t>
      </w:r>
    </w:p>
    <w:p w14:paraId="3CBA3567" w14:textId="77777777" w:rsidR="00F85049" w:rsidRPr="00F85049" w:rsidRDefault="00F85049" w:rsidP="00FA5BBA">
      <w:pPr>
        <w:pStyle w:val="SingleTxtG"/>
        <w:rPr>
          <w:rFonts w:eastAsia="Calibri"/>
        </w:rPr>
      </w:pPr>
      <w:r>
        <w:t>Issue to be discussed:</w:t>
      </w:r>
    </w:p>
    <w:p w14:paraId="4E9F7367" w14:textId="77777777" w:rsidR="00F85049" w:rsidRPr="00F85049" w:rsidRDefault="00FA5BBA" w:rsidP="00FA5BBA">
      <w:pPr>
        <w:pStyle w:val="H1G"/>
        <w:rPr>
          <w:rFonts w:eastAsia="Calibri"/>
        </w:rPr>
      </w:pPr>
      <w:r>
        <w:tab/>
      </w:r>
      <w:r>
        <w:tab/>
      </w:r>
      <w:r w:rsidR="00F85049">
        <w:t>Question 1:</w:t>
      </w:r>
    </w:p>
    <w:p w14:paraId="561B1F17" w14:textId="77777777" w:rsidR="00F85049" w:rsidRPr="00F85049" w:rsidRDefault="00F85049" w:rsidP="00FA5BBA">
      <w:pPr>
        <w:pStyle w:val="SingleTxtG"/>
        <w:rPr>
          <w:rFonts w:eastAsia="Calibri" w:cs="Arial"/>
        </w:rPr>
      </w:pPr>
      <w:r>
        <w:t>Does this provision in the table concerning the electrical equipment of vehicles first registered for road traffic in general after 31 March 2018 (first registration after manufacture, in accordance with road traffic law) refer to the registration within the meaning of road traffic law?</w:t>
      </w:r>
    </w:p>
    <w:p w14:paraId="6984AC0A" w14:textId="77777777" w:rsidR="00F85049" w:rsidRPr="00F85049" w:rsidRDefault="00FA5BBA" w:rsidP="00FA5BBA">
      <w:pPr>
        <w:pStyle w:val="H1G"/>
        <w:rPr>
          <w:rFonts w:eastAsia="Calibri" w:cs="Arial"/>
        </w:rPr>
      </w:pPr>
      <w:r>
        <w:tab/>
      </w:r>
      <w:r>
        <w:tab/>
      </w:r>
      <w:r w:rsidR="00F85049">
        <w:t>Question 2:</w:t>
      </w:r>
    </w:p>
    <w:p w14:paraId="21C8F10C" w14:textId="77777777" w:rsidR="00F85049" w:rsidRPr="00F85049" w:rsidRDefault="00F85049" w:rsidP="00FA5BBA">
      <w:pPr>
        <w:pStyle w:val="SingleTxtG"/>
        <w:rPr>
          <w:rFonts w:eastAsia="Calibri" w:cs="Arial"/>
        </w:rPr>
      </w:pPr>
      <w:r>
        <w:t>Does this provision in the table concerning the electrical equipment of vehicles also apply to vehicles first registered after 31 March 2018 as an ADR certified vehicle (EX/II, EX/III, AT, FL) with a certificate of approval in accordance with Part 9 of ADR?</w:t>
      </w:r>
    </w:p>
    <w:p w14:paraId="34D4250A" w14:textId="77777777" w:rsidR="00F85049" w:rsidRPr="00FA5BBA" w:rsidRDefault="00FA5BBA" w:rsidP="00FA5BBA">
      <w:pPr>
        <w:spacing w:before="240" w:after="0" w:line="240" w:lineRule="atLeast"/>
        <w:jc w:val="center"/>
        <w:rPr>
          <w:u w:val="single"/>
        </w:rPr>
      </w:pPr>
      <w:r>
        <w:rPr>
          <w:u w:val="single"/>
        </w:rPr>
        <w:tab/>
      </w:r>
      <w:r>
        <w:rPr>
          <w:u w:val="single"/>
        </w:rPr>
        <w:tab/>
      </w:r>
      <w:r>
        <w:rPr>
          <w:u w:val="single"/>
        </w:rPr>
        <w:tab/>
      </w:r>
    </w:p>
    <w:sectPr w:rsidR="00F85049" w:rsidRPr="00FA5BBA" w:rsidSect="00C20EF9">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89609" w14:textId="77777777" w:rsidR="00213974" w:rsidRDefault="00213974"/>
  </w:endnote>
  <w:endnote w:type="continuationSeparator" w:id="0">
    <w:p w14:paraId="74F017B6" w14:textId="77777777" w:rsidR="00213974" w:rsidRDefault="00213974"/>
  </w:endnote>
  <w:endnote w:type="continuationNotice" w:id="1">
    <w:p w14:paraId="2CC6E21C" w14:textId="77777777" w:rsidR="00213974" w:rsidRDefault="00213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9B09"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E458B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57B6"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FB5F9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0EC3" w14:textId="77777777" w:rsidR="00213974" w:rsidRPr="000B175B" w:rsidRDefault="00213974" w:rsidP="000B175B">
      <w:pPr>
        <w:tabs>
          <w:tab w:val="right" w:pos="2155"/>
        </w:tabs>
        <w:spacing w:after="80"/>
        <w:ind w:left="680"/>
        <w:rPr>
          <w:u w:val="single"/>
        </w:rPr>
      </w:pPr>
      <w:r>
        <w:rPr>
          <w:u w:val="single"/>
        </w:rPr>
        <w:tab/>
      </w:r>
    </w:p>
  </w:footnote>
  <w:footnote w:type="continuationSeparator" w:id="0">
    <w:p w14:paraId="1E2D0015" w14:textId="77777777" w:rsidR="00213974" w:rsidRPr="00FC68B7" w:rsidRDefault="00213974" w:rsidP="00FC68B7">
      <w:pPr>
        <w:tabs>
          <w:tab w:val="left" w:pos="2155"/>
        </w:tabs>
        <w:spacing w:after="80"/>
        <w:ind w:left="680"/>
        <w:rPr>
          <w:u w:val="single"/>
        </w:rPr>
      </w:pPr>
      <w:r>
        <w:rPr>
          <w:u w:val="single"/>
        </w:rPr>
        <w:tab/>
      </w:r>
    </w:p>
  </w:footnote>
  <w:footnote w:type="continuationNotice" w:id="1">
    <w:p w14:paraId="3668DAF2" w14:textId="77777777" w:rsidR="00213974" w:rsidRDefault="002139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3995" w14:textId="6D4B1DB6" w:rsidR="002B16A1" w:rsidRPr="0009455D" w:rsidRDefault="002B16A1">
    <w:pPr>
      <w:pStyle w:val="Header"/>
    </w:pPr>
    <w:r>
      <w:t>INF.</w:t>
    </w:r>
    <w:r w:rsidR="00CA1DC1">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9F99" w14:textId="77777777" w:rsidR="002B16A1" w:rsidRPr="00073BC9" w:rsidRDefault="002B16A1" w:rsidP="0009455D">
    <w:pPr>
      <w:pStyle w:val="Header"/>
      <w:jc w:val="right"/>
    </w:pPr>
    <w:r>
      <w:t>INF.9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FD98" w14:textId="52BDDF94" w:rsidR="002B16A1" w:rsidRPr="00560572" w:rsidRDefault="002B16A1" w:rsidP="00E37495">
    <w:pPr>
      <w:pStyle w:val="Header"/>
      <w:pBdr>
        <w:bottom w:val="single" w:sz="4" w:space="1" w:color="auto"/>
      </w:pBdr>
      <w:jc w:val="right"/>
      <w:rPr>
        <w:sz w:val="28"/>
        <w:szCs w:val="28"/>
      </w:rPr>
    </w:pPr>
    <w:r>
      <w:rPr>
        <w:sz w:val="28"/>
        <w:szCs w:val="28"/>
      </w:rPr>
      <w:t>INF.</w:t>
    </w:r>
    <w:r w:rsidR="00DB6A91">
      <w:rPr>
        <w:sz w:val="28"/>
        <w:szCs w:val="28"/>
      </w:rPr>
      <w:t>1</w:t>
    </w:r>
    <w:r w:rsidR="00CA1DC1">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711FA"/>
    <w:multiLevelType w:val="hybridMultilevel"/>
    <w:tmpl w:val="6AEECAFA"/>
    <w:lvl w:ilvl="0" w:tplc="8F1005A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F4113"/>
    <w:multiLevelType w:val="hybridMultilevel"/>
    <w:tmpl w:val="84402A42"/>
    <w:lvl w:ilvl="0" w:tplc="04070001">
      <w:start w:val="1"/>
      <w:numFmt w:val="bullet"/>
      <w:lvlText w:val=""/>
      <w:lvlJc w:val="left"/>
      <w:pPr>
        <w:ind w:left="2409" w:hanging="360"/>
      </w:pPr>
      <w:rPr>
        <w:rFonts w:ascii="Symbol" w:hAnsi="Symbol" w:hint="default"/>
      </w:rPr>
    </w:lvl>
    <w:lvl w:ilvl="1" w:tplc="04070003" w:tentative="1">
      <w:start w:val="1"/>
      <w:numFmt w:val="bullet"/>
      <w:lvlText w:val="o"/>
      <w:lvlJc w:val="left"/>
      <w:pPr>
        <w:ind w:left="3129" w:hanging="360"/>
      </w:pPr>
      <w:rPr>
        <w:rFonts w:ascii="Courier New" w:hAnsi="Courier New" w:cs="Courier New" w:hint="default"/>
      </w:rPr>
    </w:lvl>
    <w:lvl w:ilvl="2" w:tplc="04070005" w:tentative="1">
      <w:start w:val="1"/>
      <w:numFmt w:val="bullet"/>
      <w:lvlText w:val=""/>
      <w:lvlJc w:val="left"/>
      <w:pPr>
        <w:ind w:left="3849" w:hanging="360"/>
      </w:pPr>
      <w:rPr>
        <w:rFonts w:ascii="Wingdings" w:hAnsi="Wingdings" w:hint="default"/>
      </w:rPr>
    </w:lvl>
    <w:lvl w:ilvl="3" w:tplc="04070001" w:tentative="1">
      <w:start w:val="1"/>
      <w:numFmt w:val="bullet"/>
      <w:lvlText w:val=""/>
      <w:lvlJc w:val="left"/>
      <w:pPr>
        <w:ind w:left="4569" w:hanging="360"/>
      </w:pPr>
      <w:rPr>
        <w:rFonts w:ascii="Symbol" w:hAnsi="Symbol" w:hint="default"/>
      </w:rPr>
    </w:lvl>
    <w:lvl w:ilvl="4" w:tplc="04070003" w:tentative="1">
      <w:start w:val="1"/>
      <w:numFmt w:val="bullet"/>
      <w:lvlText w:val="o"/>
      <w:lvlJc w:val="left"/>
      <w:pPr>
        <w:ind w:left="5289" w:hanging="360"/>
      </w:pPr>
      <w:rPr>
        <w:rFonts w:ascii="Courier New" w:hAnsi="Courier New" w:cs="Courier New" w:hint="default"/>
      </w:rPr>
    </w:lvl>
    <w:lvl w:ilvl="5" w:tplc="04070005" w:tentative="1">
      <w:start w:val="1"/>
      <w:numFmt w:val="bullet"/>
      <w:lvlText w:val=""/>
      <w:lvlJc w:val="left"/>
      <w:pPr>
        <w:ind w:left="6009" w:hanging="360"/>
      </w:pPr>
      <w:rPr>
        <w:rFonts w:ascii="Wingdings" w:hAnsi="Wingdings" w:hint="default"/>
      </w:rPr>
    </w:lvl>
    <w:lvl w:ilvl="6" w:tplc="04070001" w:tentative="1">
      <w:start w:val="1"/>
      <w:numFmt w:val="bullet"/>
      <w:lvlText w:val=""/>
      <w:lvlJc w:val="left"/>
      <w:pPr>
        <w:ind w:left="6729" w:hanging="360"/>
      </w:pPr>
      <w:rPr>
        <w:rFonts w:ascii="Symbol" w:hAnsi="Symbol" w:hint="default"/>
      </w:rPr>
    </w:lvl>
    <w:lvl w:ilvl="7" w:tplc="04070003" w:tentative="1">
      <w:start w:val="1"/>
      <w:numFmt w:val="bullet"/>
      <w:lvlText w:val="o"/>
      <w:lvlJc w:val="left"/>
      <w:pPr>
        <w:ind w:left="7449" w:hanging="360"/>
      </w:pPr>
      <w:rPr>
        <w:rFonts w:ascii="Courier New" w:hAnsi="Courier New" w:cs="Courier New" w:hint="default"/>
      </w:rPr>
    </w:lvl>
    <w:lvl w:ilvl="8" w:tplc="04070005" w:tentative="1">
      <w:start w:val="1"/>
      <w:numFmt w:val="bullet"/>
      <w:lvlText w:val=""/>
      <w:lvlJc w:val="left"/>
      <w:pPr>
        <w:ind w:left="8169"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3CDC16CA"/>
    <w:multiLevelType w:val="hybridMultilevel"/>
    <w:tmpl w:val="914A458E"/>
    <w:lvl w:ilvl="0" w:tplc="04070001">
      <w:start w:val="1"/>
      <w:numFmt w:val="bullet"/>
      <w:lvlText w:val=""/>
      <w:lvlJc w:val="left"/>
      <w:pPr>
        <w:ind w:left="2409" w:hanging="360"/>
      </w:pPr>
      <w:rPr>
        <w:rFonts w:ascii="Symbol" w:hAnsi="Symbol" w:hint="default"/>
      </w:rPr>
    </w:lvl>
    <w:lvl w:ilvl="1" w:tplc="04070003">
      <w:start w:val="1"/>
      <w:numFmt w:val="bullet"/>
      <w:lvlText w:val="o"/>
      <w:lvlJc w:val="left"/>
      <w:pPr>
        <w:ind w:left="3129" w:hanging="360"/>
      </w:pPr>
      <w:rPr>
        <w:rFonts w:ascii="Courier New" w:hAnsi="Courier New" w:cs="Courier New" w:hint="default"/>
      </w:rPr>
    </w:lvl>
    <w:lvl w:ilvl="2" w:tplc="04070005">
      <w:start w:val="1"/>
      <w:numFmt w:val="bullet"/>
      <w:lvlText w:val=""/>
      <w:lvlJc w:val="left"/>
      <w:pPr>
        <w:ind w:left="3849" w:hanging="360"/>
      </w:pPr>
      <w:rPr>
        <w:rFonts w:ascii="Wingdings" w:hAnsi="Wingdings" w:hint="default"/>
      </w:rPr>
    </w:lvl>
    <w:lvl w:ilvl="3" w:tplc="04070001" w:tentative="1">
      <w:start w:val="1"/>
      <w:numFmt w:val="bullet"/>
      <w:lvlText w:val=""/>
      <w:lvlJc w:val="left"/>
      <w:pPr>
        <w:ind w:left="4569" w:hanging="360"/>
      </w:pPr>
      <w:rPr>
        <w:rFonts w:ascii="Symbol" w:hAnsi="Symbol" w:hint="default"/>
      </w:rPr>
    </w:lvl>
    <w:lvl w:ilvl="4" w:tplc="04070003" w:tentative="1">
      <w:start w:val="1"/>
      <w:numFmt w:val="bullet"/>
      <w:lvlText w:val="o"/>
      <w:lvlJc w:val="left"/>
      <w:pPr>
        <w:ind w:left="5289" w:hanging="360"/>
      </w:pPr>
      <w:rPr>
        <w:rFonts w:ascii="Courier New" w:hAnsi="Courier New" w:cs="Courier New" w:hint="default"/>
      </w:rPr>
    </w:lvl>
    <w:lvl w:ilvl="5" w:tplc="04070005" w:tentative="1">
      <w:start w:val="1"/>
      <w:numFmt w:val="bullet"/>
      <w:lvlText w:val=""/>
      <w:lvlJc w:val="left"/>
      <w:pPr>
        <w:ind w:left="6009" w:hanging="360"/>
      </w:pPr>
      <w:rPr>
        <w:rFonts w:ascii="Wingdings" w:hAnsi="Wingdings" w:hint="default"/>
      </w:rPr>
    </w:lvl>
    <w:lvl w:ilvl="6" w:tplc="04070001" w:tentative="1">
      <w:start w:val="1"/>
      <w:numFmt w:val="bullet"/>
      <w:lvlText w:val=""/>
      <w:lvlJc w:val="left"/>
      <w:pPr>
        <w:ind w:left="6729" w:hanging="360"/>
      </w:pPr>
      <w:rPr>
        <w:rFonts w:ascii="Symbol" w:hAnsi="Symbol" w:hint="default"/>
      </w:rPr>
    </w:lvl>
    <w:lvl w:ilvl="7" w:tplc="04070003" w:tentative="1">
      <w:start w:val="1"/>
      <w:numFmt w:val="bullet"/>
      <w:lvlText w:val="o"/>
      <w:lvlJc w:val="left"/>
      <w:pPr>
        <w:ind w:left="7449" w:hanging="360"/>
      </w:pPr>
      <w:rPr>
        <w:rFonts w:ascii="Courier New" w:hAnsi="Courier New" w:cs="Courier New" w:hint="default"/>
      </w:rPr>
    </w:lvl>
    <w:lvl w:ilvl="8" w:tplc="04070005" w:tentative="1">
      <w:start w:val="1"/>
      <w:numFmt w:val="bullet"/>
      <w:lvlText w:val=""/>
      <w:lvlJc w:val="left"/>
      <w:pPr>
        <w:ind w:left="8169" w:hanging="360"/>
      </w:pPr>
      <w:rPr>
        <w:rFonts w:ascii="Wingdings" w:hAnsi="Wingdings" w:hint="default"/>
      </w:rPr>
    </w:lvl>
  </w:abstractNum>
  <w:abstractNum w:abstractNumId="23"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4C784B8A"/>
    <w:multiLevelType w:val="hybridMultilevel"/>
    <w:tmpl w:val="2F8EA238"/>
    <w:lvl w:ilvl="0" w:tplc="E14A4EF2">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547857B3"/>
    <w:multiLevelType w:val="hybridMultilevel"/>
    <w:tmpl w:val="94B6796A"/>
    <w:lvl w:ilvl="0" w:tplc="0C06A294">
      <w:start w:val="1"/>
      <w:numFmt w:val="decimal"/>
      <w:lvlText w:val="%1."/>
      <w:lvlJc w:val="left"/>
      <w:pPr>
        <w:ind w:left="1689"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E9611A"/>
    <w:multiLevelType w:val="hybridMultilevel"/>
    <w:tmpl w:val="E9E0DD28"/>
    <w:lvl w:ilvl="0" w:tplc="04070001">
      <w:start w:val="1"/>
      <w:numFmt w:val="bullet"/>
      <w:lvlText w:val=""/>
      <w:lvlJc w:val="left"/>
      <w:pPr>
        <w:ind w:left="2409" w:hanging="360"/>
      </w:pPr>
      <w:rPr>
        <w:rFonts w:ascii="Symbol" w:hAnsi="Symbol" w:hint="default"/>
      </w:rPr>
    </w:lvl>
    <w:lvl w:ilvl="1" w:tplc="04070003">
      <w:start w:val="1"/>
      <w:numFmt w:val="bullet"/>
      <w:lvlText w:val="o"/>
      <w:lvlJc w:val="left"/>
      <w:pPr>
        <w:ind w:left="3129" w:hanging="360"/>
      </w:pPr>
      <w:rPr>
        <w:rFonts w:ascii="Courier New" w:hAnsi="Courier New" w:cs="Courier New" w:hint="default"/>
      </w:rPr>
    </w:lvl>
    <w:lvl w:ilvl="2" w:tplc="04070005" w:tentative="1">
      <w:start w:val="1"/>
      <w:numFmt w:val="bullet"/>
      <w:lvlText w:val=""/>
      <w:lvlJc w:val="left"/>
      <w:pPr>
        <w:ind w:left="3849" w:hanging="360"/>
      </w:pPr>
      <w:rPr>
        <w:rFonts w:ascii="Wingdings" w:hAnsi="Wingdings" w:hint="default"/>
      </w:rPr>
    </w:lvl>
    <w:lvl w:ilvl="3" w:tplc="04070001" w:tentative="1">
      <w:start w:val="1"/>
      <w:numFmt w:val="bullet"/>
      <w:lvlText w:val=""/>
      <w:lvlJc w:val="left"/>
      <w:pPr>
        <w:ind w:left="4569" w:hanging="360"/>
      </w:pPr>
      <w:rPr>
        <w:rFonts w:ascii="Symbol" w:hAnsi="Symbol" w:hint="default"/>
      </w:rPr>
    </w:lvl>
    <w:lvl w:ilvl="4" w:tplc="04070003" w:tentative="1">
      <w:start w:val="1"/>
      <w:numFmt w:val="bullet"/>
      <w:lvlText w:val="o"/>
      <w:lvlJc w:val="left"/>
      <w:pPr>
        <w:ind w:left="5289" w:hanging="360"/>
      </w:pPr>
      <w:rPr>
        <w:rFonts w:ascii="Courier New" w:hAnsi="Courier New" w:cs="Courier New" w:hint="default"/>
      </w:rPr>
    </w:lvl>
    <w:lvl w:ilvl="5" w:tplc="04070005" w:tentative="1">
      <w:start w:val="1"/>
      <w:numFmt w:val="bullet"/>
      <w:lvlText w:val=""/>
      <w:lvlJc w:val="left"/>
      <w:pPr>
        <w:ind w:left="6009" w:hanging="360"/>
      </w:pPr>
      <w:rPr>
        <w:rFonts w:ascii="Wingdings" w:hAnsi="Wingdings" w:hint="default"/>
      </w:rPr>
    </w:lvl>
    <w:lvl w:ilvl="6" w:tplc="04070001" w:tentative="1">
      <w:start w:val="1"/>
      <w:numFmt w:val="bullet"/>
      <w:lvlText w:val=""/>
      <w:lvlJc w:val="left"/>
      <w:pPr>
        <w:ind w:left="6729" w:hanging="360"/>
      </w:pPr>
      <w:rPr>
        <w:rFonts w:ascii="Symbol" w:hAnsi="Symbol" w:hint="default"/>
      </w:rPr>
    </w:lvl>
    <w:lvl w:ilvl="7" w:tplc="04070003" w:tentative="1">
      <w:start w:val="1"/>
      <w:numFmt w:val="bullet"/>
      <w:lvlText w:val="o"/>
      <w:lvlJc w:val="left"/>
      <w:pPr>
        <w:ind w:left="7449" w:hanging="360"/>
      </w:pPr>
      <w:rPr>
        <w:rFonts w:ascii="Courier New" w:hAnsi="Courier New" w:cs="Courier New" w:hint="default"/>
      </w:rPr>
    </w:lvl>
    <w:lvl w:ilvl="8" w:tplc="04070005" w:tentative="1">
      <w:start w:val="1"/>
      <w:numFmt w:val="bullet"/>
      <w:lvlText w:val=""/>
      <w:lvlJc w:val="left"/>
      <w:pPr>
        <w:ind w:left="8169" w:hanging="360"/>
      </w:pPr>
      <w:rPr>
        <w:rFonts w:ascii="Wingdings" w:hAnsi="Wingdings" w:hint="default"/>
      </w:rPr>
    </w:lvl>
  </w:abstractNum>
  <w:abstractNum w:abstractNumId="31"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1"/>
  </w:num>
  <w:num w:numId="15">
    <w:abstractNumId w:val="18"/>
  </w:num>
  <w:num w:numId="16">
    <w:abstractNumId w:val="13"/>
  </w:num>
  <w:num w:numId="17">
    <w:abstractNumId w:val="27"/>
  </w:num>
  <w:num w:numId="18">
    <w:abstractNumId w:val="29"/>
  </w:num>
  <w:num w:numId="19">
    <w:abstractNumId w:val="26"/>
  </w:num>
  <w:num w:numId="20">
    <w:abstractNumId w:val="12"/>
  </w:num>
  <w:num w:numId="21">
    <w:abstractNumId w:val="20"/>
  </w:num>
  <w:num w:numId="22">
    <w:abstractNumId w:val="31"/>
  </w:num>
  <w:num w:numId="23">
    <w:abstractNumId w:val="19"/>
  </w:num>
  <w:num w:numId="24">
    <w:abstractNumId w:val="23"/>
  </w:num>
  <w:num w:numId="25">
    <w:abstractNumId w:val="28"/>
  </w:num>
  <w:num w:numId="26">
    <w:abstractNumId w:val="21"/>
  </w:num>
  <w:num w:numId="27">
    <w:abstractNumId w:val="15"/>
  </w:num>
  <w:num w:numId="28">
    <w:abstractNumId w:val="25"/>
  </w:num>
  <w:num w:numId="29">
    <w:abstractNumId w:val="17"/>
  </w:num>
  <w:num w:numId="30">
    <w:abstractNumId w:val="30"/>
  </w:num>
  <w:num w:numId="31">
    <w:abstractNumId w:val="22"/>
  </w:num>
  <w:num w:numId="32">
    <w:abstractNumId w:val="24"/>
  </w:num>
  <w:num w:numId="33">
    <w:abstractNumId w:val="27"/>
  </w:num>
  <w:num w:numId="34">
    <w:abstractNumId w:val="27"/>
  </w:num>
  <w:num w:numId="35">
    <w:abstractNumId w:val="29"/>
  </w:num>
  <w:num w:numId="36">
    <w:abstractNumId w:val="29"/>
  </w:num>
  <w:num w:numId="37">
    <w:abstractNumId w:val="29"/>
  </w:num>
  <w:num w:numId="38">
    <w:abstractNumId w:val="29"/>
  </w:num>
  <w:num w:numId="39">
    <w:abstractNumId w:val="29"/>
  </w:num>
  <w:num w:numId="40">
    <w:abstractNumId w:val="27"/>
  </w:num>
  <w:num w:numId="41">
    <w:abstractNumId w:val="27"/>
  </w:num>
  <w:num w:numId="4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activeWritingStyle w:appName="MSWord" w:lang="de-DE"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C6"/>
    <w:rsid w:val="00002A7D"/>
    <w:rsid w:val="000038A8"/>
    <w:rsid w:val="000041B2"/>
    <w:rsid w:val="00004CB4"/>
    <w:rsid w:val="00006790"/>
    <w:rsid w:val="00017C14"/>
    <w:rsid w:val="00025AEE"/>
    <w:rsid w:val="00027624"/>
    <w:rsid w:val="0004316B"/>
    <w:rsid w:val="00050B2C"/>
    <w:rsid w:val="00050F6B"/>
    <w:rsid w:val="00056E1C"/>
    <w:rsid w:val="00057D31"/>
    <w:rsid w:val="00057F00"/>
    <w:rsid w:val="00060675"/>
    <w:rsid w:val="00062540"/>
    <w:rsid w:val="000642F3"/>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076FE"/>
    <w:rsid w:val="001113FD"/>
    <w:rsid w:val="00116363"/>
    <w:rsid w:val="0011637D"/>
    <w:rsid w:val="001179A1"/>
    <w:rsid w:val="00125674"/>
    <w:rsid w:val="00140040"/>
    <w:rsid w:val="0014401A"/>
    <w:rsid w:val="00150572"/>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96F5A"/>
    <w:rsid w:val="001A0452"/>
    <w:rsid w:val="001A06C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0635F"/>
    <w:rsid w:val="00211E0B"/>
    <w:rsid w:val="00213974"/>
    <w:rsid w:val="00215A1B"/>
    <w:rsid w:val="00216BB2"/>
    <w:rsid w:val="00222F2C"/>
    <w:rsid w:val="00230496"/>
    <w:rsid w:val="00232575"/>
    <w:rsid w:val="00235659"/>
    <w:rsid w:val="0023589F"/>
    <w:rsid w:val="00247258"/>
    <w:rsid w:val="00250356"/>
    <w:rsid w:val="002565C8"/>
    <w:rsid w:val="002574B9"/>
    <w:rsid w:val="00257CAC"/>
    <w:rsid w:val="00264807"/>
    <w:rsid w:val="002815FC"/>
    <w:rsid w:val="00295F1A"/>
    <w:rsid w:val="002974E9"/>
    <w:rsid w:val="002A0603"/>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36A"/>
    <w:rsid w:val="002D743E"/>
    <w:rsid w:val="002E0C3F"/>
    <w:rsid w:val="002E2296"/>
    <w:rsid w:val="002E23C9"/>
    <w:rsid w:val="002E6DB4"/>
    <w:rsid w:val="002F024B"/>
    <w:rsid w:val="002F046D"/>
    <w:rsid w:val="002F56B1"/>
    <w:rsid w:val="003007E7"/>
    <w:rsid w:val="00301764"/>
    <w:rsid w:val="00302B3E"/>
    <w:rsid w:val="003035A1"/>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5BE0"/>
    <w:rsid w:val="0035638C"/>
    <w:rsid w:val="003564DC"/>
    <w:rsid w:val="00366634"/>
    <w:rsid w:val="00370928"/>
    <w:rsid w:val="00371276"/>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3B3A"/>
    <w:rsid w:val="003D4B23"/>
    <w:rsid w:val="003D58A1"/>
    <w:rsid w:val="003D6C76"/>
    <w:rsid w:val="003E278A"/>
    <w:rsid w:val="003E3D94"/>
    <w:rsid w:val="003F07CB"/>
    <w:rsid w:val="003F7A1E"/>
    <w:rsid w:val="004019C8"/>
    <w:rsid w:val="004032CF"/>
    <w:rsid w:val="00405A9A"/>
    <w:rsid w:val="0040608F"/>
    <w:rsid w:val="00406B23"/>
    <w:rsid w:val="00413520"/>
    <w:rsid w:val="00414F7A"/>
    <w:rsid w:val="00427300"/>
    <w:rsid w:val="00431D4D"/>
    <w:rsid w:val="004325CB"/>
    <w:rsid w:val="00433A82"/>
    <w:rsid w:val="00440A07"/>
    <w:rsid w:val="00456441"/>
    <w:rsid w:val="00462880"/>
    <w:rsid w:val="0046357A"/>
    <w:rsid w:val="0047298C"/>
    <w:rsid w:val="0047429E"/>
    <w:rsid w:val="00476F24"/>
    <w:rsid w:val="0048402E"/>
    <w:rsid w:val="004909E7"/>
    <w:rsid w:val="0049311D"/>
    <w:rsid w:val="004954A3"/>
    <w:rsid w:val="004A3C2B"/>
    <w:rsid w:val="004B2A91"/>
    <w:rsid w:val="004B45B0"/>
    <w:rsid w:val="004B7EA2"/>
    <w:rsid w:val="004C55B0"/>
    <w:rsid w:val="004D51F6"/>
    <w:rsid w:val="004D63B1"/>
    <w:rsid w:val="004E4179"/>
    <w:rsid w:val="004E7160"/>
    <w:rsid w:val="004F3F8F"/>
    <w:rsid w:val="004F6BA0"/>
    <w:rsid w:val="00503BEA"/>
    <w:rsid w:val="005262D7"/>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2055"/>
    <w:rsid w:val="00564BF4"/>
    <w:rsid w:val="005670DF"/>
    <w:rsid w:val="00573297"/>
    <w:rsid w:val="00584173"/>
    <w:rsid w:val="005850DE"/>
    <w:rsid w:val="00587C17"/>
    <w:rsid w:val="00590137"/>
    <w:rsid w:val="00595520"/>
    <w:rsid w:val="005A0287"/>
    <w:rsid w:val="005A44B9"/>
    <w:rsid w:val="005A548A"/>
    <w:rsid w:val="005A79E5"/>
    <w:rsid w:val="005B1BA0"/>
    <w:rsid w:val="005B3DB3"/>
    <w:rsid w:val="005C58F0"/>
    <w:rsid w:val="005C700B"/>
    <w:rsid w:val="005D15CA"/>
    <w:rsid w:val="005D1867"/>
    <w:rsid w:val="005D2C39"/>
    <w:rsid w:val="005D390C"/>
    <w:rsid w:val="005E0CF7"/>
    <w:rsid w:val="005E6AAF"/>
    <w:rsid w:val="005F3066"/>
    <w:rsid w:val="005F3E61"/>
    <w:rsid w:val="005F51F6"/>
    <w:rsid w:val="005F69C7"/>
    <w:rsid w:val="005F7732"/>
    <w:rsid w:val="00604DDD"/>
    <w:rsid w:val="006115CC"/>
    <w:rsid w:val="00611FC4"/>
    <w:rsid w:val="00613302"/>
    <w:rsid w:val="006176FB"/>
    <w:rsid w:val="006211FA"/>
    <w:rsid w:val="0062380F"/>
    <w:rsid w:val="0062564C"/>
    <w:rsid w:val="00630FCB"/>
    <w:rsid w:val="00632069"/>
    <w:rsid w:val="00632F10"/>
    <w:rsid w:val="00633628"/>
    <w:rsid w:val="0064017F"/>
    <w:rsid w:val="00640B26"/>
    <w:rsid w:val="00642312"/>
    <w:rsid w:val="00642502"/>
    <w:rsid w:val="0064748F"/>
    <w:rsid w:val="00651A29"/>
    <w:rsid w:val="006643C6"/>
    <w:rsid w:val="00667D6B"/>
    <w:rsid w:val="00670177"/>
    <w:rsid w:val="00671B0D"/>
    <w:rsid w:val="006770B2"/>
    <w:rsid w:val="00682407"/>
    <w:rsid w:val="0068330A"/>
    <w:rsid w:val="006853B3"/>
    <w:rsid w:val="006940E1"/>
    <w:rsid w:val="00694A84"/>
    <w:rsid w:val="00696072"/>
    <w:rsid w:val="006A1D39"/>
    <w:rsid w:val="006A3C72"/>
    <w:rsid w:val="006A7392"/>
    <w:rsid w:val="006B03A1"/>
    <w:rsid w:val="006B364D"/>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0E45"/>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073D"/>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6893"/>
    <w:rsid w:val="00866F02"/>
    <w:rsid w:val="00867D18"/>
    <w:rsid w:val="008707F8"/>
    <w:rsid w:val="00871F9A"/>
    <w:rsid w:val="00871FD5"/>
    <w:rsid w:val="00876B8E"/>
    <w:rsid w:val="0088172E"/>
    <w:rsid w:val="00881CD2"/>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B6FCE"/>
    <w:rsid w:val="008B71E7"/>
    <w:rsid w:val="008C0064"/>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8F73B3"/>
    <w:rsid w:val="00904D63"/>
    <w:rsid w:val="00906BFE"/>
    <w:rsid w:val="00914DC3"/>
    <w:rsid w:val="009157A8"/>
    <w:rsid w:val="00915C95"/>
    <w:rsid w:val="00916B9C"/>
    <w:rsid w:val="00924CF0"/>
    <w:rsid w:val="00926E47"/>
    <w:rsid w:val="009324AE"/>
    <w:rsid w:val="00945B24"/>
    <w:rsid w:val="00946D3D"/>
    <w:rsid w:val="00946EAC"/>
    <w:rsid w:val="00947162"/>
    <w:rsid w:val="009471E0"/>
    <w:rsid w:val="009479C1"/>
    <w:rsid w:val="00953163"/>
    <w:rsid w:val="00956238"/>
    <w:rsid w:val="009601FF"/>
    <w:rsid w:val="0096068B"/>
    <w:rsid w:val="00960D5D"/>
    <w:rsid w:val="009610D0"/>
    <w:rsid w:val="0096375C"/>
    <w:rsid w:val="009662E6"/>
    <w:rsid w:val="0097095E"/>
    <w:rsid w:val="00974F7C"/>
    <w:rsid w:val="0097513E"/>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7970"/>
    <w:rsid w:val="009F2EAC"/>
    <w:rsid w:val="009F57E3"/>
    <w:rsid w:val="009F7AB3"/>
    <w:rsid w:val="00A00D3D"/>
    <w:rsid w:val="00A07EBB"/>
    <w:rsid w:val="00A10F4F"/>
    <w:rsid w:val="00A11067"/>
    <w:rsid w:val="00A138AB"/>
    <w:rsid w:val="00A1704A"/>
    <w:rsid w:val="00A23E9E"/>
    <w:rsid w:val="00A370D7"/>
    <w:rsid w:val="00A41BB8"/>
    <w:rsid w:val="00A425EB"/>
    <w:rsid w:val="00A43B9F"/>
    <w:rsid w:val="00A45CB7"/>
    <w:rsid w:val="00A47439"/>
    <w:rsid w:val="00A5062D"/>
    <w:rsid w:val="00A72F22"/>
    <w:rsid w:val="00A733BC"/>
    <w:rsid w:val="00A748A6"/>
    <w:rsid w:val="00A749C1"/>
    <w:rsid w:val="00A76A69"/>
    <w:rsid w:val="00A77D0C"/>
    <w:rsid w:val="00A803D5"/>
    <w:rsid w:val="00A824E7"/>
    <w:rsid w:val="00A838FF"/>
    <w:rsid w:val="00A865A7"/>
    <w:rsid w:val="00A879A4"/>
    <w:rsid w:val="00A910B4"/>
    <w:rsid w:val="00A93D59"/>
    <w:rsid w:val="00A9427A"/>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5D2C"/>
    <w:rsid w:val="00B06643"/>
    <w:rsid w:val="00B12F5E"/>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2E51"/>
    <w:rsid w:val="00BE36A9"/>
    <w:rsid w:val="00BE618E"/>
    <w:rsid w:val="00BE7BEC"/>
    <w:rsid w:val="00BF0A5A"/>
    <w:rsid w:val="00BF0E63"/>
    <w:rsid w:val="00BF103C"/>
    <w:rsid w:val="00BF12A3"/>
    <w:rsid w:val="00BF16D7"/>
    <w:rsid w:val="00BF218C"/>
    <w:rsid w:val="00BF2373"/>
    <w:rsid w:val="00BF4EA5"/>
    <w:rsid w:val="00BF631C"/>
    <w:rsid w:val="00C03A88"/>
    <w:rsid w:val="00C044E2"/>
    <w:rsid w:val="00C048CB"/>
    <w:rsid w:val="00C066F3"/>
    <w:rsid w:val="00C06865"/>
    <w:rsid w:val="00C07CA9"/>
    <w:rsid w:val="00C10783"/>
    <w:rsid w:val="00C11B07"/>
    <w:rsid w:val="00C129D5"/>
    <w:rsid w:val="00C13F36"/>
    <w:rsid w:val="00C15DC2"/>
    <w:rsid w:val="00C20EF9"/>
    <w:rsid w:val="00C250FE"/>
    <w:rsid w:val="00C27BFC"/>
    <w:rsid w:val="00C31A6C"/>
    <w:rsid w:val="00C36878"/>
    <w:rsid w:val="00C37A49"/>
    <w:rsid w:val="00C443B6"/>
    <w:rsid w:val="00C44BB0"/>
    <w:rsid w:val="00C45BBB"/>
    <w:rsid w:val="00C463DD"/>
    <w:rsid w:val="00C5580F"/>
    <w:rsid w:val="00C60D93"/>
    <w:rsid w:val="00C62A7A"/>
    <w:rsid w:val="00C70809"/>
    <w:rsid w:val="00C745C3"/>
    <w:rsid w:val="00C74701"/>
    <w:rsid w:val="00C805A7"/>
    <w:rsid w:val="00C83923"/>
    <w:rsid w:val="00C9213B"/>
    <w:rsid w:val="00CA1DC1"/>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CF2059"/>
    <w:rsid w:val="00D00745"/>
    <w:rsid w:val="00D01DA7"/>
    <w:rsid w:val="00D02F12"/>
    <w:rsid w:val="00D03595"/>
    <w:rsid w:val="00D15B04"/>
    <w:rsid w:val="00D20265"/>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8768A"/>
    <w:rsid w:val="00D90395"/>
    <w:rsid w:val="00D90415"/>
    <w:rsid w:val="00D917F9"/>
    <w:rsid w:val="00D91E8D"/>
    <w:rsid w:val="00D978C6"/>
    <w:rsid w:val="00DA0956"/>
    <w:rsid w:val="00DA121A"/>
    <w:rsid w:val="00DA357F"/>
    <w:rsid w:val="00DA3E12"/>
    <w:rsid w:val="00DB0BFD"/>
    <w:rsid w:val="00DB5900"/>
    <w:rsid w:val="00DB66FA"/>
    <w:rsid w:val="00DB6A91"/>
    <w:rsid w:val="00DC0FFC"/>
    <w:rsid w:val="00DC18AD"/>
    <w:rsid w:val="00DC36B8"/>
    <w:rsid w:val="00DC584A"/>
    <w:rsid w:val="00DD3FE8"/>
    <w:rsid w:val="00DE0CB9"/>
    <w:rsid w:val="00DE178B"/>
    <w:rsid w:val="00DE5105"/>
    <w:rsid w:val="00DF0A94"/>
    <w:rsid w:val="00DF1147"/>
    <w:rsid w:val="00DF1A1E"/>
    <w:rsid w:val="00DF4518"/>
    <w:rsid w:val="00DF45EB"/>
    <w:rsid w:val="00DF6A82"/>
    <w:rsid w:val="00DF7CAE"/>
    <w:rsid w:val="00E02011"/>
    <w:rsid w:val="00E1773B"/>
    <w:rsid w:val="00E24460"/>
    <w:rsid w:val="00E31B18"/>
    <w:rsid w:val="00E324A0"/>
    <w:rsid w:val="00E37495"/>
    <w:rsid w:val="00E423C0"/>
    <w:rsid w:val="00E458BC"/>
    <w:rsid w:val="00E470D1"/>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01C6"/>
    <w:rsid w:val="00EA586A"/>
    <w:rsid w:val="00EB5B1B"/>
    <w:rsid w:val="00EC10B9"/>
    <w:rsid w:val="00ED18DC"/>
    <w:rsid w:val="00ED6201"/>
    <w:rsid w:val="00ED7A2A"/>
    <w:rsid w:val="00ED7F40"/>
    <w:rsid w:val="00EE0040"/>
    <w:rsid w:val="00EE4832"/>
    <w:rsid w:val="00EF1D7F"/>
    <w:rsid w:val="00EF4426"/>
    <w:rsid w:val="00F00868"/>
    <w:rsid w:val="00F0137E"/>
    <w:rsid w:val="00F0148F"/>
    <w:rsid w:val="00F15CF0"/>
    <w:rsid w:val="00F21786"/>
    <w:rsid w:val="00F237F4"/>
    <w:rsid w:val="00F241D6"/>
    <w:rsid w:val="00F347BC"/>
    <w:rsid w:val="00F3742B"/>
    <w:rsid w:val="00F40CCF"/>
    <w:rsid w:val="00F41FDB"/>
    <w:rsid w:val="00F50712"/>
    <w:rsid w:val="00F5337D"/>
    <w:rsid w:val="00F5390C"/>
    <w:rsid w:val="00F56D63"/>
    <w:rsid w:val="00F609A9"/>
    <w:rsid w:val="00F6280E"/>
    <w:rsid w:val="00F7472D"/>
    <w:rsid w:val="00F80C99"/>
    <w:rsid w:val="00F85049"/>
    <w:rsid w:val="00F867EC"/>
    <w:rsid w:val="00F91B2B"/>
    <w:rsid w:val="00FA28CC"/>
    <w:rsid w:val="00FA3135"/>
    <w:rsid w:val="00FA3269"/>
    <w:rsid w:val="00FA5836"/>
    <w:rsid w:val="00FA5BBA"/>
    <w:rsid w:val="00FB468B"/>
    <w:rsid w:val="00FB5F90"/>
    <w:rsid w:val="00FC03CD"/>
    <w:rsid w:val="00FC0646"/>
    <w:rsid w:val="00FC0826"/>
    <w:rsid w:val="00FC161F"/>
    <w:rsid w:val="00FC2FC6"/>
    <w:rsid w:val="00FC55A7"/>
    <w:rsid w:val="00FC68B7"/>
    <w:rsid w:val="00FD0A90"/>
    <w:rsid w:val="00FD14C5"/>
    <w:rsid w:val="00FD6E23"/>
    <w:rsid w:val="00FE58E6"/>
    <w:rsid w:val="00FE6985"/>
    <w:rsid w:val="00FE7A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C4196"/>
  <w15:docId w15:val="{8314B1EE-6AFD-46F2-8D7A-A29FBD44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qFormat/>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UnresolvedMention1">
    <w:name w:val="Unresolved Mention1"/>
    <w:basedOn w:val="DefaultParagraphFont"/>
    <w:uiPriority w:val="99"/>
    <w:semiHidden/>
    <w:unhideWhenUsed/>
    <w:rsid w:val="00C03A88"/>
    <w:rPr>
      <w:color w:val="605E5C"/>
      <w:shd w:val="clear" w:color="auto" w:fill="E1DFDD"/>
    </w:rPr>
  </w:style>
  <w:style w:type="character" w:customStyle="1" w:styleId="FootnoteTextChar">
    <w:name w:val="Footnote Text Char"/>
    <w:aliases w:val="5_G Char,5_GR Char"/>
    <w:basedOn w:val="DefaultParagraphFont"/>
    <w:link w:val="FootnoteText"/>
    <w:rsid w:val="00A93D59"/>
    <w:rPr>
      <w:sz w:val="18"/>
      <w:lang w:val="en-GB"/>
    </w:rPr>
  </w:style>
  <w:style w:type="paragraph" w:customStyle="1" w:styleId="Tabletitle">
    <w:name w:val="Table title"/>
    <w:basedOn w:val="Normal"/>
    <w:link w:val="TabletitleChar"/>
    <w:rsid w:val="00427300"/>
    <w:pPr>
      <w:keepNext/>
      <w:suppressAutoHyphens/>
      <w:spacing w:before="120" w:after="120" w:line="240" w:lineRule="atLeast"/>
      <w:jc w:val="center"/>
    </w:pPr>
    <w:rPr>
      <w:rFonts w:ascii="Cambria" w:eastAsia="Calibri" w:hAnsi="Cambria"/>
      <w:b/>
      <w:sz w:val="22"/>
      <w:szCs w:val="22"/>
    </w:rPr>
  </w:style>
  <w:style w:type="character" w:customStyle="1" w:styleId="TabletitleChar">
    <w:name w:val="Table title Char"/>
    <w:link w:val="Tabletitle"/>
    <w:locked/>
    <w:rsid w:val="00427300"/>
    <w:rPr>
      <w:rFonts w:ascii="Cambria" w:eastAsia="Calibri" w:hAnsi="Cambria"/>
      <w:b/>
      <w:sz w:val="22"/>
      <w:szCs w:val="22"/>
      <w:lang w:val="en-GB"/>
    </w:rPr>
  </w:style>
  <w:style w:type="character" w:styleId="PlaceholderText">
    <w:name w:val="Placeholder Text"/>
    <w:basedOn w:val="DefaultParagraphFont"/>
    <w:uiPriority w:val="99"/>
    <w:semiHidden/>
    <w:rsid w:val="00FD14C5"/>
    <w:rPr>
      <w:color w:val="808080"/>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style>
  <w:style w:type="character" w:customStyle="1" w:styleId="CommentTextChar">
    <w:name w:val="Comment Text Char"/>
    <w:basedOn w:val="DefaultParagraphFont"/>
    <w:link w:val="CommentText"/>
    <w:rsid w:val="00F00868"/>
    <w:rPr>
      <w:lang w:val="en-GB"/>
    </w:rPr>
  </w:style>
  <w:style w:type="paragraph" w:styleId="CommentSubject">
    <w:name w:val="annotation subject"/>
    <w:basedOn w:val="CommentText"/>
    <w:next w:val="CommentText"/>
    <w:link w:val="CommentSubjectChar"/>
    <w:rsid w:val="00F00868"/>
    <w:rPr>
      <w:b/>
      <w:bCs/>
    </w:rPr>
  </w:style>
  <w:style w:type="character" w:customStyle="1" w:styleId="CommentSubjectChar">
    <w:name w:val="Comment Subject Char"/>
    <w:basedOn w:val="CommentTextChar"/>
    <w:link w:val="CommentSubject"/>
    <w:rsid w:val="00F0086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5D818-B855-4B87-B365-E1D1E0543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5BC8B-0704-497D-BC8C-A5D347C03477}">
  <ds:schemaRefs>
    <ds:schemaRef ds:uri="http://schemas.microsoft.com/sharepoint/v3/contenttype/forms"/>
  </ds:schemaRefs>
</ds:datastoreItem>
</file>

<file path=customXml/itemProps3.xml><?xml version="1.0" encoding="utf-8"?>
<ds:datastoreItem xmlns:ds="http://schemas.openxmlformats.org/officeDocument/2006/customXml" ds:itemID="{4DEAAAD1-8E1F-45C2-9E69-E93530B94C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5589A0-4544-4C29-BB6E-437AB9D0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480</Words>
  <Characters>2741</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vt:lpstr>
      <vt:lpstr>INF</vt:lpstr>
      <vt:lpstr>INF</vt:lpstr>
    </vt:vector>
  </TitlesOfParts>
  <Company>UNECE</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Iliass Zerktouni</dc:creator>
  <cp:lastModifiedBy>Christine Barrio-Champeau</cp:lastModifiedBy>
  <cp:revision>4</cp:revision>
  <cp:lastPrinted>2019-11-04T09:29:00Z</cp:lastPrinted>
  <dcterms:created xsi:type="dcterms:W3CDTF">2020-11-04T13:39:00Z</dcterms:created>
  <dcterms:modified xsi:type="dcterms:W3CDTF">2020-11-04T14:25:00Z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12682600</vt:r8>
  </property>
</Properties>
</file>