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3AB1" w14:textId="660A10FB" w:rsidR="00CD3905" w:rsidRPr="00994259" w:rsidRDefault="00CD3905" w:rsidP="00CD3905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2E8AFA6" wp14:editId="2DCAEE4B">
            <wp:simplePos x="0" y="0"/>
            <wp:positionH relativeFrom="column">
              <wp:posOffset>0</wp:posOffset>
            </wp:positionH>
            <wp:positionV relativeFrom="paragraph">
              <wp:posOffset>16810</wp:posOffset>
            </wp:positionV>
            <wp:extent cx="1713865" cy="604520"/>
            <wp:effectExtent l="0" t="0" r="635" b="508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9">
        <w:rPr>
          <w:rFonts w:ascii="Arial" w:eastAsia="Arial" w:hAnsi="Arial" w:cs="Arial"/>
          <w:bCs/>
          <w:szCs w:val="24"/>
          <w:lang w:val="en-US" w:eastAsia="de-DE"/>
        </w:rPr>
        <w:t>CCNR-ZKR/ADN/</w:t>
      </w:r>
      <w:r w:rsidR="00257569">
        <w:rPr>
          <w:rFonts w:ascii="Arial" w:eastAsia="Arial" w:hAnsi="Arial" w:cs="Arial"/>
          <w:bCs/>
          <w:szCs w:val="24"/>
          <w:lang w:val="en-US" w:eastAsia="de-DE"/>
        </w:rPr>
        <w:t>55</w:t>
      </w:r>
    </w:p>
    <w:p w14:paraId="03C75D2A" w14:textId="481EB1B4" w:rsidR="00CD3905" w:rsidRPr="006308FE" w:rsidRDefault="00CD3905" w:rsidP="00CD3905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6308FE">
        <w:rPr>
          <w:rFonts w:ascii="Arial" w:hAnsi="Arial"/>
          <w:snapToGrid w:val="0"/>
          <w:lang w:val="de-DE" w:eastAsia="fr-FR" w:bidi="fr-FR"/>
        </w:rPr>
        <w:t>CCNR-ZKR/ADN/</w:t>
      </w:r>
      <w:r w:rsidR="00257569">
        <w:rPr>
          <w:rFonts w:ascii="Arial" w:hAnsi="Arial"/>
          <w:snapToGrid w:val="0"/>
          <w:lang w:val="de-DE" w:eastAsia="fr-FR" w:bidi="fr-FR"/>
        </w:rPr>
        <w:t>55</w:t>
      </w:r>
      <w:r w:rsidRPr="006308FE">
        <w:rPr>
          <w:rFonts w:ascii="Arial" w:hAnsi="Arial"/>
          <w:snapToGrid w:val="0"/>
          <w:lang w:val="de-DE" w:eastAsia="fr-FR" w:bidi="fr-FR"/>
        </w:rPr>
        <w:t xml:space="preserve"> Add.1</w:t>
      </w:r>
    </w:p>
    <w:p w14:paraId="124DC4F7" w14:textId="77777777" w:rsidR="00CD3905" w:rsidRPr="00994259" w:rsidRDefault="00CD3905" w:rsidP="00CD3905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94259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4C89EDC1" w14:textId="3FEAE7A5" w:rsidR="00CD3905" w:rsidRPr="00994259" w:rsidRDefault="00CD3905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</w:t>
      </w:r>
      <w:r w:rsidR="00257569">
        <w:rPr>
          <w:rFonts w:ascii="Arial" w:eastAsia="Arial" w:hAnsi="Arial" w:cs="Arial"/>
          <w:szCs w:val="24"/>
          <w:lang w:val="de-DE" w:eastAsia="de-DE"/>
        </w:rPr>
        <w:t>1</w:t>
      </w:r>
      <w:r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E74E69">
        <w:rPr>
          <w:rFonts w:ascii="Arial" w:eastAsia="Arial" w:hAnsi="Arial" w:cs="Arial"/>
          <w:szCs w:val="24"/>
          <w:lang w:val="de-DE" w:eastAsia="de-DE"/>
        </w:rPr>
        <w:t>Juni 20</w:t>
      </w:r>
      <w:r w:rsidR="00257569">
        <w:rPr>
          <w:rFonts w:ascii="Arial" w:eastAsia="Arial" w:hAnsi="Arial" w:cs="Arial"/>
          <w:szCs w:val="24"/>
          <w:lang w:val="de-DE" w:eastAsia="de-DE"/>
        </w:rPr>
        <w:t>20</w:t>
      </w:r>
    </w:p>
    <w:p w14:paraId="6272DD87" w14:textId="77777777" w:rsidR="00CD3905" w:rsidRDefault="00CD3905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</w:p>
    <w:p w14:paraId="6BA96AC4" w14:textId="77777777" w:rsidR="000D7BE0" w:rsidRDefault="000D7BE0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</w:p>
    <w:p w14:paraId="5D71E287" w14:textId="77777777" w:rsidR="000D7BE0" w:rsidRPr="00994259" w:rsidRDefault="000D7BE0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</w:p>
    <w:p w14:paraId="750C42A9" w14:textId="029CB66F" w:rsidR="00CD3905" w:rsidRPr="00994259" w:rsidRDefault="00CD3905" w:rsidP="00CD3905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ÜBEREINKOMMENS ÜBER DIE INTERNATIONALE BEFÖRDERUNG VON GEFÄHRLICHEN GÜTERN AUF BINNENWASSERSTRA</w:t>
      </w:r>
      <w:r w:rsidR="008310B5" w:rsidRPr="008310B5">
        <w:rPr>
          <w:rFonts w:ascii="Arial" w:hAnsi="Arial"/>
          <w:noProof/>
          <w:snapToGrid w:val="0"/>
          <w:sz w:val="16"/>
          <w:szCs w:val="24"/>
          <w:lang w:val="de-DE" w:eastAsia="fr-FR"/>
        </w:rPr>
        <w:t>ẞ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EN (ADN)</w:t>
      </w:r>
    </w:p>
    <w:p w14:paraId="726643A1" w14:textId="7CB451B2" w:rsidR="00CD3905" w:rsidRPr="00994259" w:rsidRDefault="00CD3905" w:rsidP="00CD3905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>
        <w:rPr>
          <w:rFonts w:ascii="Arial" w:hAnsi="Arial"/>
          <w:snapToGrid w:val="0"/>
          <w:sz w:val="16"/>
          <w:szCs w:val="24"/>
          <w:lang w:val="de-DE" w:eastAsia="fr-FR"/>
        </w:rPr>
        <w:t>2</w:t>
      </w:r>
      <w:r w:rsidR="00257569">
        <w:rPr>
          <w:rFonts w:ascii="Arial" w:hAnsi="Arial"/>
          <w:snapToGrid w:val="0"/>
          <w:sz w:val="16"/>
          <w:szCs w:val="24"/>
          <w:lang w:val="de-DE" w:eastAsia="fr-FR"/>
        </w:rPr>
        <w:t>5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257569">
        <w:rPr>
          <w:rFonts w:ascii="Arial" w:hAnsi="Arial"/>
          <w:noProof/>
          <w:snapToGrid w:val="0"/>
          <w:sz w:val="16"/>
          <w:szCs w:val="24"/>
          <w:lang w:val="de-DE" w:eastAsia="fr-FR"/>
        </w:rPr>
        <w:t>28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E74E69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</w:t>
      </w:r>
      <w:r w:rsidR="00257569">
        <w:rPr>
          <w:rFonts w:ascii="Arial" w:hAnsi="Arial"/>
          <w:noProof/>
          <w:snapToGrid w:val="0"/>
          <w:sz w:val="16"/>
          <w:szCs w:val="24"/>
          <w:lang w:val="de-DE" w:eastAsia="fr-FR"/>
        </w:rPr>
        <w:t>2020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14:paraId="583D699A" w14:textId="77777777" w:rsidR="00CD3905" w:rsidRPr="00994259" w:rsidRDefault="00CD3905" w:rsidP="00CD3905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14:paraId="47092B5C" w14:textId="77777777" w:rsidR="00CD3905" w:rsidRPr="00994259" w:rsidRDefault="00CD3905" w:rsidP="00CD3905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14:paraId="45D15046" w14:textId="77777777" w:rsidR="00CD3905" w:rsidRDefault="00CD3905" w:rsidP="00CD3905">
      <w:pPr>
        <w:tabs>
          <w:tab w:val="left" w:pos="7154"/>
        </w:tabs>
        <w:rPr>
          <w:szCs w:val="24"/>
          <w:lang w:val="de-DE" w:eastAsia="fr-FR"/>
        </w:rPr>
      </w:pPr>
    </w:p>
    <w:p w14:paraId="0A015DD5" w14:textId="77777777" w:rsidR="009903BE" w:rsidRPr="00994259" w:rsidRDefault="009903BE" w:rsidP="00CD3905">
      <w:pPr>
        <w:tabs>
          <w:tab w:val="left" w:pos="7154"/>
        </w:tabs>
        <w:rPr>
          <w:szCs w:val="24"/>
          <w:lang w:val="de-DE" w:eastAsia="fr-FR"/>
        </w:rPr>
      </w:pPr>
    </w:p>
    <w:p w14:paraId="71796408" w14:textId="77777777" w:rsidR="00CD3905" w:rsidRPr="00994259" w:rsidRDefault="00CD3905" w:rsidP="00CD3905">
      <w:pPr>
        <w:jc w:val="center"/>
        <w:rPr>
          <w:szCs w:val="24"/>
          <w:lang w:val="de-DE" w:eastAsia="fr-FR"/>
        </w:rPr>
      </w:pPr>
    </w:p>
    <w:p w14:paraId="58FF74D3" w14:textId="77777777" w:rsidR="00CD3905" w:rsidRPr="00994259" w:rsidRDefault="00CD3905" w:rsidP="00CD3905">
      <w:pPr>
        <w:jc w:val="center"/>
        <w:rPr>
          <w:szCs w:val="24"/>
          <w:lang w:val="de-DE" w:eastAsia="fr-FR"/>
        </w:rPr>
      </w:pPr>
    </w:p>
    <w:p w14:paraId="5B31AE79" w14:textId="6BB47997" w:rsidR="00CD3905" w:rsidRPr="00994259" w:rsidRDefault="00CD3905" w:rsidP="00CD3905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994259">
        <w:rPr>
          <w:noProof/>
          <w:sz w:val="28"/>
          <w:szCs w:val="24"/>
          <w:lang w:val="de-DE" w:eastAsia="fr-FR"/>
        </w:rPr>
        <w:t xml:space="preserve">VORLÄUFIGE TAGESORDNUNG DER </w:t>
      </w:r>
      <w:r w:rsidR="00257569">
        <w:rPr>
          <w:noProof/>
          <w:sz w:val="28"/>
          <w:szCs w:val="24"/>
          <w:lang w:val="de-DE" w:eastAsia="fr-FR"/>
        </w:rPr>
        <w:t>FÜNF</w:t>
      </w:r>
      <w:r w:rsidR="00FC777B">
        <w:rPr>
          <w:noProof/>
          <w:sz w:val="28"/>
          <w:szCs w:val="24"/>
          <w:lang w:val="de-DE" w:eastAsia="fr-FR"/>
        </w:rPr>
        <w:t>UND</w:t>
      </w:r>
      <w:r w:rsidR="00452AD5">
        <w:rPr>
          <w:noProof/>
          <w:sz w:val="28"/>
          <w:szCs w:val="24"/>
          <w:lang w:val="de-DE" w:eastAsia="fr-FR"/>
        </w:rPr>
        <w:t>ZWANZIGSTEN</w:t>
      </w:r>
      <w:r w:rsidRPr="00994259">
        <w:rPr>
          <w:noProof/>
          <w:sz w:val="28"/>
          <w:szCs w:val="24"/>
          <w:lang w:val="de-DE" w:eastAsia="fr-FR"/>
        </w:rPr>
        <w:t xml:space="preserve"> SITZUNG,</w:t>
      </w:r>
    </w:p>
    <w:p w14:paraId="4903F2B6" w14:textId="57E02F56" w:rsidR="008310B5" w:rsidRDefault="00CD3905" w:rsidP="00CD3905">
      <w:pPr>
        <w:spacing w:line="240" w:lineRule="auto"/>
        <w:jc w:val="center"/>
        <w:outlineLvl w:val="0"/>
        <w:rPr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 xml:space="preserve">die </w:t>
      </w:r>
      <w:r w:rsidR="008310B5" w:rsidRPr="00994259">
        <w:rPr>
          <w:noProof/>
          <w:sz w:val="24"/>
          <w:szCs w:val="24"/>
          <w:lang w:val="de-DE" w:eastAsia="fr-FR"/>
        </w:rPr>
        <w:t xml:space="preserve">am </w:t>
      </w:r>
      <w:r w:rsidR="008310B5">
        <w:rPr>
          <w:noProof/>
          <w:sz w:val="24"/>
          <w:szCs w:val="24"/>
          <w:lang w:val="de-DE" w:eastAsia="fr-FR"/>
        </w:rPr>
        <w:t>Freitag</w:t>
      </w:r>
      <w:r w:rsidR="008310B5" w:rsidRPr="00994259">
        <w:rPr>
          <w:noProof/>
          <w:sz w:val="24"/>
          <w:szCs w:val="24"/>
          <w:lang w:val="de-DE" w:eastAsia="fr-FR"/>
        </w:rPr>
        <w:t xml:space="preserve">, </w:t>
      </w:r>
      <w:r w:rsidR="008310B5">
        <w:rPr>
          <w:noProof/>
          <w:sz w:val="24"/>
          <w:szCs w:val="24"/>
          <w:lang w:val="de-DE" w:eastAsia="fr-FR"/>
        </w:rPr>
        <w:t>28</w:t>
      </w:r>
      <w:r w:rsidR="008310B5" w:rsidRPr="00994259">
        <w:rPr>
          <w:noProof/>
          <w:sz w:val="24"/>
          <w:szCs w:val="24"/>
          <w:lang w:val="de-DE" w:eastAsia="fr-FR"/>
        </w:rPr>
        <w:t xml:space="preserve">. </w:t>
      </w:r>
      <w:r w:rsidR="008310B5">
        <w:rPr>
          <w:noProof/>
          <w:sz w:val="24"/>
          <w:szCs w:val="24"/>
          <w:lang w:val="de-DE" w:eastAsia="fr-FR"/>
        </w:rPr>
        <w:t>August 2020, 12.00 Uhr,</w:t>
      </w:r>
      <w:r w:rsidR="008310B5" w:rsidRPr="00994259">
        <w:rPr>
          <w:noProof/>
          <w:sz w:val="24"/>
          <w:szCs w:val="24"/>
          <w:lang w:val="de-DE" w:eastAsia="fr-FR"/>
        </w:rPr>
        <w:t xml:space="preserve"> </w:t>
      </w:r>
    </w:p>
    <w:p w14:paraId="2A56B790" w14:textId="599528BD" w:rsidR="00CD3905" w:rsidRPr="00994259" w:rsidRDefault="00CD3905" w:rsidP="00CD3905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in Genf, Palais des Nations,</w:t>
      </w:r>
      <w:r w:rsidR="008310B5">
        <w:rPr>
          <w:noProof/>
          <w:sz w:val="24"/>
          <w:szCs w:val="24"/>
          <w:lang w:val="de-DE" w:eastAsia="fr-FR"/>
        </w:rPr>
        <w:t xml:space="preserve"> </w:t>
      </w:r>
      <w:r w:rsidRPr="00994259">
        <w:rPr>
          <w:noProof/>
          <w:sz w:val="24"/>
          <w:szCs w:val="24"/>
          <w:lang w:val="de-DE" w:eastAsia="fr-FR"/>
        </w:rPr>
        <w:t>stattfindet</w:t>
      </w:r>
    </w:p>
    <w:p w14:paraId="5BCCEAB9" w14:textId="77777777" w:rsidR="009903BE" w:rsidRDefault="009903BE" w:rsidP="00CD39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</w:p>
    <w:p w14:paraId="5F55AC1F" w14:textId="77777777" w:rsidR="00CD3905" w:rsidRPr="00994259" w:rsidRDefault="00CD3905" w:rsidP="00CD39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noProof/>
          <w:snapToGrid w:val="0"/>
          <w:sz w:val="24"/>
          <w:szCs w:val="24"/>
          <w:lang w:val="de-DE" w:eastAsia="fr-FR"/>
        </w:rPr>
        <w:t>Addendum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footnoteReference w:id="2"/>
      </w:r>
    </w:p>
    <w:p w14:paraId="74B91732" w14:textId="77777777" w:rsidR="00F33248" w:rsidRPr="00B01E2C" w:rsidRDefault="00F33248" w:rsidP="000D7BE0">
      <w:pPr>
        <w:pStyle w:val="H1G"/>
        <w:rPr>
          <w:lang w:val="de-DE"/>
        </w:rPr>
      </w:pPr>
      <w:r w:rsidRPr="00B01E2C">
        <w:rPr>
          <w:lang w:val="de-DE"/>
        </w:rPr>
        <w:tab/>
      </w:r>
      <w:r w:rsidRPr="00B01E2C">
        <w:rPr>
          <w:lang w:val="de-DE"/>
        </w:rPr>
        <w:tab/>
      </w:r>
      <w:r w:rsidR="000D7BE0" w:rsidRPr="000D7BE0">
        <w:rPr>
          <w:lang w:val="de-DE"/>
        </w:rPr>
        <w:t>Anmerkungen zur Tagesordnung</w:t>
      </w:r>
    </w:p>
    <w:p w14:paraId="7BBBD59E" w14:textId="77777777" w:rsidR="00F33248" w:rsidRPr="00B01E2C" w:rsidRDefault="009D7865" w:rsidP="000D7BE0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F33248" w:rsidRPr="00B01E2C">
        <w:rPr>
          <w:lang w:val="de-DE"/>
        </w:rPr>
        <w:t>1.</w:t>
      </w:r>
      <w:r w:rsidR="00F33248" w:rsidRPr="00B01E2C">
        <w:rPr>
          <w:lang w:val="de-DE"/>
        </w:rPr>
        <w:tab/>
      </w:r>
      <w:r w:rsidR="000D7BE0" w:rsidRPr="000D7BE0">
        <w:rPr>
          <w:lang w:val="de-DE"/>
        </w:rPr>
        <w:t>Genehmigung der Tagesordnung</w:t>
      </w:r>
    </w:p>
    <w:p w14:paraId="6FFF035C" w14:textId="29D9ADE6" w:rsidR="00F33248" w:rsidRPr="00B01E2C" w:rsidRDefault="000D7BE0" w:rsidP="001F2E67">
      <w:pPr>
        <w:pStyle w:val="SingleTxtG"/>
        <w:ind w:firstLine="567"/>
        <w:rPr>
          <w:lang w:val="de-DE"/>
        </w:rPr>
      </w:pPr>
      <w:r w:rsidRPr="000D7BE0">
        <w:rPr>
          <w:lang w:val="de-DE"/>
        </w:rPr>
        <w:t xml:space="preserve">Der Verwaltungsausschuss könnte die vom Sekretariat für seine </w:t>
      </w:r>
      <w:r w:rsidR="00257569">
        <w:rPr>
          <w:lang w:val="de-DE"/>
        </w:rPr>
        <w:t>fünf</w:t>
      </w:r>
      <w:r w:rsidR="00101452">
        <w:rPr>
          <w:lang w:val="de-DE"/>
        </w:rPr>
        <w:t>und</w:t>
      </w:r>
      <w:r w:rsidRPr="000D7BE0">
        <w:rPr>
          <w:lang w:val="de-DE"/>
        </w:rPr>
        <w:t>zwanzigste Sitzung erstellte und unter Aktenzeichen ECE/ADN/</w:t>
      </w:r>
      <w:r w:rsidR="00257569">
        <w:rPr>
          <w:lang w:val="de-DE"/>
        </w:rPr>
        <w:t>55</w:t>
      </w:r>
      <w:r w:rsidRPr="000D7BE0">
        <w:rPr>
          <w:lang w:val="de-DE"/>
        </w:rPr>
        <w:t xml:space="preserve"> und Add.1 verteilte Tagesordnung prüfen und annehmen.</w:t>
      </w:r>
    </w:p>
    <w:p w14:paraId="2530CF18" w14:textId="77777777" w:rsidR="00F33248" w:rsidRPr="006F04AD" w:rsidRDefault="00481BB2" w:rsidP="00CD7CA7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101452">
        <w:rPr>
          <w:lang w:val="de-DE"/>
        </w:rPr>
        <w:t>2</w:t>
      </w:r>
      <w:r w:rsidR="00F33248" w:rsidRPr="006F04AD">
        <w:rPr>
          <w:lang w:val="de-DE"/>
        </w:rPr>
        <w:t>.</w:t>
      </w:r>
      <w:r w:rsidR="00F33248" w:rsidRPr="006F04AD">
        <w:rPr>
          <w:lang w:val="de-DE"/>
        </w:rPr>
        <w:tab/>
      </w:r>
      <w:r w:rsidR="00CD7CA7" w:rsidRPr="00CD7CA7">
        <w:rPr>
          <w:lang w:val="de-DE"/>
        </w:rPr>
        <w:t>Stand des Europäischen Übereinkommens über die internationale Beförderung von gefährlichen Gütern auf Binnenwasserstraßen (ADN)</w:t>
      </w:r>
    </w:p>
    <w:p w14:paraId="5C858A22" w14:textId="77777777" w:rsidR="001F2E67" w:rsidRDefault="001F2E67" w:rsidP="001F2E67">
      <w:pPr>
        <w:spacing w:after="120"/>
        <w:ind w:left="1134" w:right="1134" w:firstLine="567"/>
        <w:jc w:val="both"/>
        <w:rPr>
          <w:lang w:val="de-DE"/>
        </w:rPr>
      </w:pPr>
      <w:r>
        <w:rPr>
          <w:lang w:val="de-DE"/>
        </w:rPr>
        <w:t>Achtzehn Staaten sind Vertragsparteien des ADN: Belgien, Bulgarien, Deutschland, Frankreich, Kroatien, Luxemburg, Niederlande, Österreich, Polen, Republik Moldau, Rumänien, Russische Föderation, Schweiz, Serbien, Slowakei, Tschechische Republik, Ukraine und Ungarn.</w:t>
      </w:r>
    </w:p>
    <w:p w14:paraId="4E03B92B" w14:textId="77777777" w:rsidR="00F33248" w:rsidRPr="00B01E2C" w:rsidRDefault="00481BB2" w:rsidP="001C5710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101452">
        <w:rPr>
          <w:lang w:val="de-DE"/>
        </w:rPr>
        <w:t>3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1C5710" w:rsidRPr="001C5710">
        <w:rPr>
          <w:lang w:val="de-DE"/>
        </w:rPr>
        <w:t>Fragen zur Durchführung des ADN</w:t>
      </w:r>
    </w:p>
    <w:p w14:paraId="7FE3852D" w14:textId="77777777" w:rsidR="00F33248" w:rsidRPr="009903BE" w:rsidRDefault="009D7865" w:rsidP="001C5710">
      <w:pPr>
        <w:pStyle w:val="H23G"/>
        <w:tabs>
          <w:tab w:val="clear" w:pos="851"/>
        </w:tabs>
        <w:ind w:left="1701" w:hanging="567"/>
        <w:rPr>
          <w:b w:val="0"/>
          <w:lang w:val="de-DE"/>
        </w:rPr>
      </w:pPr>
      <w:r w:rsidRPr="00B01E2C">
        <w:rPr>
          <w:b w:val="0"/>
          <w:lang w:val="de-DE"/>
        </w:rPr>
        <w:tab/>
      </w:r>
      <w:r w:rsidR="001C5710" w:rsidRPr="009903BE">
        <w:rPr>
          <w:b w:val="0"/>
          <w:lang w:val="de-DE"/>
        </w:rPr>
        <w:t>a)</w:t>
      </w:r>
      <w:r w:rsidR="00C43C17" w:rsidRPr="009903BE">
        <w:rPr>
          <w:b w:val="0"/>
          <w:lang w:val="de-DE"/>
        </w:rPr>
        <w:tab/>
      </w:r>
      <w:r w:rsidR="001C5710" w:rsidRPr="009903BE">
        <w:rPr>
          <w:b w:val="0"/>
          <w:lang w:val="de-DE"/>
        </w:rPr>
        <w:t>Klassifikationsgesellschaften</w:t>
      </w:r>
    </w:p>
    <w:p w14:paraId="6ACA3617" w14:textId="25FA04A6" w:rsidR="003C7E1C" w:rsidRPr="003C7E1C" w:rsidRDefault="003C7E1C" w:rsidP="00257569">
      <w:pPr>
        <w:spacing w:after="120"/>
        <w:ind w:left="1134" w:right="1134" w:firstLine="567"/>
        <w:jc w:val="both"/>
        <w:rPr>
          <w:highlight w:val="yellow"/>
          <w:lang w:val="de-DE"/>
        </w:rPr>
      </w:pPr>
      <w:r w:rsidRPr="003C7E1C">
        <w:rPr>
          <w:lang w:val="de-DE"/>
        </w:rPr>
        <w:t>Informationen über die Anerkennung von Klassifikationsgesellschaften, die seit der letzten Sitzung des Verwaltungsausschusses von den Vertragsparteien eingegangen sind, werden als informelles Dokument INF.</w:t>
      </w:r>
      <w:r>
        <w:rPr>
          <w:lang w:val="de-DE"/>
        </w:rPr>
        <w:t>1</w:t>
      </w:r>
      <w:r w:rsidRPr="003C7E1C">
        <w:rPr>
          <w:lang w:val="de-DE"/>
        </w:rPr>
        <w:t xml:space="preserve"> vorgelegt.</w:t>
      </w:r>
    </w:p>
    <w:p w14:paraId="3BD2FF45" w14:textId="62F18751" w:rsidR="00716E04" w:rsidRDefault="00716E04" w:rsidP="006E022B">
      <w:pPr>
        <w:pStyle w:val="SingleTxt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br w:type="page"/>
      </w:r>
    </w:p>
    <w:p w14:paraId="7EA996B5" w14:textId="2897DE19" w:rsidR="00F33248" w:rsidRPr="00B01E2C" w:rsidRDefault="00716E04" w:rsidP="001C5710">
      <w:pPr>
        <w:pStyle w:val="SingleTxtG"/>
        <w:rPr>
          <w:lang w:val="de-DE"/>
        </w:rPr>
      </w:pPr>
      <w:r>
        <w:rPr>
          <w:lang w:val="de-DE"/>
        </w:rPr>
        <w:lastRenderedPageBreak/>
        <w:tab/>
      </w:r>
      <w:r w:rsidR="009D7865" w:rsidRPr="00855D13">
        <w:rPr>
          <w:lang w:val="de-DE"/>
        </w:rPr>
        <w:tab/>
      </w:r>
      <w:r w:rsidR="001C5710" w:rsidRPr="001C5710">
        <w:rPr>
          <w:lang w:val="de-DE"/>
        </w:rPr>
        <w:t>b)</w:t>
      </w:r>
      <w:r w:rsidR="00F33248" w:rsidRPr="00B01E2C">
        <w:rPr>
          <w:lang w:val="de-DE"/>
        </w:rPr>
        <w:tab/>
      </w:r>
      <w:r w:rsidR="001C5710" w:rsidRPr="001C5710">
        <w:rPr>
          <w:lang w:val="de-DE"/>
        </w:rPr>
        <w:t>Ausnahmegenehmigungen, Abweichungen und Gleichwertigkeiten</w:t>
      </w:r>
      <w:r w:rsidR="00F33248" w:rsidRPr="00B01E2C">
        <w:rPr>
          <w:lang w:val="de-DE"/>
        </w:rPr>
        <w:t xml:space="preserve"> </w:t>
      </w:r>
    </w:p>
    <w:p w14:paraId="4B078A8D" w14:textId="77777777" w:rsidR="00F970F8" w:rsidRPr="00B01E2C" w:rsidRDefault="001C5710" w:rsidP="00257569">
      <w:pPr>
        <w:pStyle w:val="SingleTxtG"/>
        <w:ind w:firstLine="567"/>
        <w:rPr>
          <w:lang w:val="de-DE"/>
        </w:rPr>
      </w:pPr>
      <w:r w:rsidRPr="001C5710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14:paraId="7B5B132B" w14:textId="77777777" w:rsidR="00F33248" w:rsidRPr="00B01E2C" w:rsidRDefault="001C5710" w:rsidP="001C5710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1C5710">
        <w:rPr>
          <w:b w:val="0"/>
          <w:lang w:val="de-DE"/>
        </w:rPr>
        <w:t>c)</w:t>
      </w:r>
      <w:r w:rsidR="00F33248" w:rsidRPr="00B01E2C">
        <w:rPr>
          <w:b w:val="0"/>
          <w:lang w:val="de-DE"/>
        </w:rPr>
        <w:tab/>
      </w:r>
      <w:r w:rsidRPr="001C5710">
        <w:rPr>
          <w:b w:val="0"/>
          <w:lang w:val="de-DE"/>
        </w:rPr>
        <w:t>Verschiedene Mitteilungen</w:t>
      </w:r>
    </w:p>
    <w:p w14:paraId="69D89264" w14:textId="27CDC13C" w:rsidR="00257569" w:rsidRPr="00855D13" w:rsidRDefault="00101032" w:rsidP="00101032">
      <w:pPr>
        <w:spacing w:after="120"/>
        <w:ind w:left="1134" w:right="1134" w:firstLine="567"/>
        <w:jc w:val="both"/>
        <w:rPr>
          <w:lang w:val="de-DE"/>
        </w:rPr>
      </w:pPr>
      <w:r w:rsidRPr="00855D13">
        <w:rPr>
          <w:lang w:val="de-DE"/>
        </w:rPr>
        <w:t>Rumänien hat eine Prüfungsstatistik vorgelegt (siehe informelles Dokument INF.2). Die Länder werden daran erinnert, dem Sekretariat ihre Musterbescheinigungen und ADN-Prüfungsstatistiken zu übermitteln, soweit dies noch nicht geschehen ist.</w:t>
      </w:r>
    </w:p>
    <w:p w14:paraId="3474EC16" w14:textId="51E91DDC" w:rsidR="00257569" w:rsidRPr="00855D13" w:rsidRDefault="000C0F97" w:rsidP="004275CF">
      <w:pPr>
        <w:spacing w:after="120"/>
        <w:ind w:left="1134" w:right="1134" w:firstLine="567"/>
        <w:jc w:val="both"/>
        <w:rPr>
          <w:lang w:val="de-DE"/>
        </w:rPr>
      </w:pPr>
      <w:r w:rsidRPr="00855D13">
        <w:rPr>
          <w:lang w:val="de-DE"/>
        </w:rPr>
        <w:t xml:space="preserve">Informationen über anerkannte </w:t>
      </w:r>
      <w:r w:rsidR="0031055D" w:rsidRPr="00855D13">
        <w:rPr>
          <w:lang w:val="de-DE"/>
        </w:rPr>
        <w:t>Untersuchungs</w:t>
      </w:r>
      <w:r w:rsidR="00AE1644" w:rsidRPr="00855D13">
        <w:rPr>
          <w:lang w:val="de-DE"/>
        </w:rPr>
        <w:t>s</w:t>
      </w:r>
      <w:r w:rsidRPr="00855D13">
        <w:rPr>
          <w:lang w:val="de-DE"/>
        </w:rPr>
        <w:t>tellen, die seit der letzten</w:t>
      </w:r>
      <w:r w:rsidR="0031055D" w:rsidRPr="00855D13">
        <w:rPr>
          <w:lang w:val="de-DE"/>
        </w:rPr>
        <w:t xml:space="preserve"> Sitzu</w:t>
      </w:r>
      <w:r w:rsidRPr="00855D13">
        <w:rPr>
          <w:lang w:val="de-DE"/>
        </w:rPr>
        <w:t>ng des Verwaltungsausschusses von den Vertragsparteien eingegangen sind, werden als informelles Dokument INF.3 vorgelegt.</w:t>
      </w:r>
    </w:p>
    <w:p w14:paraId="0491C5BD" w14:textId="551D7E52" w:rsidR="00257569" w:rsidRPr="00855D13" w:rsidRDefault="004275CF" w:rsidP="00AD7F1C">
      <w:pPr>
        <w:spacing w:after="120"/>
        <w:ind w:left="1134" w:right="1134" w:firstLine="567"/>
        <w:jc w:val="both"/>
        <w:rPr>
          <w:lang w:val="de-DE"/>
        </w:rPr>
      </w:pPr>
      <w:r w:rsidRPr="00855D13">
        <w:rPr>
          <w:lang w:val="de-DE"/>
        </w:rPr>
        <w:t>Das Sekretariat wird alle weiteren Informationen, die von den Vertragsparteien nach der Verteilung dieser erläuterten Tagesordnung übermittelt werden, zur Verfügung stellen.</w:t>
      </w:r>
    </w:p>
    <w:p w14:paraId="17749505" w14:textId="0B6B90DC" w:rsidR="00F33248" w:rsidRPr="00B93B46" w:rsidRDefault="001C5710" w:rsidP="001C5710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1C5710">
        <w:rPr>
          <w:b w:val="0"/>
          <w:lang w:val="de-DE"/>
        </w:rPr>
        <w:t>d)</w:t>
      </w:r>
      <w:r w:rsidR="00F33248" w:rsidRPr="00B93B46">
        <w:rPr>
          <w:b w:val="0"/>
          <w:lang w:val="de-DE"/>
        </w:rPr>
        <w:tab/>
      </w:r>
      <w:r w:rsidRPr="001C5710">
        <w:rPr>
          <w:b w:val="0"/>
          <w:lang w:val="de-DE"/>
        </w:rPr>
        <w:t>Sonstige Fragen</w:t>
      </w:r>
    </w:p>
    <w:p w14:paraId="6E85B1F6" w14:textId="77777777" w:rsidR="00F33248" w:rsidRPr="00B93B46" w:rsidRDefault="001C5710" w:rsidP="00257569">
      <w:pPr>
        <w:pStyle w:val="SingleTxtG"/>
        <w:ind w:firstLine="567"/>
        <w:rPr>
          <w:lang w:val="de-DE"/>
        </w:rPr>
      </w:pPr>
      <w:r w:rsidRPr="001C5710">
        <w:rPr>
          <w:lang w:val="de-DE"/>
        </w:rPr>
        <w:t>Der Verwaltungsausschuss könnte alle sonstigen Fragen im Zusammenhang mit der Durchführung des ADN erörtern.</w:t>
      </w:r>
    </w:p>
    <w:p w14:paraId="1A091FB5" w14:textId="77777777" w:rsidR="00F33248" w:rsidRPr="00B93B46" w:rsidRDefault="00481BB2" w:rsidP="001C5710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101452">
        <w:rPr>
          <w:lang w:val="de-DE"/>
        </w:rPr>
        <w:t>4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1C5710" w:rsidRPr="001C5710">
        <w:rPr>
          <w:lang w:val="de-DE"/>
        </w:rPr>
        <w:t>Tätigkeit des Sicherheitsausschusses</w:t>
      </w:r>
    </w:p>
    <w:p w14:paraId="6B12279C" w14:textId="07CA694C" w:rsidR="001F2E67" w:rsidRPr="00B93B46" w:rsidRDefault="001F2E67" w:rsidP="001F2E67">
      <w:pPr>
        <w:spacing w:after="120"/>
        <w:ind w:left="1134" w:right="1134" w:firstLine="567"/>
        <w:jc w:val="both"/>
        <w:rPr>
          <w:lang w:val="de-DE"/>
        </w:rPr>
      </w:pPr>
      <w:r>
        <w:rPr>
          <w:lang w:val="de-DE"/>
        </w:rPr>
        <w:t xml:space="preserve">Der Verwaltungsausschuss sollte die Arbeiten des Sicherheitsausschusses auf dessen </w:t>
      </w:r>
      <w:r w:rsidR="00257569">
        <w:rPr>
          <w:lang w:val="de-DE"/>
        </w:rPr>
        <w:t>sieben</w:t>
      </w:r>
      <w:r>
        <w:rPr>
          <w:lang w:val="de-DE"/>
        </w:rPr>
        <w:t>unddreißigster Sitzung (2</w:t>
      </w:r>
      <w:r w:rsidR="00257569">
        <w:rPr>
          <w:lang w:val="de-DE"/>
        </w:rPr>
        <w:t>4</w:t>
      </w:r>
      <w:r>
        <w:rPr>
          <w:lang w:val="de-DE"/>
        </w:rPr>
        <w:t>.</w:t>
      </w:r>
      <w:r w:rsidRPr="00B93B46">
        <w:rPr>
          <w:lang w:val="de-DE"/>
        </w:rPr>
        <w:t xml:space="preserve"> </w:t>
      </w:r>
      <w:r>
        <w:rPr>
          <w:lang w:val="de-DE"/>
        </w:rPr>
        <w:t xml:space="preserve">bis </w:t>
      </w:r>
      <w:r w:rsidR="00257569">
        <w:rPr>
          <w:lang w:val="de-DE"/>
        </w:rPr>
        <w:t>28</w:t>
      </w:r>
      <w:r>
        <w:rPr>
          <w:lang w:val="de-DE"/>
        </w:rPr>
        <w:t>.</w:t>
      </w:r>
      <w:r w:rsidRPr="00B93B46">
        <w:rPr>
          <w:lang w:val="de-DE"/>
        </w:rPr>
        <w:t xml:space="preserve"> </w:t>
      </w:r>
      <w:r>
        <w:rPr>
          <w:lang w:val="de-DE"/>
        </w:rPr>
        <w:t>August 20</w:t>
      </w:r>
      <w:r w:rsidR="00257569">
        <w:rPr>
          <w:lang w:val="de-DE"/>
        </w:rPr>
        <w:t>20</w:t>
      </w:r>
      <w:r>
        <w:rPr>
          <w:lang w:val="de-DE"/>
        </w:rPr>
        <w:t>) auf der Grundlage von dessen Protokollentwurf prüfen und alle Korrektur- und Ergänzungsvorschläge zur Liste der Änderungsvorschläge zur dem ADN beigefügten Verordnung im Hinblick auf ein Inkrafttreten zum 1.</w:t>
      </w:r>
      <w:r w:rsidRPr="00B93B46">
        <w:rPr>
          <w:lang w:val="de-DE"/>
        </w:rPr>
        <w:t xml:space="preserve"> </w:t>
      </w:r>
      <w:r>
        <w:rPr>
          <w:lang w:val="de-DE"/>
        </w:rPr>
        <w:t xml:space="preserve">Januar </w:t>
      </w:r>
      <w:r w:rsidR="00257569">
        <w:rPr>
          <w:lang w:val="de-DE"/>
        </w:rPr>
        <w:t>2021</w:t>
      </w:r>
      <w:r>
        <w:rPr>
          <w:lang w:val="de-DE"/>
        </w:rPr>
        <w:t xml:space="preserve"> annehmen.</w:t>
      </w:r>
    </w:p>
    <w:p w14:paraId="3286891A" w14:textId="71C4E343" w:rsidR="001F2E67" w:rsidRPr="00B93B46" w:rsidRDefault="001F2E67" w:rsidP="001F2E67">
      <w:pPr>
        <w:spacing w:after="120"/>
        <w:ind w:left="1134" w:right="1134"/>
        <w:jc w:val="both"/>
        <w:rPr>
          <w:snapToGrid w:val="0"/>
          <w:color w:val="000000"/>
          <w:szCs w:val="24"/>
          <w:lang w:val="de-DE" w:eastAsia="fr-FR"/>
        </w:rPr>
      </w:pPr>
      <w:r>
        <w:rPr>
          <w:snapToGrid w:val="0"/>
          <w:color w:val="000000"/>
          <w:szCs w:val="24"/>
          <w:lang w:val="de-DE" w:eastAsia="fr-FR"/>
        </w:rPr>
        <w:tab/>
      </w:r>
      <w:r w:rsidR="00257569">
        <w:rPr>
          <w:snapToGrid w:val="0"/>
          <w:color w:val="000000"/>
          <w:szCs w:val="24"/>
          <w:lang w:val="de-DE" w:eastAsia="fr-FR"/>
        </w:rPr>
        <w:tab/>
      </w:r>
      <w:r>
        <w:rPr>
          <w:snapToGrid w:val="0"/>
          <w:color w:val="000000"/>
          <w:szCs w:val="24"/>
          <w:lang w:val="de-DE" w:eastAsia="fr-FR"/>
        </w:rPr>
        <w:t>Es sei darauf hingewiesen, dass nach Artikel 20 Absatz 5 Buchstabe a) des ADN Änderungen schneller in Kraft treten können, falls vergleichbare Änderungen an anderen internationalen Übereinkommen über die Beförderung von gefährlichen Gütern angenommen wurden.</w:t>
      </w:r>
      <w:r w:rsidRPr="00B93B46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Zusätzliche Änderungsvorschläge müssen den Vertragsparteien daher bis spätestens 1.</w:t>
      </w:r>
      <w:r w:rsidR="00257569" w:rsidRPr="00B93B46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 xml:space="preserve">September </w:t>
      </w:r>
      <w:r w:rsidR="00257569">
        <w:rPr>
          <w:snapToGrid w:val="0"/>
          <w:color w:val="000000"/>
          <w:szCs w:val="24"/>
          <w:lang w:val="de-DE" w:eastAsia="fr-FR"/>
        </w:rPr>
        <w:t>2020</w:t>
      </w:r>
      <w:r>
        <w:rPr>
          <w:snapToGrid w:val="0"/>
          <w:color w:val="000000"/>
          <w:szCs w:val="24"/>
          <w:lang w:val="de-DE" w:eastAsia="fr-FR"/>
        </w:rPr>
        <w:t xml:space="preserve"> mitgeteilt werden, um sicherzustellen, dass sie am 1.</w:t>
      </w:r>
      <w:r w:rsidR="00855D13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Januar</w:t>
      </w:r>
      <w:r w:rsidR="00855D13">
        <w:rPr>
          <w:snapToGrid w:val="0"/>
          <w:color w:val="000000"/>
          <w:szCs w:val="24"/>
          <w:lang w:val="de-DE" w:eastAsia="fr-FR"/>
        </w:rPr>
        <w:t> </w:t>
      </w:r>
      <w:r w:rsidR="00257569">
        <w:rPr>
          <w:snapToGrid w:val="0"/>
          <w:color w:val="000000"/>
          <w:szCs w:val="24"/>
          <w:lang w:val="de-DE" w:eastAsia="fr-FR"/>
        </w:rPr>
        <w:t>2021</w:t>
      </w:r>
      <w:r>
        <w:rPr>
          <w:snapToGrid w:val="0"/>
          <w:color w:val="000000"/>
          <w:szCs w:val="24"/>
          <w:lang w:val="de-DE" w:eastAsia="fr-FR"/>
        </w:rPr>
        <w:t>, d.</w:t>
      </w:r>
      <w:r w:rsidRPr="00B93B46">
        <w:rPr>
          <w:snapToGrid w:val="0"/>
          <w:color w:val="000000"/>
          <w:szCs w:val="24"/>
          <w:lang w:val="de-DE" w:eastAsia="fr-FR"/>
        </w:rPr>
        <w:t> </w:t>
      </w:r>
      <w:r>
        <w:rPr>
          <w:snapToGrid w:val="0"/>
          <w:color w:val="000000"/>
          <w:szCs w:val="24"/>
          <w:lang w:val="de-DE" w:eastAsia="fr-FR"/>
        </w:rPr>
        <w:t>h.</w:t>
      </w:r>
      <w:r w:rsidRPr="00B93B46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>einen Monat nach der Annahme durch die Vertragsparteien, in Kraft treten können.</w:t>
      </w:r>
    </w:p>
    <w:p w14:paraId="6E4686FB" w14:textId="1412AC78" w:rsidR="001F2E67" w:rsidRPr="00B93B46" w:rsidRDefault="001F2E67" w:rsidP="001F2E67">
      <w:pPr>
        <w:spacing w:after="120"/>
        <w:ind w:left="1134" w:right="1134" w:firstLine="567"/>
        <w:jc w:val="both"/>
        <w:rPr>
          <w:snapToGrid w:val="0"/>
          <w:color w:val="000000"/>
          <w:szCs w:val="24"/>
          <w:lang w:val="de-DE" w:eastAsia="fr-FR"/>
        </w:rPr>
      </w:pPr>
      <w:r>
        <w:rPr>
          <w:snapToGrid w:val="0"/>
          <w:color w:val="000000"/>
          <w:szCs w:val="24"/>
          <w:lang w:val="de-DE" w:eastAsia="fr-FR"/>
        </w:rPr>
        <w:t>Korrekturvorschläge zu den in Dokument ECE/ADN/</w:t>
      </w:r>
      <w:r w:rsidR="00257569">
        <w:rPr>
          <w:snapToGrid w:val="0"/>
          <w:color w:val="000000"/>
          <w:szCs w:val="24"/>
          <w:lang w:val="de-DE" w:eastAsia="fr-FR"/>
        </w:rPr>
        <w:t>54</w:t>
      </w:r>
      <w:r>
        <w:rPr>
          <w:snapToGrid w:val="0"/>
          <w:color w:val="000000"/>
          <w:szCs w:val="24"/>
          <w:lang w:val="de-DE" w:eastAsia="fr-FR"/>
        </w:rPr>
        <w:t xml:space="preserve"> enthaltenen Änderungsvorschlägen müssten den Vertragsparteien gemäß der üblichen Vorgehensweise für Korrekturen bis zum 1.</w:t>
      </w:r>
      <w:r w:rsidRPr="00B93B46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 xml:space="preserve">Oktober </w:t>
      </w:r>
      <w:r w:rsidR="00257569">
        <w:rPr>
          <w:snapToGrid w:val="0"/>
          <w:color w:val="000000"/>
          <w:szCs w:val="24"/>
          <w:lang w:val="de-DE" w:eastAsia="fr-FR"/>
        </w:rPr>
        <w:t>2020</w:t>
      </w:r>
      <w:r>
        <w:rPr>
          <w:snapToGrid w:val="0"/>
          <w:color w:val="000000"/>
          <w:szCs w:val="24"/>
          <w:lang w:val="de-DE" w:eastAsia="fr-FR"/>
        </w:rPr>
        <w:t xml:space="preserve"> (dem Tag der Annahme der Änderungen) übermittelt werden, damit sie spätestens am 1.</w:t>
      </w:r>
      <w:r w:rsidRPr="00B93B46">
        <w:rPr>
          <w:snapToGrid w:val="0"/>
          <w:color w:val="000000"/>
          <w:szCs w:val="24"/>
          <w:lang w:val="de-DE" w:eastAsia="fr-FR"/>
        </w:rPr>
        <w:t xml:space="preserve"> </w:t>
      </w:r>
      <w:r>
        <w:rPr>
          <w:snapToGrid w:val="0"/>
          <w:color w:val="000000"/>
          <w:szCs w:val="24"/>
          <w:lang w:val="de-DE" w:eastAsia="fr-FR"/>
        </w:rPr>
        <w:t xml:space="preserve">Januar </w:t>
      </w:r>
      <w:r w:rsidR="00257569">
        <w:rPr>
          <w:snapToGrid w:val="0"/>
          <w:color w:val="000000"/>
          <w:szCs w:val="24"/>
          <w:lang w:val="de-DE" w:eastAsia="fr-FR"/>
        </w:rPr>
        <w:t>2021</w:t>
      </w:r>
      <w:r>
        <w:rPr>
          <w:snapToGrid w:val="0"/>
          <w:color w:val="000000"/>
          <w:szCs w:val="24"/>
          <w:lang w:val="de-DE" w:eastAsia="fr-FR"/>
        </w:rPr>
        <w:t xml:space="preserve"> wirksam werden können.</w:t>
      </w:r>
    </w:p>
    <w:p w14:paraId="22B5318A" w14:textId="77777777" w:rsidR="00F33248" w:rsidRPr="00B93B46" w:rsidRDefault="00481BB2" w:rsidP="0038152F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101452">
        <w:rPr>
          <w:lang w:val="de-DE"/>
        </w:rPr>
        <w:t>5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A52485" w:rsidRPr="0038152F">
        <w:rPr>
          <w:lang w:val="de-DE"/>
        </w:rPr>
        <w:t>Arbeitsprogramm und Sitzungsplan</w:t>
      </w:r>
    </w:p>
    <w:p w14:paraId="1C3A3368" w14:textId="12B8ABE3" w:rsidR="00277A2F" w:rsidRPr="00B93B46" w:rsidRDefault="00A52485" w:rsidP="00257569">
      <w:pPr>
        <w:pStyle w:val="SingleTxtG"/>
        <w:ind w:firstLine="567"/>
        <w:rPr>
          <w:lang w:val="de-DE"/>
        </w:rPr>
      </w:pPr>
      <w:r w:rsidRPr="0038152F">
        <w:rPr>
          <w:lang w:val="de-DE"/>
        </w:rPr>
        <w:t xml:space="preserve">Die </w:t>
      </w:r>
      <w:r w:rsidR="00257569">
        <w:rPr>
          <w:lang w:val="de-DE"/>
        </w:rPr>
        <w:t>sechs</w:t>
      </w:r>
      <w:r w:rsidRPr="0038152F">
        <w:rPr>
          <w:lang w:val="de-DE"/>
        </w:rPr>
        <w:t>undzwanzigste Sitzung des ADN-</w:t>
      </w:r>
      <w:r w:rsidR="003732F1" w:rsidRPr="0038152F">
        <w:rPr>
          <w:lang w:val="de-DE"/>
        </w:rPr>
        <w:t>Verwaltungsa</w:t>
      </w:r>
      <w:r w:rsidRPr="0038152F">
        <w:rPr>
          <w:lang w:val="de-DE"/>
        </w:rPr>
        <w:t xml:space="preserve">usschusses ist für </w:t>
      </w:r>
      <w:r w:rsidR="00101452">
        <w:rPr>
          <w:lang w:val="de-DE"/>
        </w:rPr>
        <w:t>den 2</w:t>
      </w:r>
      <w:r w:rsidR="00257569">
        <w:rPr>
          <w:lang w:val="de-DE"/>
        </w:rPr>
        <w:t>9</w:t>
      </w:r>
      <w:r w:rsidR="00101452">
        <w:rPr>
          <w:lang w:val="de-DE"/>
        </w:rPr>
        <w:t>.</w:t>
      </w:r>
      <w:r w:rsidR="00101452" w:rsidRPr="00B93B46">
        <w:rPr>
          <w:lang w:val="de-DE"/>
        </w:rPr>
        <w:t> </w:t>
      </w:r>
      <w:r w:rsidR="00101452">
        <w:rPr>
          <w:lang w:val="de-DE"/>
        </w:rPr>
        <w:t>Januar 20</w:t>
      </w:r>
      <w:r w:rsidR="00257569">
        <w:rPr>
          <w:lang w:val="de-DE"/>
        </w:rPr>
        <w:t>21</w:t>
      </w:r>
      <w:r w:rsidRPr="0038152F">
        <w:rPr>
          <w:lang w:val="de-DE"/>
        </w:rPr>
        <w:t xml:space="preserve"> geplant.</w:t>
      </w:r>
      <w:r w:rsidR="00101452" w:rsidRPr="00B93B46">
        <w:rPr>
          <w:lang w:val="de-DE"/>
        </w:rPr>
        <w:t xml:space="preserve"> </w:t>
      </w:r>
      <w:r w:rsidR="00101452" w:rsidRPr="00257569">
        <w:rPr>
          <w:lang w:val="de-DE"/>
        </w:rPr>
        <w:t xml:space="preserve">Letzter Termin für die Einreichung von Dokumenten für diese Sitzungen ist der </w:t>
      </w:r>
      <w:r w:rsidR="00257569">
        <w:rPr>
          <w:lang w:val="de-DE"/>
        </w:rPr>
        <w:t>30</w:t>
      </w:r>
      <w:r w:rsidR="00101452" w:rsidRPr="00257569">
        <w:rPr>
          <w:lang w:val="de-DE"/>
        </w:rPr>
        <w:t>.</w:t>
      </w:r>
      <w:r w:rsidR="00101452" w:rsidRPr="00B93B46">
        <w:rPr>
          <w:lang w:val="de-DE"/>
        </w:rPr>
        <w:t xml:space="preserve"> </w:t>
      </w:r>
      <w:r w:rsidR="00101452" w:rsidRPr="00257569">
        <w:rPr>
          <w:lang w:val="de-DE"/>
        </w:rPr>
        <w:t>Oktober 20</w:t>
      </w:r>
      <w:r w:rsidR="00257569">
        <w:rPr>
          <w:lang w:val="de-DE"/>
        </w:rPr>
        <w:t>20</w:t>
      </w:r>
      <w:r w:rsidR="00101452" w:rsidRPr="00257569">
        <w:rPr>
          <w:lang w:val="de-DE"/>
        </w:rPr>
        <w:t>.</w:t>
      </w:r>
    </w:p>
    <w:p w14:paraId="7FD2E010" w14:textId="77777777" w:rsidR="00F33248" w:rsidRPr="00B93B46" w:rsidRDefault="006D44E6" w:rsidP="00F54028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101452">
        <w:rPr>
          <w:lang w:val="de-DE"/>
        </w:rPr>
        <w:t>6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F54028" w:rsidRPr="00F54028">
        <w:rPr>
          <w:lang w:val="de-DE"/>
        </w:rPr>
        <w:t>Verschiedenes</w:t>
      </w:r>
    </w:p>
    <w:p w14:paraId="57EACA5C" w14:textId="77777777" w:rsidR="00F33248" w:rsidRPr="00B93B46" w:rsidRDefault="00F54028" w:rsidP="00257569">
      <w:pPr>
        <w:pStyle w:val="SingleTxtG"/>
        <w:ind w:firstLine="567"/>
        <w:rPr>
          <w:lang w:val="de-DE"/>
        </w:rPr>
      </w:pPr>
      <w:r w:rsidRPr="00F54028">
        <w:rPr>
          <w:lang w:val="de-DE"/>
        </w:rPr>
        <w:t>Der Verwaltungsausschuss könnte gegebenenfalls weitere Fragen im Zusammenhang mit seiner Tätigkeit und seinem Mandat erörtern.</w:t>
      </w:r>
    </w:p>
    <w:p w14:paraId="656211B2" w14:textId="77777777" w:rsidR="00F33248" w:rsidRPr="00B93B46" w:rsidRDefault="00481BB2" w:rsidP="00F54028">
      <w:pPr>
        <w:pStyle w:val="H23G"/>
        <w:rPr>
          <w:lang w:val="de-DE"/>
        </w:rPr>
      </w:pPr>
      <w:r w:rsidRPr="00B01E2C">
        <w:rPr>
          <w:lang w:val="de-DE"/>
        </w:rPr>
        <w:lastRenderedPageBreak/>
        <w:tab/>
      </w:r>
      <w:r w:rsidR="00101452">
        <w:rPr>
          <w:lang w:val="de-DE"/>
        </w:rPr>
        <w:t>7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F54028" w:rsidRPr="00F54028">
        <w:rPr>
          <w:lang w:val="de-DE"/>
        </w:rPr>
        <w:t>Genehmigung des Sitzungsprotokolls</w:t>
      </w:r>
    </w:p>
    <w:p w14:paraId="7E4DD78A" w14:textId="194A69BA" w:rsidR="00F33248" w:rsidRPr="00B93B46" w:rsidRDefault="00F54028" w:rsidP="00257569">
      <w:pPr>
        <w:pStyle w:val="SingleTxtG"/>
        <w:ind w:firstLine="567"/>
        <w:rPr>
          <w:lang w:val="de-DE"/>
        </w:rPr>
      </w:pPr>
      <w:r w:rsidRPr="0092585A">
        <w:rPr>
          <w:lang w:val="de-DE"/>
        </w:rPr>
        <w:t xml:space="preserve">Der Verwaltungsausschuss wird gebeten, das Protokoll über seine </w:t>
      </w:r>
      <w:r w:rsidR="00257569">
        <w:rPr>
          <w:lang w:val="de-DE"/>
        </w:rPr>
        <w:t>fünf</w:t>
      </w:r>
      <w:r w:rsidR="00101452">
        <w:rPr>
          <w:lang w:val="de-DE"/>
        </w:rPr>
        <w:t>und</w:t>
      </w:r>
      <w:r w:rsidRPr="0092585A">
        <w:rPr>
          <w:lang w:val="de-DE"/>
        </w:rPr>
        <w:t xml:space="preserve">zwanzigste Sitzung auf der Grundlage eines Sekretariatsentwurfs, der den Teilnehmern nach der Sitzung per E-Mail </w:t>
      </w:r>
      <w:r w:rsidR="00813765" w:rsidRPr="0092585A">
        <w:rPr>
          <w:lang w:val="de-DE"/>
        </w:rPr>
        <w:t xml:space="preserve">zur Billigung </w:t>
      </w:r>
      <w:r w:rsidRPr="0092585A">
        <w:rPr>
          <w:lang w:val="de-DE"/>
        </w:rPr>
        <w:t>zugeleitet wird, zu genehmigen.</w:t>
      </w:r>
    </w:p>
    <w:p w14:paraId="0B52CF55" w14:textId="30BA208C" w:rsidR="00F33248" w:rsidRPr="00B01E2C" w:rsidRDefault="00B01E2C" w:rsidP="00481BB2">
      <w:pPr>
        <w:spacing w:before="240"/>
        <w:ind w:left="1134" w:right="1134"/>
        <w:jc w:val="center"/>
        <w:rPr>
          <w:lang w:val="de-DE"/>
        </w:rPr>
      </w:pPr>
      <w:r w:rsidRPr="00B01E2C">
        <w:rPr>
          <w:lang w:val="de-DE"/>
        </w:rPr>
        <w:t>***</w:t>
      </w:r>
    </w:p>
    <w:sectPr w:rsidR="00F33248" w:rsidRPr="00B01E2C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BADB" w14:textId="77777777" w:rsidR="00562A33" w:rsidRDefault="00562A33"/>
  </w:endnote>
  <w:endnote w:type="continuationSeparator" w:id="0">
    <w:p w14:paraId="206DDD05" w14:textId="77777777" w:rsidR="00562A33" w:rsidRDefault="00562A33"/>
  </w:endnote>
  <w:endnote w:type="continuationNotice" w:id="1">
    <w:p w14:paraId="66C854C4" w14:textId="77777777" w:rsidR="00562A33" w:rsidRDefault="00562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95EA" w14:textId="61DA1E11" w:rsidR="005945C5" w:rsidRPr="0022259B" w:rsidRDefault="009903BE" w:rsidP="0022259B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="0022259B"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="0022259B"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257569">
      <w:rPr>
        <w:rFonts w:ascii="Arial" w:hAnsi="Arial"/>
        <w:noProof/>
        <w:sz w:val="12"/>
        <w:szCs w:val="24"/>
        <w:lang w:val="fr-FR" w:eastAsia="fr-FR"/>
      </w:rPr>
      <w:t>55</w:t>
    </w:r>
    <w:r w:rsidR="0022259B">
      <w:rPr>
        <w:rFonts w:ascii="Arial" w:hAnsi="Arial"/>
        <w:noProof/>
        <w:sz w:val="12"/>
        <w:szCs w:val="24"/>
        <w:lang w:val="fr-FR" w:eastAsia="fr-FR"/>
      </w:rPr>
      <w:t>_</w:t>
    </w:r>
    <w:r w:rsidR="00257569">
      <w:rPr>
        <w:rFonts w:ascii="Arial" w:hAnsi="Arial"/>
        <w:noProof/>
        <w:sz w:val="12"/>
        <w:szCs w:val="24"/>
        <w:lang w:val="fr-FR" w:eastAsia="fr-FR"/>
      </w:rPr>
      <w:t>55</w:t>
    </w:r>
    <w:r w:rsidR="0022259B" w:rsidRPr="004329B9">
      <w:rPr>
        <w:rFonts w:ascii="Arial" w:hAnsi="Arial"/>
        <w:noProof/>
        <w:sz w:val="12"/>
        <w:szCs w:val="24"/>
        <w:lang w:val="fr-FR" w:eastAsia="fr-FR"/>
      </w:rPr>
      <w:t>de</w:t>
    </w:r>
    <w:r w:rsidR="0022259B"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3EA1" w14:textId="59A40262" w:rsidR="005945C5" w:rsidRPr="006F34C6" w:rsidRDefault="006F34C6" w:rsidP="006F34C6">
    <w:pPr>
      <w:spacing w:line="240" w:lineRule="auto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4329B9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4329B9">
      <w:rPr>
        <w:rFonts w:ascii="Arial" w:hAnsi="Arial"/>
        <w:noProof/>
        <w:sz w:val="12"/>
        <w:szCs w:val="24"/>
        <w:lang w:val="fr-FR" w:eastAsia="fr-FR"/>
      </w:rPr>
      <w:t>/adn_</w:t>
    </w:r>
    <w:r w:rsidR="00257569">
      <w:rPr>
        <w:rFonts w:ascii="Arial" w:hAnsi="Arial"/>
        <w:noProof/>
        <w:sz w:val="12"/>
        <w:szCs w:val="24"/>
        <w:lang w:val="fr-FR" w:eastAsia="fr-FR"/>
      </w:rPr>
      <w:t>55</w:t>
    </w:r>
    <w:r>
      <w:rPr>
        <w:rFonts w:ascii="Arial" w:hAnsi="Arial"/>
        <w:noProof/>
        <w:sz w:val="12"/>
        <w:szCs w:val="24"/>
        <w:lang w:val="fr-FR" w:eastAsia="fr-FR"/>
      </w:rPr>
      <w:t>_</w:t>
    </w:r>
    <w:r w:rsidR="00257569">
      <w:rPr>
        <w:rFonts w:ascii="Arial" w:hAnsi="Arial"/>
        <w:noProof/>
        <w:sz w:val="12"/>
        <w:szCs w:val="24"/>
        <w:lang w:val="fr-FR" w:eastAsia="fr-FR"/>
      </w:rPr>
      <w:t>55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DD26" w14:textId="77777777" w:rsidR="00562A33" w:rsidRPr="000B175B" w:rsidRDefault="00562A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CCAFBE" w14:textId="77777777" w:rsidR="00562A33" w:rsidRPr="00FC68B7" w:rsidRDefault="00562A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D1FAA0" w14:textId="77777777" w:rsidR="00562A33" w:rsidRDefault="00562A33"/>
  </w:footnote>
  <w:footnote w:id="2">
    <w:p w14:paraId="7E3FCF51" w14:textId="4A48CBBA" w:rsidR="00CD3905" w:rsidRPr="0079040D" w:rsidRDefault="00CD3905" w:rsidP="00CD3905">
      <w:pPr>
        <w:pStyle w:val="Notedebasdepage"/>
        <w:widowControl w:val="0"/>
        <w:tabs>
          <w:tab w:val="clear" w:pos="1021"/>
          <w:tab w:val="right" w:pos="1020"/>
        </w:tabs>
        <w:rPr>
          <w:szCs w:val="24"/>
          <w:lang w:val="de-DE"/>
        </w:rPr>
      </w:pPr>
      <w:r w:rsidRPr="002600EF">
        <w:rPr>
          <w:szCs w:val="24"/>
          <w:lang w:val="de-DE"/>
        </w:rPr>
        <w:tab/>
      </w:r>
      <w:r>
        <w:rPr>
          <w:rStyle w:val="Appelnotedebasdep"/>
          <w:b/>
          <w:szCs w:val="24"/>
        </w:rPr>
        <w:footnoteRef/>
      </w:r>
      <w:r w:rsidRPr="0079040D">
        <w:rPr>
          <w:szCs w:val="24"/>
          <w:lang w:val="de-DE"/>
        </w:rPr>
        <w:tab/>
      </w:r>
      <w:r w:rsidRPr="00AF7E32">
        <w:rPr>
          <w:szCs w:val="24"/>
          <w:lang w:val="de-DE"/>
        </w:rPr>
        <w:t>Von der UNECE in Englisch, Französisch und Russisch unter dem Aktenzeichen ECE/ADN/</w:t>
      </w:r>
      <w:r w:rsidR="00257569">
        <w:rPr>
          <w:szCs w:val="24"/>
          <w:lang w:val="de-DE"/>
        </w:rPr>
        <w:t>55</w:t>
      </w:r>
      <w:r w:rsidRPr="00AF7E32">
        <w:rPr>
          <w:szCs w:val="24"/>
          <w:lang w:val="de-DE"/>
        </w:rPr>
        <w:t xml:space="preserve"> und </w:t>
      </w:r>
      <w:r w:rsidR="00257569">
        <w:rPr>
          <w:szCs w:val="24"/>
          <w:lang w:val="de-DE"/>
        </w:rPr>
        <w:t>55</w:t>
      </w:r>
      <w:r w:rsidRPr="00AF7E32">
        <w:rPr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C02D" w14:textId="1D518E1C" w:rsidR="0022259B" w:rsidRPr="00AF7E32" w:rsidRDefault="0022259B" w:rsidP="0022259B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257569">
      <w:rPr>
        <w:rFonts w:ascii="Arial" w:hAnsi="Arial"/>
        <w:noProof/>
        <w:sz w:val="16"/>
        <w:szCs w:val="24"/>
        <w:lang w:val="de-DE" w:eastAsia="fr-FR"/>
      </w:rPr>
      <w:t>55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257569">
      <w:rPr>
        <w:rFonts w:ascii="Arial" w:hAnsi="Arial"/>
        <w:noProof/>
        <w:sz w:val="16"/>
        <w:szCs w:val="24"/>
        <w:lang w:val="de-DE" w:eastAsia="fr-FR"/>
      </w:rPr>
      <w:t>55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4AD768D2" w14:textId="77777777" w:rsidR="005945C5" w:rsidRPr="0022259B" w:rsidRDefault="0022259B" w:rsidP="0022259B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6F34C6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EE28" w14:textId="3813745C" w:rsidR="009903BE" w:rsidRPr="00AF7E32" w:rsidRDefault="009903BE" w:rsidP="009903BE">
    <w:pPr>
      <w:spacing w:line="240" w:lineRule="auto"/>
      <w:jc w:val="right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 w:rsidR="00257569">
      <w:rPr>
        <w:rFonts w:ascii="Arial" w:hAnsi="Arial"/>
        <w:noProof/>
        <w:sz w:val="16"/>
        <w:szCs w:val="24"/>
        <w:lang w:val="de-DE" w:eastAsia="fr-FR"/>
      </w:rPr>
      <w:t>55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 w:rsidR="00257569">
      <w:rPr>
        <w:rFonts w:ascii="Arial" w:hAnsi="Arial"/>
        <w:noProof/>
        <w:sz w:val="16"/>
        <w:szCs w:val="24"/>
        <w:lang w:val="de-DE" w:eastAsia="fr-FR"/>
      </w:rPr>
      <w:t>55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14:paraId="434B6B71" w14:textId="77777777" w:rsidR="009903BE" w:rsidRPr="0022259B" w:rsidRDefault="009903BE" w:rsidP="009903BE">
    <w:pPr>
      <w:spacing w:line="240" w:lineRule="auto"/>
      <w:jc w:val="right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6F34C6">
      <w:rPr>
        <w:rFonts w:ascii="Arial" w:hAnsi="Arial"/>
        <w:noProof/>
        <w:sz w:val="16"/>
        <w:szCs w:val="24"/>
        <w:lang w:eastAsia="fr-FR"/>
      </w:rPr>
      <w:t>3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D"/>
    <w:rsid w:val="000101D7"/>
    <w:rsid w:val="00011FC6"/>
    <w:rsid w:val="00032634"/>
    <w:rsid w:val="00046B1F"/>
    <w:rsid w:val="00050F6B"/>
    <w:rsid w:val="00057E97"/>
    <w:rsid w:val="00064476"/>
    <w:rsid w:val="00072C8C"/>
    <w:rsid w:val="000733B5"/>
    <w:rsid w:val="000754A0"/>
    <w:rsid w:val="00080933"/>
    <w:rsid w:val="00081815"/>
    <w:rsid w:val="000931C0"/>
    <w:rsid w:val="000B0595"/>
    <w:rsid w:val="000B175B"/>
    <w:rsid w:val="000B3A0F"/>
    <w:rsid w:val="000B4EF7"/>
    <w:rsid w:val="000C0F97"/>
    <w:rsid w:val="000C2643"/>
    <w:rsid w:val="000C2C03"/>
    <w:rsid w:val="000C2D2E"/>
    <w:rsid w:val="000D1CB3"/>
    <w:rsid w:val="000D7BE0"/>
    <w:rsid w:val="000E0415"/>
    <w:rsid w:val="000E212E"/>
    <w:rsid w:val="000F34CB"/>
    <w:rsid w:val="000F66A2"/>
    <w:rsid w:val="00101032"/>
    <w:rsid w:val="00101452"/>
    <w:rsid w:val="001103AA"/>
    <w:rsid w:val="00116240"/>
    <w:rsid w:val="0011666B"/>
    <w:rsid w:val="00131857"/>
    <w:rsid w:val="00144A14"/>
    <w:rsid w:val="0015193A"/>
    <w:rsid w:val="00153A8F"/>
    <w:rsid w:val="00154B53"/>
    <w:rsid w:val="00160020"/>
    <w:rsid w:val="0016596B"/>
    <w:rsid w:val="00165F3A"/>
    <w:rsid w:val="00193BB3"/>
    <w:rsid w:val="001A747A"/>
    <w:rsid w:val="001B4B04"/>
    <w:rsid w:val="001C13D1"/>
    <w:rsid w:val="001C5710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1F2E67"/>
    <w:rsid w:val="001F312C"/>
    <w:rsid w:val="00202DA8"/>
    <w:rsid w:val="00211562"/>
    <w:rsid w:val="00211E0B"/>
    <w:rsid w:val="00212A53"/>
    <w:rsid w:val="0022259B"/>
    <w:rsid w:val="002320F3"/>
    <w:rsid w:val="0024772E"/>
    <w:rsid w:val="002528BB"/>
    <w:rsid w:val="00257569"/>
    <w:rsid w:val="00262CFF"/>
    <w:rsid w:val="00267F5F"/>
    <w:rsid w:val="00274936"/>
    <w:rsid w:val="002765DA"/>
    <w:rsid w:val="00277A2F"/>
    <w:rsid w:val="002848A3"/>
    <w:rsid w:val="00286B4D"/>
    <w:rsid w:val="002B18EA"/>
    <w:rsid w:val="002B5268"/>
    <w:rsid w:val="002C593E"/>
    <w:rsid w:val="002D4643"/>
    <w:rsid w:val="002E3F0E"/>
    <w:rsid w:val="002F175C"/>
    <w:rsid w:val="00302E18"/>
    <w:rsid w:val="0031055D"/>
    <w:rsid w:val="003229D8"/>
    <w:rsid w:val="00333F56"/>
    <w:rsid w:val="00336880"/>
    <w:rsid w:val="0034717F"/>
    <w:rsid w:val="00352709"/>
    <w:rsid w:val="003619B5"/>
    <w:rsid w:val="00365763"/>
    <w:rsid w:val="00371178"/>
    <w:rsid w:val="003732F1"/>
    <w:rsid w:val="0037708F"/>
    <w:rsid w:val="003776DA"/>
    <w:rsid w:val="0038152F"/>
    <w:rsid w:val="00382D20"/>
    <w:rsid w:val="00392E47"/>
    <w:rsid w:val="003A6810"/>
    <w:rsid w:val="003C2CC4"/>
    <w:rsid w:val="003C7E1C"/>
    <w:rsid w:val="003D4B23"/>
    <w:rsid w:val="00402A95"/>
    <w:rsid w:val="00410C89"/>
    <w:rsid w:val="00422E03"/>
    <w:rsid w:val="00426B9B"/>
    <w:rsid w:val="004275CF"/>
    <w:rsid w:val="004325CB"/>
    <w:rsid w:val="00442A83"/>
    <w:rsid w:val="00447C6C"/>
    <w:rsid w:val="00452AD5"/>
    <w:rsid w:val="0045495B"/>
    <w:rsid w:val="004663A4"/>
    <w:rsid w:val="004804AB"/>
    <w:rsid w:val="00481BB2"/>
    <w:rsid w:val="0048397A"/>
    <w:rsid w:val="004844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15474"/>
    <w:rsid w:val="0052136D"/>
    <w:rsid w:val="0052775E"/>
    <w:rsid w:val="005420F2"/>
    <w:rsid w:val="00542362"/>
    <w:rsid w:val="00542ACB"/>
    <w:rsid w:val="00550B28"/>
    <w:rsid w:val="005628B6"/>
    <w:rsid w:val="00562A33"/>
    <w:rsid w:val="005646CF"/>
    <w:rsid w:val="00585BD6"/>
    <w:rsid w:val="005879AE"/>
    <w:rsid w:val="005941EC"/>
    <w:rsid w:val="005945C5"/>
    <w:rsid w:val="0059724D"/>
    <w:rsid w:val="005B3DB3"/>
    <w:rsid w:val="005B4E13"/>
    <w:rsid w:val="005C342F"/>
    <w:rsid w:val="005D0185"/>
    <w:rsid w:val="005D2B59"/>
    <w:rsid w:val="005E6B41"/>
    <w:rsid w:val="005F7B75"/>
    <w:rsid w:val="006001EE"/>
    <w:rsid w:val="00605042"/>
    <w:rsid w:val="00611FC4"/>
    <w:rsid w:val="006176FB"/>
    <w:rsid w:val="0062582E"/>
    <w:rsid w:val="006354F5"/>
    <w:rsid w:val="00640B26"/>
    <w:rsid w:val="00652D0A"/>
    <w:rsid w:val="00656B4D"/>
    <w:rsid w:val="00662BB6"/>
    <w:rsid w:val="00671C04"/>
    <w:rsid w:val="00676606"/>
    <w:rsid w:val="00684C21"/>
    <w:rsid w:val="006A2530"/>
    <w:rsid w:val="006B41B0"/>
    <w:rsid w:val="006C3589"/>
    <w:rsid w:val="006C61FF"/>
    <w:rsid w:val="006D37AF"/>
    <w:rsid w:val="006D44E6"/>
    <w:rsid w:val="006D51D0"/>
    <w:rsid w:val="006D5FB9"/>
    <w:rsid w:val="006E022B"/>
    <w:rsid w:val="006E564B"/>
    <w:rsid w:val="006E7191"/>
    <w:rsid w:val="006F04AD"/>
    <w:rsid w:val="006F34C6"/>
    <w:rsid w:val="00703577"/>
    <w:rsid w:val="00705894"/>
    <w:rsid w:val="007059C7"/>
    <w:rsid w:val="00716E04"/>
    <w:rsid w:val="00723715"/>
    <w:rsid w:val="00723F58"/>
    <w:rsid w:val="0072632A"/>
    <w:rsid w:val="007327D5"/>
    <w:rsid w:val="00732E2C"/>
    <w:rsid w:val="007534B7"/>
    <w:rsid w:val="00757D7B"/>
    <w:rsid w:val="00761B21"/>
    <w:rsid w:val="007629C8"/>
    <w:rsid w:val="0077047D"/>
    <w:rsid w:val="00782556"/>
    <w:rsid w:val="007B2BC0"/>
    <w:rsid w:val="007B6BA5"/>
    <w:rsid w:val="007B787B"/>
    <w:rsid w:val="007C3390"/>
    <w:rsid w:val="007C4F4B"/>
    <w:rsid w:val="007E01E9"/>
    <w:rsid w:val="007E3860"/>
    <w:rsid w:val="007E63F3"/>
    <w:rsid w:val="007E6A50"/>
    <w:rsid w:val="007F6611"/>
    <w:rsid w:val="00811920"/>
    <w:rsid w:val="00813765"/>
    <w:rsid w:val="00813CAF"/>
    <w:rsid w:val="00815AD0"/>
    <w:rsid w:val="008242D7"/>
    <w:rsid w:val="008257B1"/>
    <w:rsid w:val="008310B5"/>
    <w:rsid w:val="00832334"/>
    <w:rsid w:val="00843767"/>
    <w:rsid w:val="00855D13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4AF2"/>
    <w:rsid w:val="008E0678"/>
    <w:rsid w:val="008F31D2"/>
    <w:rsid w:val="0090163B"/>
    <w:rsid w:val="009129E8"/>
    <w:rsid w:val="009223CA"/>
    <w:rsid w:val="0092585A"/>
    <w:rsid w:val="00940F93"/>
    <w:rsid w:val="00962418"/>
    <w:rsid w:val="00970436"/>
    <w:rsid w:val="009760F3"/>
    <w:rsid w:val="00976CFB"/>
    <w:rsid w:val="009903BE"/>
    <w:rsid w:val="009A0830"/>
    <w:rsid w:val="009A0E8D"/>
    <w:rsid w:val="009A0F73"/>
    <w:rsid w:val="009B26E7"/>
    <w:rsid w:val="009D7865"/>
    <w:rsid w:val="009F0D8D"/>
    <w:rsid w:val="009F1089"/>
    <w:rsid w:val="009F25C1"/>
    <w:rsid w:val="009F64CB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52485"/>
    <w:rsid w:val="00A66EE9"/>
    <w:rsid w:val="00A72F22"/>
    <w:rsid w:val="00A7360F"/>
    <w:rsid w:val="00A748A6"/>
    <w:rsid w:val="00A769F4"/>
    <w:rsid w:val="00A776B4"/>
    <w:rsid w:val="00A91444"/>
    <w:rsid w:val="00A915F3"/>
    <w:rsid w:val="00A94361"/>
    <w:rsid w:val="00AA293C"/>
    <w:rsid w:val="00AA7E5F"/>
    <w:rsid w:val="00AB3066"/>
    <w:rsid w:val="00AD3424"/>
    <w:rsid w:val="00AD7F1C"/>
    <w:rsid w:val="00AE1644"/>
    <w:rsid w:val="00AE6918"/>
    <w:rsid w:val="00B01E2C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91ABB"/>
    <w:rsid w:val="00B93B46"/>
    <w:rsid w:val="00BA2A9E"/>
    <w:rsid w:val="00BC15E4"/>
    <w:rsid w:val="00BC3FA0"/>
    <w:rsid w:val="00BC74E9"/>
    <w:rsid w:val="00BF68A8"/>
    <w:rsid w:val="00C11A03"/>
    <w:rsid w:val="00C22C0C"/>
    <w:rsid w:val="00C43C17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D3905"/>
    <w:rsid w:val="00CD4AA6"/>
    <w:rsid w:val="00CD4CA5"/>
    <w:rsid w:val="00CD7CA7"/>
    <w:rsid w:val="00CE2491"/>
    <w:rsid w:val="00CE4A8F"/>
    <w:rsid w:val="00D14451"/>
    <w:rsid w:val="00D2031B"/>
    <w:rsid w:val="00D20C1B"/>
    <w:rsid w:val="00D248B6"/>
    <w:rsid w:val="00D25FE2"/>
    <w:rsid w:val="00D36D19"/>
    <w:rsid w:val="00D43252"/>
    <w:rsid w:val="00D47EEA"/>
    <w:rsid w:val="00D5686C"/>
    <w:rsid w:val="00D63847"/>
    <w:rsid w:val="00D710AD"/>
    <w:rsid w:val="00D71284"/>
    <w:rsid w:val="00D773DF"/>
    <w:rsid w:val="00D95303"/>
    <w:rsid w:val="00D978C6"/>
    <w:rsid w:val="00DA3C1C"/>
    <w:rsid w:val="00DA5F93"/>
    <w:rsid w:val="00DB1DAB"/>
    <w:rsid w:val="00DB31C2"/>
    <w:rsid w:val="00DE0749"/>
    <w:rsid w:val="00E046DF"/>
    <w:rsid w:val="00E138F3"/>
    <w:rsid w:val="00E13AA6"/>
    <w:rsid w:val="00E27346"/>
    <w:rsid w:val="00E71BC8"/>
    <w:rsid w:val="00E7260F"/>
    <w:rsid w:val="00E73F5D"/>
    <w:rsid w:val="00E74E69"/>
    <w:rsid w:val="00E77E4E"/>
    <w:rsid w:val="00E84C42"/>
    <w:rsid w:val="00E96630"/>
    <w:rsid w:val="00E97864"/>
    <w:rsid w:val="00EC6F18"/>
    <w:rsid w:val="00ED1BDC"/>
    <w:rsid w:val="00ED6B04"/>
    <w:rsid w:val="00ED7A2A"/>
    <w:rsid w:val="00EE79AD"/>
    <w:rsid w:val="00EF1150"/>
    <w:rsid w:val="00EF1D7F"/>
    <w:rsid w:val="00F13C2F"/>
    <w:rsid w:val="00F246EF"/>
    <w:rsid w:val="00F31E5F"/>
    <w:rsid w:val="00F33248"/>
    <w:rsid w:val="00F47CEA"/>
    <w:rsid w:val="00F54028"/>
    <w:rsid w:val="00F6100A"/>
    <w:rsid w:val="00F774A8"/>
    <w:rsid w:val="00F93657"/>
    <w:rsid w:val="00F93781"/>
    <w:rsid w:val="00F970F8"/>
    <w:rsid w:val="00FA443C"/>
    <w:rsid w:val="00FA51F7"/>
    <w:rsid w:val="00FA6523"/>
    <w:rsid w:val="00FB1B58"/>
    <w:rsid w:val="00FB613B"/>
    <w:rsid w:val="00FC68B7"/>
    <w:rsid w:val="00FC777B"/>
    <w:rsid w:val="00FD3F98"/>
    <w:rsid w:val="00FE106A"/>
    <w:rsid w:val="00FE578D"/>
    <w:rsid w:val="00FE584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6B645"/>
  <w15:docId w15:val="{70C7DDAA-BB62-480F-ACC0-1A88B2C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4C0276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4C0276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4C0276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4C0276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Textedebulles">
    <w:name w:val="Balloon Text"/>
    <w:basedOn w:val="Normal"/>
    <w:link w:val="TextedebullesC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7F3-B244-44F4-9D35-6701F3DD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Martine Moench</cp:lastModifiedBy>
  <cp:revision>4</cp:revision>
  <cp:lastPrinted>2018-07-13T06:23:00Z</cp:lastPrinted>
  <dcterms:created xsi:type="dcterms:W3CDTF">2020-07-07T12:20:00Z</dcterms:created>
  <dcterms:modified xsi:type="dcterms:W3CDTF">2020-07-07T12:26:00Z</dcterms:modified>
</cp:coreProperties>
</file>