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DF6055" w:rsidRPr="00ED773C" w14:paraId="2F635E2B" w14:textId="77777777" w:rsidTr="000216CC">
        <w:trPr>
          <w:trHeight w:val="851"/>
        </w:trPr>
        <w:tc>
          <w:tcPr>
            <w:tcW w:w="1259" w:type="dxa"/>
            <w:tcBorders>
              <w:top w:val="nil"/>
              <w:left w:val="nil"/>
              <w:bottom w:val="single" w:sz="4" w:space="0" w:color="auto"/>
              <w:right w:val="nil"/>
            </w:tcBorders>
            <w:shd w:val="clear" w:color="auto" w:fill="auto"/>
          </w:tcPr>
          <w:p w14:paraId="17D9D754" w14:textId="77777777" w:rsidR="003003A7" w:rsidRPr="00DF6055" w:rsidRDefault="003003A7" w:rsidP="003003A7">
            <w:pPr>
              <w:spacing w:after="80" w:line="340" w:lineRule="exact"/>
            </w:pPr>
          </w:p>
        </w:tc>
        <w:tc>
          <w:tcPr>
            <w:tcW w:w="2236" w:type="dxa"/>
            <w:tcBorders>
              <w:top w:val="nil"/>
              <w:left w:val="nil"/>
              <w:bottom w:val="single" w:sz="4" w:space="0" w:color="auto"/>
              <w:right w:val="nil"/>
            </w:tcBorders>
            <w:shd w:val="clear" w:color="auto" w:fill="auto"/>
            <w:vAlign w:val="bottom"/>
          </w:tcPr>
          <w:p w14:paraId="1B268031" w14:textId="7806578A" w:rsidR="003003A7" w:rsidRPr="00E16F5C" w:rsidRDefault="003003A7" w:rsidP="003003A7">
            <w:pPr>
              <w:spacing w:after="80" w:line="340" w:lineRule="exact"/>
              <w:rPr>
                <w:b/>
                <w:sz w:val="28"/>
                <w:szCs w:val="28"/>
              </w:rPr>
            </w:pPr>
          </w:p>
        </w:tc>
        <w:tc>
          <w:tcPr>
            <w:tcW w:w="6144" w:type="dxa"/>
            <w:tcBorders>
              <w:top w:val="nil"/>
              <w:left w:val="nil"/>
              <w:bottom w:val="single" w:sz="4" w:space="0" w:color="auto"/>
              <w:right w:val="nil"/>
            </w:tcBorders>
            <w:shd w:val="clear" w:color="auto" w:fill="auto"/>
            <w:vAlign w:val="bottom"/>
          </w:tcPr>
          <w:p w14:paraId="2F10A700" w14:textId="515951F1" w:rsidR="003003A7" w:rsidRPr="00DF6055" w:rsidRDefault="003003A7" w:rsidP="003003A7">
            <w:pPr>
              <w:jc w:val="right"/>
              <w:rPr>
                <w:b/>
                <w:sz w:val="40"/>
                <w:szCs w:val="40"/>
                <w:lang w:val="fr-FR"/>
              </w:rPr>
            </w:pPr>
            <w:r w:rsidRPr="00DF6055">
              <w:rPr>
                <w:b/>
                <w:sz w:val="40"/>
                <w:szCs w:val="40"/>
                <w:lang w:val="fr-FR"/>
              </w:rPr>
              <w:t>UN/SCE</w:t>
            </w:r>
            <w:r w:rsidR="009E7EDE" w:rsidRPr="00DF6055">
              <w:rPr>
                <w:b/>
                <w:sz w:val="40"/>
                <w:szCs w:val="40"/>
                <w:lang w:val="fr-FR"/>
              </w:rPr>
              <w:t>TDG</w:t>
            </w:r>
            <w:r w:rsidRPr="00DF6055">
              <w:rPr>
                <w:b/>
                <w:sz w:val="40"/>
                <w:szCs w:val="40"/>
                <w:lang w:val="fr-FR"/>
              </w:rPr>
              <w:t>/</w:t>
            </w:r>
            <w:r w:rsidR="009E7EDE" w:rsidRPr="00DF6055">
              <w:rPr>
                <w:b/>
                <w:sz w:val="40"/>
                <w:szCs w:val="40"/>
                <w:lang w:val="fr-FR"/>
              </w:rPr>
              <w:t>57</w:t>
            </w:r>
            <w:r w:rsidRPr="00DF6055">
              <w:rPr>
                <w:b/>
                <w:sz w:val="40"/>
                <w:szCs w:val="40"/>
                <w:lang w:val="fr-FR"/>
              </w:rPr>
              <w:t>/INF.</w:t>
            </w:r>
            <w:r w:rsidR="00CE012D">
              <w:rPr>
                <w:b/>
                <w:sz w:val="40"/>
                <w:szCs w:val="40"/>
                <w:lang w:val="fr-FR"/>
              </w:rPr>
              <w:t>56</w:t>
            </w:r>
          </w:p>
          <w:p w14:paraId="6A44E22F" w14:textId="17A93EFF" w:rsidR="009E7EDE" w:rsidRPr="00DF6055" w:rsidRDefault="009E7EDE" w:rsidP="003003A7">
            <w:pPr>
              <w:jc w:val="right"/>
              <w:rPr>
                <w:b/>
                <w:sz w:val="40"/>
                <w:szCs w:val="40"/>
                <w:lang w:val="fr-FR"/>
              </w:rPr>
            </w:pPr>
            <w:r w:rsidRPr="00DF6055">
              <w:rPr>
                <w:b/>
                <w:sz w:val="40"/>
                <w:szCs w:val="40"/>
                <w:lang w:val="fr-FR"/>
              </w:rPr>
              <w:t>UN/SCEGHS/39/INF.</w:t>
            </w:r>
            <w:r w:rsidR="00CE012D">
              <w:rPr>
                <w:b/>
                <w:sz w:val="40"/>
                <w:szCs w:val="40"/>
                <w:lang w:val="fr-FR"/>
              </w:rPr>
              <w:t>30</w:t>
            </w:r>
          </w:p>
          <w:p w14:paraId="2CE3849E" w14:textId="77777777" w:rsidR="003003A7" w:rsidRPr="00DF6055" w:rsidRDefault="003003A7" w:rsidP="003003A7">
            <w:pPr>
              <w:jc w:val="right"/>
              <w:rPr>
                <w:lang w:val="fr-FR"/>
              </w:rPr>
            </w:pPr>
          </w:p>
        </w:tc>
      </w:tr>
    </w:tbl>
    <w:tbl>
      <w:tblPr>
        <w:tblW w:w="9645" w:type="dxa"/>
        <w:tblInd w:w="108" w:type="dxa"/>
        <w:tblLayout w:type="fixed"/>
        <w:tblLook w:val="04A0" w:firstRow="1" w:lastRow="0" w:firstColumn="1" w:lastColumn="0" w:noHBand="0" w:noVBand="1"/>
      </w:tblPr>
      <w:tblGrid>
        <w:gridCol w:w="4652"/>
        <w:gridCol w:w="4993"/>
      </w:tblGrid>
      <w:tr w:rsidR="00DF6055" w:rsidRPr="00DF6055" w14:paraId="45A25DD4" w14:textId="77777777" w:rsidTr="003C5A5F">
        <w:tc>
          <w:tcPr>
            <w:tcW w:w="9645" w:type="dxa"/>
            <w:gridSpan w:val="2"/>
            <w:tcMar>
              <w:top w:w="142" w:type="dxa"/>
              <w:left w:w="108" w:type="dxa"/>
              <w:bottom w:w="142" w:type="dxa"/>
              <w:right w:w="108" w:type="dxa"/>
            </w:tcMar>
          </w:tcPr>
          <w:p w14:paraId="15CBC71D" w14:textId="676485D7" w:rsidR="0039115F" w:rsidRPr="00DF6055" w:rsidRDefault="0039115F" w:rsidP="00972B45">
            <w:pPr>
              <w:tabs>
                <w:tab w:val="right" w:pos="9214"/>
              </w:tabs>
            </w:pPr>
            <w:r w:rsidRPr="00DF6055">
              <w:rPr>
                <w:b/>
                <w:sz w:val="24"/>
                <w:szCs w:val="24"/>
              </w:rPr>
              <w:t>Committee of Experts on the Transport of Dangerous Goods</w:t>
            </w:r>
            <w:r w:rsidRPr="00DF6055">
              <w:rPr>
                <w:b/>
                <w:sz w:val="24"/>
                <w:szCs w:val="24"/>
              </w:rPr>
              <w:tab/>
            </w:r>
            <w:r w:rsidRPr="00DF6055">
              <w:rPr>
                <w:b/>
                <w:sz w:val="24"/>
                <w:szCs w:val="24"/>
              </w:rPr>
              <w:br/>
              <w:t>and on the Globally Harmonized System of Classification</w:t>
            </w:r>
            <w:r w:rsidRPr="00DF6055">
              <w:rPr>
                <w:b/>
                <w:sz w:val="24"/>
                <w:szCs w:val="24"/>
              </w:rPr>
              <w:br/>
              <w:t>and Labelling of Chemicals</w:t>
            </w:r>
            <w:r w:rsidRPr="00DF6055">
              <w:rPr>
                <w:b/>
              </w:rPr>
              <w:tab/>
            </w:r>
            <w:r w:rsidR="00CE012D">
              <w:rPr>
                <w:b/>
              </w:rPr>
              <w:t>1 December</w:t>
            </w:r>
            <w:r w:rsidR="00E502D7">
              <w:rPr>
                <w:b/>
              </w:rPr>
              <w:t xml:space="preserve"> </w:t>
            </w:r>
            <w:r w:rsidRPr="00DF6055">
              <w:rPr>
                <w:b/>
              </w:rPr>
              <w:t>2020</w:t>
            </w:r>
          </w:p>
        </w:tc>
      </w:tr>
      <w:tr w:rsidR="00DF6055" w:rsidRPr="00DF6055" w14:paraId="0DECC91D" w14:textId="77777777" w:rsidTr="003C5A5F">
        <w:tc>
          <w:tcPr>
            <w:tcW w:w="4652" w:type="dxa"/>
            <w:tcMar>
              <w:top w:w="57" w:type="dxa"/>
              <w:left w:w="108" w:type="dxa"/>
              <w:bottom w:w="0" w:type="dxa"/>
              <w:right w:w="108" w:type="dxa"/>
            </w:tcMar>
            <w:vAlign w:val="center"/>
          </w:tcPr>
          <w:p w14:paraId="00F673FF" w14:textId="77777777" w:rsidR="0039115F" w:rsidRPr="00DF6055" w:rsidRDefault="0039115F" w:rsidP="003C5A5F">
            <w:pPr>
              <w:spacing w:before="120"/>
              <w:rPr>
                <w:b/>
              </w:rPr>
            </w:pPr>
            <w:r w:rsidRPr="00DF6055">
              <w:rPr>
                <w:b/>
              </w:rPr>
              <w:t xml:space="preserve">Sub-Committee of Experts on the </w:t>
            </w:r>
            <w:r w:rsidRPr="00DF6055">
              <w:rPr>
                <w:b/>
              </w:rPr>
              <w:br/>
              <w:t xml:space="preserve">Transport of Dangerous Goods </w:t>
            </w:r>
          </w:p>
        </w:tc>
        <w:tc>
          <w:tcPr>
            <w:tcW w:w="4993" w:type="dxa"/>
            <w:tcMar>
              <w:top w:w="57" w:type="dxa"/>
              <w:left w:w="108" w:type="dxa"/>
              <w:bottom w:w="0" w:type="dxa"/>
              <w:right w:w="108" w:type="dxa"/>
            </w:tcMar>
            <w:vAlign w:val="center"/>
          </w:tcPr>
          <w:p w14:paraId="09CCB949" w14:textId="77777777" w:rsidR="0039115F" w:rsidRPr="00DF6055" w:rsidRDefault="0039115F" w:rsidP="003C5A5F">
            <w:pPr>
              <w:spacing w:before="120"/>
              <w:rPr>
                <w:b/>
              </w:rPr>
            </w:pPr>
            <w:r w:rsidRPr="00DF6055">
              <w:rPr>
                <w:b/>
              </w:rPr>
              <w:t>Sub-Committee of Experts on the Globally Harmonized System of Classification and Labelling of Chemicals</w:t>
            </w:r>
          </w:p>
        </w:tc>
      </w:tr>
      <w:tr w:rsidR="00DF6055" w:rsidRPr="00DF6055" w14:paraId="5787C3D9" w14:textId="77777777" w:rsidTr="003C5A5F">
        <w:tc>
          <w:tcPr>
            <w:tcW w:w="4652" w:type="dxa"/>
            <w:tcMar>
              <w:top w:w="57" w:type="dxa"/>
              <w:left w:w="108" w:type="dxa"/>
              <w:bottom w:w="0" w:type="dxa"/>
              <w:right w:w="108" w:type="dxa"/>
            </w:tcMar>
          </w:tcPr>
          <w:p w14:paraId="4FEC273A" w14:textId="77777777" w:rsidR="0039115F" w:rsidRPr="00E502D7" w:rsidRDefault="0039115F" w:rsidP="003C5A5F">
            <w:pPr>
              <w:spacing w:before="120"/>
              <w:ind w:left="34" w:hanging="34"/>
              <w:rPr>
                <w:b/>
              </w:rPr>
            </w:pPr>
            <w:r w:rsidRPr="00E502D7">
              <w:rPr>
                <w:b/>
              </w:rPr>
              <w:t>Fifty-seventh session</w:t>
            </w:r>
          </w:p>
        </w:tc>
        <w:tc>
          <w:tcPr>
            <w:tcW w:w="4993" w:type="dxa"/>
            <w:tcMar>
              <w:top w:w="57" w:type="dxa"/>
              <w:left w:w="108" w:type="dxa"/>
              <w:bottom w:w="0" w:type="dxa"/>
              <w:right w:w="108" w:type="dxa"/>
            </w:tcMar>
          </w:tcPr>
          <w:p w14:paraId="31A9BB6B" w14:textId="77777777" w:rsidR="0039115F" w:rsidRPr="00DF6055" w:rsidRDefault="0039115F" w:rsidP="003C5A5F">
            <w:pPr>
              <w:spacing w:before="120"/>
              <w:ind w:left="34" w:hanging="34"/>
              <w:rPr>
                <w:b/>
              </w:rPr>
            </w:pPr>
            <w:r w:rsidRPr="00DF6055">
              <w:rPr>
                <w:b/>
              </w:rPr>
              <w:t xml:space="preserve">Thirty-ninth session </w:t>
            </w:r>
          </w:p>
        </w:tc>
      </w:tr>
      <w:tr w:rsidR="00DF6055" w:rsidRPr="00DF6055" w14:paraId="34779490" w14:textId="77777777" w:rsidTr="003C5A5F">
        <w:tc>
          <w:tcPr>
            <w:tcW w:w="4652" w:type="dxa"/>
            <w:tcMar>
              <w:top w:w="28" w:type="dxa"/>
              <w:left w:w="108" w:type="dxa"/>
              <w:bottom w:w="0" w:type="dxa"/>
              <w:right w:w="108" w:type="dxa"/>
            </w:tcMar>
          </w:tcPr>
          <w:p w14:paraId="0E713CB8" w14:textId="38B11C79" w:rsidR="0039115F" w:rsidRPr="00E502D7" w:rsidRDefault="0039115F" w:rsidP="0039115F">
            <w:r w:rsidRPr="00E502D7">
              <w:t xml:space="preserve">Geneva, </w:t>
            </w:r>
            <w:r w:rsidR="00E502D7" w:rsidRPr="00E502D7">
              <w:t>30 November-8 December 2020</w:t>
            </w:r>
          </w:p>
          <w:p w14:paraId="2D0683FC" w14:textId="1254CA34" w:rsidR="007E1BE6" w:rsidRPr="00E502D7" w:rsidRDefault="007E1BE6" w:rsidP="007E1BE6">
            <w:pPr>
              <w:ind w:right="57"/>
              <w:jc w:val="both"/>
            </w:pPr>
            <w:r w:rsidRPr="00E502D7">
              <w:t>Item 1</w:t>
            </w:r>
            <w:r w:rsidR="002A3C44" w:rsidRPr="00E502D7">
              <w:t>1</w:t>
            </w:r>
            <w:r w:rsidRPr="00E502D7">
              <w:t xml:space="preserve"> (a) of the provisional agenda</w:t>
            </w:r>
          </w:p>
          <w:p w14:paraId="26868EA5" w14:textId="6E021656" w:rsidR="0039115F" w:rsidRPr="00E502D7" w:rsidRDefault="007E1BE6" w:rsidP="007E1BE6">
            <w:pPr>
              <w:rPr>
                <w:b/>
                <w:bCs/>
              </w:rPr>
            </w:pPr>
            <w:r w:rsidRPr="00E502D7">
              <w:rPr>
                <w:b/>
              </w:rPr>
              <w:t xml:space="preserve">Issues relating to the Globally Harmonized System </w:t>
            </w:r>
            <w:r w:rsidRPr="00E502D7">
              <w:rPr>
                <w:b/>
              </w:rPr>
              <w:br/>
              <w:t xml:space="preserve">of Classification and Labelling of Chemicals: </w:t>
            </w:r>
            <w:r w:rsidRPr="00E502D7">
              <w:rPr>
                <w:b/>
              </w:rPr>
              <w:br/>
              <w:t>review of Chapter 2.1</w:t>
            </w:r>
          </w:p>
        </w:tc>
        <w:tc>
          <w:tcPr>
            <w:tcW w:w="4993" w:type="dxa"/>
            <w:tcMar>
              <w:top w:w="28" w:type="dxa"/>
              <w:left w:w="108" w:type="dxa"/>
              <w:bottom w:w="0" w:type="dxa"/>
              <w:right w:w="108" w:type="dxa"/>
            </w:tcMar>
          </w:tcPr>
          <w:p w14:paraId="131B1B06" w14:textId="4A9CE3C1" w:rsidR="0039115F" w:rsidRPr="00E502D7" w:rsidRDefault="0039115F" w:rsidP="0039115F">
            <w:r w:rsidRPr="00E502D7">
              <w:t xml:space="preserve">Geneva, </w:t>
            </w:r>
            <w:r w:rsidR="00E502D7" w:rsidRPr="00E502D7">
              <w:t>9-11</w:t>
            </w:r>
            <w:r w:rsidRPr="00E502D7">
              <w:t xml:space="preserve"> </w:t>
            </w:r>
            <w:r w:rsidR="00E502D7" w:rsidRPr="00E502D7">
              <w:t xml:space="preserve">December </w:t>
            </w:r>
            <w:r w:rsidRPr="00E502D7">
              <w:t>2020</w:t>
            </w:r>
          </w:p>
          <w:p w14:paraId="11E868CF" w14:textId="717B38A8" w:rsidR="0039115F" w:rsidRPr="00E502D7" w:rsidRDefault="0039115F" w:rsidP="0039115F">
            <w:r w:rsidRPr="00E502D7">
              <w:t xml:space="preserve">Item </w:t>
            </w:r>
            <w:r w:rsidR="00E502D7" w:rsidRPr="00E502D7">
              <w:t>3</w:t>
            </w:r>
            <w:r w:rsidR="009E7EDE" w:rsidRPr="00E502D7">
              <w:t xml:space="preserve"> (b)</w:t>
            </w:r>
            <w:r w:rsidRPr="00E502D7">
              <w:t xml:space="preserve"> of the provisional agenda</w:t>
            </w:r>
          </w:p>
          <w:p w14:paraId="1C098672" w14:textId="6296EDA5" w:rsidR="0039115F" w:rsidRPr="00001582" w:rsidRDefault="009E7EDE" w:rsidP="0039115F">
            <w:pPr>
              <w:rPr>
                <w:b/>
                <w:bCs/>
                <w:highlight w:val="yellow"/>
              </w:rPr>
            </w:pPr>
            <w:r w:rsidRPr="00E502D7">
              <w:rPr>
                <w:b/>
                <w:bCs/>
              </w:rPr>
              <w:t>Classification criteria and related hazard communication: review of Chapter 2.1</w:t>
            </w:r>
          </w:p>
        </w:tc>
      </w:tr>
    </w:tbl>
    <w:p w14:paraId="23261BE6" w14:textId="08F9ACD5" w:rsidR="00E2581C" w:rsidRDefault="006B4518" w:rsidP="00CE012D">
      <w:pPr>
        <w:pStyle w:val="HChG"/>
        <w:spacing w:before="120" w:after="120"/>
        <w:rPr>
          <w:lang w:val="en-GB"/>
        </w:rPr>
      </w:pPr>
      <w:r w:rsidRPr="00156FF1">
        <w:tab/>
      </w:r>
      <w:r w:rsidRPr="00156FF1">
        <w:tab/>
      </w:r>
      <w:r w:rsidR="00366A88" w:rsidRPr="00366A88">
        <w:rPr>
          <w:lang w:val="en-GB"/>
        </w:rPr>
        <w:t>C</w:t>
      </w:r>
      <w:r w:rsidR="00366A88">
        <w:rPr>
          <w:lang w:val="en-GB"/>
        </w:rPr>
        <w:t>onsolidated and</w:t>
      </w:r>
      <w:r w:rsidR="00530762" w:rsidRPr="00530762">
        <w:rPr>
          <w:lang w:val="en-GB"/>
        </w:rPr>
        <w:t xml:space="preserve"> </w:t>
      </w:r>
      <w:r w:rsidR="00530762">
        <w:rPr>
          <w:lang w:val="en-GB"/>
        </w:rPr>
        <w:t>c</w:t>
      </w:r>
      <w:r w:rsidR="00D23126">
        <w:rPr>
          <w:lang w:val="en-GB"/>
        </w:rPr>
        <w:t xml:space="preserve">lean </w:t>
      </w:r>
      <w:r w:rsidR="00366A88">
        <w:rPr>
          <w:lang w:val="en-GB"/>
        </w:rPr>
        <w:t xml:space="preserve">new GHS Chapter 2.1, as amended </w:t>
      </w:r>
      <w:r w:rsidR="008903D9">
        <w:rPr>
          <w:lang w:val="en-GB"/>
        </w:rPr>
        <w:t xml:space="preserve">and endorsed </w:t>
      </w:r>
      <w:r w:rsidR="00366A88">
        <w:rPr>
          <w:lang w:val="en-GB"/>
        </w:rPr>
        <w:t>by the Working Group on Explosives</w:t>
      </w:r>
    </w:p>
    <w:p w14:paraId="3C14861F" w14:textId="4EA5FC5F" w:rsidR="00D43FE6" w:rsidRPr="00D43FE6" w:rsidRDefault="00CE012D" w:rsidP="00CE012D">
      <w:pPr>
        <w:pStyle w:val="H1G"/>
        <w:spacing w:before="240" w:after="120"/>
      </w:pPr>
      <w:r>
        <w:tab/>
      </w:r>
      <w:r>
        <w:tab/>
      </w:r>
      <w:r w:rsidR="00D43FE6" w:rsidRPr="00D43FE6">
        <w:t>Transmitted by the expert from Sweden</w:t>
      </w:r>
    </w:p>
    <w:p w14:paraId="62FE6DA4" w14:textId="60D9EF0F" w:rsidR="00E550DC" w:rsidRDefault="00366A88" w:rsidP="00CE012D">
      <w:pPr>
        <w:pStyle w:val="SingleTxtG"/>
      </w:pPr>
      <w:r>
        <w:t>1.</w:t>
      </w:r>
      <w:r>
        <w:tab/>
        <w:t>In A</w:t>
      </w:r>
      <w:r w:rsidR="00D43FE6">
        <w:t xml:space="preserve">nnex </w:t>
      </w:r>
      <w:r>
        <w:t xml:space="preserve">I </w:t>
      </w:r>
      <w:r w:rsidR="00D43FE6">
        <w:t>to this d</w:t>
      </w:r>
      <w:r w:rsidR="00915C41">
        <w:t xml:space="preserve">ocument the </w:t>
      </w:r>
      <w:r w:rsidR="00A4428B">
        <w:t xml:space="preserve">proposed </w:t>
      </w:r>
      <w:r w:rsidR="00915C41">
        <w:t xml:space="preserve">new GHS Chapter 2.1 is presented </w:t>
      </w:r>
      <w:r w:rsidR="00D43FE6">
        <w:t>as</w:t>
      </w:r>
      <w:r w:rsidR="00530762">
        <w:t xml:space="preserve"> amended and</w:t>
      </w:r>
      <w:r w:rsidR="00D43FE6">
        <w:t xml:space="preserve"> endorsed by the Working Group on Explosives (EW</w:t>
      </w:r>
      <w:r w:rsidR="00C602E5">
        <w:t>G) at its virtual meeting on</w:t>
      </w:r>
      <w:r w:rsidR="00D43FE6">
        <w:t xml:space="preserve"> 17 November 2020. It merges the proposals made in ST/SG/AC.10/C.3/2020/20-ST/SG/AC.10/C.4/2020/5</w:t>
      </w:r>
      <w:r w:rsidR="00530762">
        <w:t xml:space="preserve"> and Add.1,</w:t>
      </w:r>
      <w:r w:rsidR="00E550DC">
        <w:t xml:space="preserve"> </w:t>
      </w:r>
      <w:r w:rsidR="00530762">
        <w:t>with</w:t>
      </w:r>
      <w:r w:rsidR="00F4727D">
        <w:t xml:space="preserve"> the recommended amendments</w:t>
      </w:r>
      <w:r w:rsidR="00E550DC">
        <w:t xml:space="preserve"> </w:t>
      </w:r>
      <w:r w:rsidR="00F4727D">
        <w:t>according to</w:t>
      </w:r>
      <w:r w:rsidR="00E550DC">
        <w:t xml:space="preserve"> paragraph</w:t>
      </w:r>
      <w:r w:rsidR="00D43FE6">
        <w:t xml:space="preserve"> 13 of the EWG-report in </w:t>
      </w:r>
      <w:r w:rsidR="00D43FE6" w:rsidRPr="00E550DC">
        <w:t>UN/SCETDG/57/INF.</w:t>
      </w:r>
      <w:r w:rsidR="00E550DC" w:rsidRPr="00E550DC">
        <w:t>38</w:t>
      </w:r>
      <w:r w:rsidR="00D43FE6">
        <w:t>.</w:t>
      </w:r>
      <w:r w:rsidR="00530762">
        <w:rPr>
          <w:rStyle w:val="FootnoteReference"/>
        </w:rPr>
        <w:footnoteReference w:id="2"/>
      </w:r>
    </w:p>
    <w:p w14:paraId="133E4592" w14:textId="75C43270" w:rsidR="004D4779" w:rsidRDefault="00E550DC" w:rsidP="00CE012D">
      <w:pPr>
        <w:pStyle w:val="SingleTxtG"/>
      </w:pPr>
      <w:r>
        <w:t>2.</w:t>
      </w:r>
      <w:r>
        <w:tab/>
      </w:r>
      <w:r w:rsidR="00EA7D5A">
        <w:t>I</w:t>
      </w:r>
      <w:r>
        <w:t>n addition,</w:t>
      </w:r>
      <w:r w:rsidR="00EA7D5A">
        <w:t xml:space="preserve"> the decision logics</w:t>
      </w:r>
      <w:r>
        <w:t xml:space="preserve"> are included in the versions recommended by the EWG, see paragraph 13 of </w:t>
      </w:r>
      <w:r w:rsidRPr="00E550DC">
        <w:t>UN/SCETDG/57/INF.38</w:t>
      </w:r>
      <w:r>
        <w:t>. This means</w:t>
      </w:r>
      <w:r w:rsidR="00EA7D5A">
        <w:t xml:space="preserve"> decision logic 2.1 (a) as </w:t>
      </w:r>
      <w:r>
        <w:t xml:space="preserve">presented </w:t>
      </w:r>
      <w:r w:rsidR="00EA7D5A">
        <w:t xml:space="preserve">in </w:t>
      </w:r>
      <w:r w:rsidR="00EA7D5A" w:rsidRPr="00EA7D5A">
        <w:t>UN/SCEGHS/39/INF.22</w:t>
      </w:r>
      <w:r w:rsidR="00EA7D5A">
        <w:t xml:space="preserve"> and decision logic 2.1 (b) as </w:t>
      </w:r>
      <w:r>
        <w:t xml:space="preserve">presented </w:t>
      </w:r>
      <w:r w:rsidR="00EA7D5A">
        <w:t>in ST/SG/AC.10/C.4/2020/18</w:t>
      </w:r>
      <w:r w:rsidR="00A4428B">
        <w:t>, the latter</w:t>
      </w:r>
      <w:r w:rsidR="00EA7D5A">
        <w:t xml:space="preserve"> with an expanded footnote as</w:t>
      </w:r>
      <w:r>
        <w:t xml:space="preserve"> proposed</w:t>
      </w:r>
      <w:r w:rsidR="00EA7D5A">
        <w:t xml:space="preserve"> in</w:t>
      </w:r>
      <w:r w:rsidR="00EA7D5A" w:rsidRPr="00EA7D5A">
        <w:t xml:space="preserve"> UN/SCEGHS/39/INF.2</w:t>
      </w:r>
      <w:r w:rsidR="00EA7D5A">
        <w:t xml:space="preserve">5 </w:t>
      </w:r>
      <w:r w:rsidR="00A4428B">
        <w:t>and</w:t>
      </w:r>
      <w:r>
        <w:t xml:space="preserve"> </w:t>
      </w:r>
      <w:r w:rsidR="00EA7D5A">
        <w:t>amend</w:t>
      </w:r>
      <w:r w:rsidR="00357A8F">
        <w:t>ed</w:t>
      </w:r>
      <w:r w:rsidR="00EA7D5A">
        <w:t xml:space="preserve"> by the EWG.</w:t>
      </w:r>
      <w:r w:rsidR="00C36188">
        <w:t xml:space="preserve"> Furthermore, the wording has been streamlined with that suggested to be used in the Manual of Tests and Criteria</w:t>
      </w:r>
      <w:r w:rsidR="00EE792A">
        <w:rPr>
          <w:rStyle w:val="FootnoteReference"/>
        </w:rPr>
        <w:footnoteReference w:id="3"/>
      </w:r>
      <w:r w:rsidR="00C36188">
        <w:t xml:space="preserve"> so that “assigned to a division” has been changed to “assigned a division” throughout the text.</w:t>
      </w:r>
    </w:p>
    <w:p w14:paraId="63812667" w14:textId="7A9CDBE8" w:rsidR="00F031DA" w:rsidRDefault="00F031DA" w:rsidP="00CE012D">
      <w:pPr>
        <w:pStyle w:val="SingleTxtG"/>
      </w:pPr>
      <w:r>
        <w:t>3.</w:t>
      </w:r>
      <w:r>
        <w:tab/>
      </w:r>
      <w:r w:rsidR="00A4428B">
        <w:t>In UN/SCETDG/57/INF.33 - UN/SCEGHS/39/INF.19 a</w:t>
      </w:r>
      <w:r>
        <w:t xml:space="preserve"> proposal </w:t>
      </w:r>
      <w:r w:rsidR="00A4428B">
        <w:t>i</w:t>
      </w:r>
      <w:r>
        <w:t>s made to add further provisio</w:t>
      </w:r>
      <w:r w:rsidR="00A4428B">
        <w:t>ns in order to handle explosives</w:t>
      </w:r>
      <w:r>
        <w:t xml:space="preserve"> that have been assigned to a class o</w:t>
      </w:r>
      <w:r w:rsidR="00A4428B">
        <w:t>ther than Class 1 for transport</w:t>
      </w:r>
      <w:r>
        <w:t>. While there was support in principle for the idea, the EWG concluded that the precise</w:t>
      </w:r>
      <w:r w:rsidR="00A4428B">
        <w:t xml:space="preserve"> wording of the proposals need</w:t>
      </w:r>
      <w:r w:rsidR="00C602E5">
        <w:t>s</w:t>
      </w:r>
      <w:r>
        <w:t xml:space="preserve"> adjustment</w:t>
      </w:r>
      <w:r w:rsidR="00AE0339">
        <w:t xml:space="preserve">, see paragraph 15 of </w:t>
      </w:r>
      <w:r w:rsidR="00AE0339" w:rsidRPr="00E550DC">
        <w:t>UN/SCETDG/57/INF.38</w:t>
      </w:r>
      <w:r>
        <w:t>. Adjusted wording has been presented in UN/SCEGHS/39/INF.29, but this was only swiftly discussed in the ICG due to time constraints. Th</w:t>
      </w:r>
      <w:r w:rsidR="00AE0339">
        <w:t xml:space="preserve">e provisions with this alternative </w:t>
      </w:r>
      <w:r>
        <w:t>word</w:t>
      </w:r>
      <w:r w:rsidR="00AE0339">
        <w:t>ing</w:t>
      </w:r>
      <w:r>
        <w:t xml:space="preserve"> ha</w:t>
      </w:r>
      <w:r w:rsidR="00003DB5">
        <w:t>ve</w:t>
      </w:r>
      <w:r>
        <w:t xml:space="preserve"> nevertheless been included in the chapter as presented in </w:t>
      </w:r>
      <w:r w:rsidR="00AE0339">
        <w:t>A</w:t>
      </w:r>
      <w:r>
        <w:t xml:space="preserve">nnex I to this document – in square brackets and highlighted in grey. The possible additional note proposed in </w:t>
      </w:r>
      <w:r w:rsidR="00AE0339">
        <w:t>UN/SCEGHS/39/INF.29</w:t>
      </w:r>
      <w:r>
        <w:t xml:space="preserve"> has, however, not been included </w:t>
      </w:r>
      <w:r w:rsidR="00AE0339">
        <w:t>at this point</w:t>
      </w:r>
      <w:r>
        <w:t>.</w:t>
      </w:r>
    </w:p>
    <w:p w14:paraId="5D4EE9F5" w14:textId="624553C0" w:rsidR="007553EC" w:rsidRDefault="00AE0339" w:rsidP="00CE012D">
      <w:pPr>
        <w:pStyle w:val="SingleTxtG"/>
      </w:pPr>
      <w:r>
        <w:t>4</w:t>
      </w:r>
      <w:r w:rsidR="00D23126">
        <w:t>.</w:t>
      </w:r>
      <w:r w:rsidR="00D23126">
        <w:tab/>
        <w:t>The purpose of this document is to present the Sub-Committee of Experts on the GHS (SCEGHS) the consolidated</w:t>
      </w:r>
      <w:r w:rsidR="00D17C89">
        <w:t xml:space="preserve"> and</w:t>
      </w:r>
      <w:r w:rsidR="00D23126">
        <w:t xml:space="preserve"> clean new GHS Chapter 2.1</w:t>
      </w:r>
      <w:r w:rsidR="005D0490">
        <w:t>,</w:t>
      </w:r>
      <w:r w:rsidR="00D23126">
        <w:t xml:space="preserve"> as </w:t>
      </w:r>
      <w:r w:rsidR="00D17C89">
        <w:t xml:space="preserve">amended and </w:t>
      </w:r>
      <w:r w:rsidR="00D23126">
        <w:t xml:space="preserve">endorsed by the EWG, in order to facilitate discussions and a possible decision on adopting it. </w:t>
      </w:r>
      <w:r w:rsidR="004D4779">
        <w:t xml:space="preserve">To enhance readability, no amendments are indicated in </w:t>
      </w:r>
      <w:r>
        <w:t>A</w:t>
      </w:r>
      <w:r w:rsidR="004D4779">
        <w:t>nnex I to this document</w:t>
      </w:r>
      <w:r w:rsidR="000847C2">
        <w:t>. I</w:t>
      </w:r>
      <w:r w:rsidR="004D4779">
        <w:t xml:space="preserve">nstead a list of amendments made to the chapter </w:t>
      </w:r>
      <w:r w:rsidR="000847C2">
        <w:t xml:space="preserve">relative to </w:t>
      </w:r>
      <w:r w:rsidR="004D4779">
        <w:t>ST/SG/AC.10/C.3/2020/20-ST/SG/AC.10/C.4/2020/5 is given in Annex II to this document, where also the refere</w:t>
      </w:r>
      <w:r w:rsidR="00F031DA">
        <w:t>nce document(s) are p</w:t>
      </w:r>
      <w:r w:rsidR="00915C41">
        <w:t>rovided</w:t>
      </w:r>
      <w:r w:rsidR="00F031DA">
        <w:t>.</w:t>
      </w:r>
      <w:r w:rsidR="00A4428B">
        <w:t xml:space="preserve"> </w:t>
      </w:r>
    </w:p>
    <w:p w14:paraId="7CE08832" w14:textId="296C1E3E" w:rsidR="000847C2" w:rsidRDefault="007553EC" w:rsidP="00CE012D">
      <w:pPr>
        <w:pStyle w:val="SingleTxtG"/>
      </w:pPr>
      <w:r>
        <w:t>5.</w:t>
      </w:r>
      <w:r>
        <w:tab/>
      </w:r>
      <w:r w:rsidR="00A4428B">
        <w:t>T</w:t>
      </w:r>
      <w:r w:rsidR="009F6570">
        <w:t>his</w:t>
      </w:r>
      <w:r w:rsidR="00A4428B">
        <w:t xml:space="preserve"> document is also submitted</w:t>
      </w:r>
      <w:r w:rsidR="00C602E5">
        <w:t xml:space="preserve"> for information</w:t>
      </w:r>
      <w:r w:rsidR="00A4428B">
        <w:t xml:space="preserve"> to the Sub-Committee of Experts on the Transport of Dangerous Goods</w:t>
      </w:r>
      <w:r>
        <w:t>, as it is the focal point for the physical hazards of the GHS.</w:t>
      </w:r>
    </w:p>
    <w:p w14:paraId="232FDD72" w14:textId="7E8EBC14" w:rsidR="00464236" w:rsidRDefault="00F119C8" w:rsidP="00CE012D">
      <w:pPr>
        <w:pStyle w:val="HChG"/>
      </w:pPr>
      <w:r>
        <w:lastRenderedPageBreak/>
        <w:tab/>
      </w:r>
      <w:r>
        <w:tab/>
      </w:r>
      <w:r w:rsidR="00A801F9">
        <w:t>Annex</w:t>
      </w:r>
      <w:r w:rsidR="00464236">
        <w:t xml:space="preserve"> I</w:t>
      </w:r>
    </w:p>
    <w:p w14:paraId="52A0B1FC" w14:textId="55705328" w:rsidR="00464236" w:rsidRDefault="0025623A" w:rsidP="00CE012D">
      <w:pPr>
        <w:suppressAutoHyphens w:val="0"/>
        <w:spacing w:line="240" w:lineRule="auto"/>
        <w:ind w:left="1134" w:right="284"/>
        <w:rPr>
          <w:b/>
          <w:sz w:val="24"/>
        </w:rPr>
      </w:pPr>
      <w:r>
        <w:rPr>
          <w:b/>
          <w:sz w:val="24"/>
        </w:rPr>
        <w:t>Consolidated and</w:t>
      </w:r>
      <w:r w:rsidR="00464236" w:rsidRPr="00464236">
        <w:rPr>
          <w:b/>
          <w:sz w:val="24"/>
        </w:rPr>
        <w:t xml:space="preserve"> clean new GHS Chapter 2.1</w:t>
      </w:r>
      <w:r>
        <w:rPr>
          <w:b/>
          <w:sz w:val="24"/>
        </w:rPr>
        <w:t>, as amended and endorsed by the Working Group on Explosives</w:t>
      </w:r>
    </w:p>
    <w:p w14:paraId="5132FC86" w14:textId="77777777" w:rsidR="00CE012D" w:rsidRPr="0025623A" w:rsidRDefault="00CE012D" w:rsidP="00CE012D">
      <w:pPr>
        <w:suppressAutoHyphens w:val="0"/>
        <w:spacing w:line="240" w:lineRule="auto"/>
        <w:ind w:left="1134" w:right="284"/>
        <w:rPr>
          <w:b/>
          <w:sz w:val="24"/>
        </w:rPr>
      </w:pPr>
    </w:p>
    <w:p w14:paraId="0D79BF5D" w14:textId="7A755435" w:rsidR="00001582" w:rsidRDefault="00F119C8" w:rsidP="00001582">
      <w:pPr>
        <w:suppressAutoHyphens w:val="0"/>
        <w:spacing w:line="240" w:lineRule="auto"/>
        <w:ind w:left="1134" w:right="284"/>
        <w:jc w:val="center"/>
        <w:rPr>
          <w:b/>
          <w:sz w:val="28"/>
        </w:rPr>
      </w:pPr>
      <w:r>
        <w:rPr>
          <w:b/>
          <w:sz w:val="28"/>
        </w:rPr>
        <w:t>“</w:t>
      </w:r>
      <w:r w:rsidR="00001582">
        <w:rPr>
          <w:b/>
          <w:sz w:val="28"/>
        </w:rPr>
        <w:t>CHAPTER 2.1</w:t>
      </w:r>
    </w:p>
    <w:p w14:paraId="12AF1BB2" w14:textId="77777777" w:rsidR="00001582" w:rsidRDefault="00001582" w:rsidP="00001582">
      <w:pPr>
        <w:suppressAutoHyphens w:val="0"/>
        <w:spacing w:line="240" w:lineRule="auto"/>
        <w:ind w:left="1134" w:right="284"/>
        <w:jc w:val="center"/>
        <w:rPr>
          <w:b/>
          <w:sz w:val="28"/>
        </w:rPr>
      </w:pPr>
      <w:r>
        <w:rPr>
          <w:b/>
          <w:sz w:val="28"/>
        </w:rPr>
        <w:t>EXPLOSIVES</w:t>
      </w:r>
    </w:p>
    <w:p w14:paraId="62C62506" w14:textId="77777777" w:rsidR="00001582" w:rsidRDefault="00001582" w:rsidP="00001582">
      <w:pPr>
        <w:suppressAutoHyphens w:val="0"/>
        <w:spacing w:line="240" w:lineRule="auto"/>
        <w:ind w:left="1134" w:right="284"/>
        <w:jc w:val="center"/>
      </w:pPr>
    </w:p>
    <w:p w14:paraId="6CF74CE6" w14:textId="77777777" w:rsidR="00001582" w:rsidRDefault="00001582" w:rsidP="00001582">
      <w:pPr>
        <w:spacing w:after="240" w:line="240" w:lineRule="auto"/>
        <w:ind w:left="1134" w:right="284"/>
        <w:jc w:val="both"/>
        <w:rPr>
          <w:b/>
        </w:rPr>
      </w:pPr>
      <w:r>
        <w:rPr>
          <w:b/>
        </w:rPr>
        <w:t>2.1.1</w:t>
      </w:r>
      <w:r>
        <w:rPr>
          <w:b/>
        </w:rPr>
        <w:tab/>
      </w:r>
      <w:r>
        <w:rPr>
          <w:b/>
        </w:rPr>
        <w:tab/>
        <w:t>Definitions and general considerations</w:t>
      </w:r>
    </w:p>
    <w:p w14:paraId="58C6B459" w14:textId="77777777" w:rsidR="00001582" w:rsidRDefault="00001582" w:rsidP="00001582">
      <w:pPr>
        <w:spacing w:after="240" w:line="240" w:lineRule="auto"/>
        <w:ind w:left="1134" w:right="284"/>
        <w:jc w:val="both"/>
      </w:pPr>
      <w:r>
        <w:t>2.1.1.1</w:t>
      </w:r>
      <w:r>
        <w:tab/>
      </w:r>
      <w:r>
        <w:tab/>
        <w:t>Definitions</w:t>
      </w:r>
    </w:p>
    <w:p w14:paraId="0B83F7CE" w14:textId="77777777" w:rsidR="00001582" w:rsidRDefault="00001582" w:rsidP="00001582">
      <w:pPr>
        <w:spacing w:after="240" w:line="240" w:lineRule="auto"/>
        <w:ind w:left="1134" w:right="284"/>
        <w:jc w:val="both"/>
        <w:rPr>
          <w:rFonts w:eastAsia="Calibri"/>
        </w:rPr>
      </w:pPr>
      <w:r>
        <w:rPr>
          <w:rFonts w:eastAsia="Calibri"/>
        </w:rPr>
        <w:t xml:space="preserve">An </w:t>
      </w:r>
      <w:r>
        <w:rPr>
          <w:rFonts w:eastAsia="Calibri"/>
          <w:i/>
        </w:rPr>
        <w:t>explosive substance or mixture</w:t>
      </w:r>
      <w:r>
        <w:rPr>
          <w:rFonts w:eastAsia="Calibri"/>
        </w:rPr>
        <w:t xml:space="preserve"> is a solid or liquid substance or mixture which is in itself capable by chemical reaction of producing gas at such a temperature and pressure and at such a speed as to cause damage to the surroundings. Pyrotechnic substances and mixtures are included even when they do not evolve gases.</w:t>
      </w:r>
    </w:p>
    <w:p w14:paraId="60C646F1" w14:textId="77777777" w:rsidR="00001582" w:rsidRDefault="00001582" w:rsidP="00001582">
      <w:pPr>
        <w:spacing w:after="240" w:line="240" w:lineRule="auto"/>
        <w:ind w:left="1134" w:right="284"/>
        <w:jc w:val="both"/>
        <w:rPr>
          <w:rFonts w:eastAsia="Calibri"/>
        </w:rPr>
      </w:pPr>
      <w:r>
        <w:rPr>
          <w:rFonts w:eastAsia="Calibri"/>
        </w:rPr>
        <w:t xml:space="preserve">A </w:t>
      </w:r>
      <w:r>
        <w:rPr>
          <w:rFonts w:eastAsia="Calibri"/>
          <w:i/>
        </w:rPr>
        <w:t>pyrotechnic substance or mixture</w:t>
      </w:r>
      <w:r>
        <w:rPr>
          <w:rFonts w:eastAsia="Calibri"/>
        </w:rPr>
        <w:t xml:space="preserve"> is a substance or mixture designed to produce an effect by heat, light, sound, gas or smoke or a combination of these as the result of non-detonative self-sustaining exothermic chemical reactions.</w:t>
      </w:r>
    </w:p>
    <w:p w14:paraId="319C72BA" w14:textId="77777777" w:rsidR="00001582" w:rsidRDefault="00001582" w:rsidP="00001582">
      <w:pPr>
        <w:spacing w:after="240" w:line="240" w:lineRule="auto"/>
        <w:ind w:left="1134" w:right="284"/>
        <w:jc w:val="both"/>
        <w:rPr>
          <w:rFonts w:eastAsia="Calibri"/>
        </w:rPr>
      </w:pPr>
      <w:r>
        <w:rPr>
          <w:rFonts w:eastAsia="Calibri"/>
        </w:rPr>
        <w:t xml:space="preserve">An </w:t>
      </w:r>
      <w:r>
        <w:rPr>
          <w:rFonts w:eastAsia="Calibri"/>
          <w:i/>
        </w:rPr>
        <w:t>explosive article</w:t>
      </w:r>
      <w:r>
        <w:rPr>
          <w:rFonts w:eastAsia="Calibri"/>
        </w:rPr>
        <w:t xml:space="preserve"> is an article containing one or more explosive substances or mixtures.</w:t>
      </w:r>
    </w:p>
    <w:p w14:paraId="59EA27FB" w14:textId="65D2919B" w:rsidR="00001582" w:rsidRDefault="00001582" w:rsidP="00001582">
      <w:pPr>
        <w:spacing w:after="240" w:line="240" w:lineRule="auto"/>
        <w:ind w:left="1134" w:right="284"/>
        <w:jc w:val="both"/>
        <w:rPr>
          <w:rFonts w:eastAsiaTheme="minorHAnsi"/>
        </w:rPr>
      </w:pPr>
      <w:r>
        <w:rPr>
          <w:i/>
        </w:rPr>
        <w:t>Division</w:t>
      </w:r>
      <w:r>
        <w:t xml:space="preserve"> means the classification of an explosive substance, mixture or article according to Part I of the </w:t>
      </w:r>
      <w:r>
        <w:rPr>
          <w:i/>
        </w:rPr>
        <w:t>Manual of Tests and Criteria</w:t>
      </w:r>
      <w:r>
        <w:t xml:space="preserve"> and relates to it being in a certain configuration.</w:t>
      </w:r>
    </w:p>
    <w:p w14:paraId="09ED1AA6" w14:textId="474500DF" w:rsidR="00001582" w:rsidRDefault="00001582" w:rsidP="00001582">
      <w:pPr>
        <w:spacing w:after="240" w:line="240" w:lineRule="auto"/>
        <w:ind w:left="1134" w:right="284"/>
        <w:jc w:val="both"/>
        <w:rPr>
          <w:rFonts w:eastAsia="Calibri"/>
        </w:rPr>
      </w:pPr>
      <w:r>
        <w:rPr>
          <w:rFonts w:eastAsia="Calibri"/>
          <w:i/>
        </w:rPr>
        <w:t>Primary packaging</w:t>
      </w:r>
      <w:r>
        <w:rPr>
          <w:rFonts w:eastAsia="Calibri"/>
        </w:rPr>
        <w:t xml:space="preserve"> means the minimum level of packaging</w:t>
      </w:r>
      <w:r>
        <w:rPr>
          <w:rFonts w:eastAsia="Calibri"/>
          <w:color w:val="7030A0"/>
        </w:rPr>
        <w:t xml:space="preserve"> </w:t>
      </w:r>
      <w:r>
        <w:rPr>
          <w:rFonts w:eastAsia="Calibri"/>
        </w:rPr>
        <w:t>of a configuration assigned a division,</w:t>
      </w:r>
      <w:r>
        <w:rPr>
          <w:rFonts w:eastAsia="Calibri"/>
          <w:color w:val="C00000"/>
        </w:rPr>
        <w:t xml:space="preserve"> </w:t>
      </w:r>
      <w:r>
        <w:rPr>
          <w:rFonts w:eastAsia="Calibri"/>
        </w:rPr>
        <w:t>in which the explosive substance, mixture or article is intended to be retained until use.</w:t>
      </w:r>
    </w:p>
    <w:p w14:paraId="4AADC7EE" w14:textId="77777777" w:rsidR="00001582" w:rsidRDefault="00001582" w:rsidP="00001582">
      <w:pPr>
        <w:spacing w:after="240" w:line="240" w:lineRule="auto"/>
        <w:ind w:left="1134" w:right="284"/>
        <w:jc w:val="both"/>
      </w:pPr>
      <w:r>
        <w:rPr>
          <w:b/>
          <w:i/>
        </w:rPr>
        <w:t>NOTE:</w:t>
      </w:r>
      <w:r>
        <w:rPr>
          <w:i/>
        </w:rPr>
        <w:t xml:space="preserve"> Divisions are generally assigned for the purpose of transport and may be subject to further packaging specifications according to the UN Model Regulations to be valid.</w:t>
      </w:r>
    </w:p>
    <w:p w14:paraId="634EB054" w14:textId="77777777" w:rsidR="00001582" w:rsidRDefault="00001582" w:rsidP="00001582">
      <w:pPr>
        <w:spacing w:after="240" w:line="240" w:lineRule="auto"/>
        <w:ind w:left="1134" w:right="284"/>
        <w:jc w:val="both"/>
      </w:pPr>
      <w:r>
        <w:t>2.1.1.2</w:t>
      </w:r>
      <w:r>
        <w:tab/>
      </w:r>
      <w:r>
        <w:tab/>
        <w:t>Scope</w:t>
      </w:r>
    </w:p>
    <w:p w14:paraId="1B1AAFF3" w14:textId="77777777" w:rsidR="00001582" w:rsidRDefault="00001582" w:rsidP="00001582">
      <w:pPr>
        <w:spacing w:after="240" w:line="240" w:lineRule="auto"/>
        <w:ind w:left="1134" w:right="284"/>
        <w:jc w:val="both"/>
      </w:pPr>
      <w:r>
        <w:t>2.1.1.2.1</w:t>
      </w:r>
      <w:r>
        <w:tab/>
        <w:t>Except as provided in 2.1.1.2.2, the class of explosives comprises</w:t>
      </w:r>
    </w:p>
    <w:p w14:paraId="5289CCE1" w14:textId="77777777" w:rsidR="00001582" w:rsidRDefault="00001582" w:rsidP="00820C8B">
      <w:pPr>
        <w:spacing w:after="240"/>
        <w:ind w:left="2835" w:right="284" w:hanging="567"/>
        <w:jc w:val="both"/>
      </w:pPr>
      <w:r>
        <w:t>(a)</w:t>
      </w:r>
      <w:r>
        <w:tab/>
        <w:t>Explosive substances and mixtures;</w:t>
      </w:r>
    </w:p>
    <w:p w14:paraId="23BCA8CB" w14:textId="77777777" w:rsidR="00001582" w:rsidRDefault="00001582" w:rsidP="00820C8B">
      <w:pPr>
        <w:spacing w:after="240"/>
        <w:ind w:left="2835" w:right="284" w:hanging="567"/>
        <w:jc w:val="both"/>
      </w:pPr>
      <w:r>
        <w:t>(b)</w:t>
      </w:r>
      <w:r>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14:paraId="0F732807" w14:textId="77777777" w:rsidR="00001582" w:rsidRDefault="00001582" w:rsidP="00820C8B">
      <w:pPr>
        <w:spacing w:after="240"/>
        <w:ind w:left="2835" w:right="284" w:hanging="567"/>
        <w:jc w:val="both"/>
      </w:pPr>
      <w:r>
        <w:t>(c)</w:t>
      </w:r>
      <w:r>
        <w:tab/>
        <w:t>Substances, mixtures and articles not mentioned under (a) and (b) above which are manufactured with the view to producing a practical explosive or pyrotechnic effect.</w:t>
      </w:r>
    </w:p>
    <w:p w14:paraId="04E0D265" w14:textId="1D9657BF" w:rsidR="00001582" w:rsidRDefault="00001582" w:rsidP="00001582">
      <w:pPr>
        <w:spacing w:after="240" w:line="240" w:lineRule="auto"/>
        <w:ind w:left="1134" w:right="284"/>
        <w:jc w:val="both"/>
      </w:pPr>
      <w:r>
        <w:t>2.1.1.2.2</w:t>
      </w:r>
      <w:r>
        <w:tab/>
        <w:t xml:space="preserve">The </w:t>
      </w:r>
      <w:r w:rsidRPr="00AE0339">
        <w:t>following substances</w:t>
      </w:r>
      <w:r w:rsidR="00492C5D" w:rsidRPr="00AE0339">
        <w:t xml:space="preserve"> and </w:t>
      </w:r>
      <w:r w:rsidRPr="00AE0339">
        <w:t>mixtures are</w:t>
      </w:r>
      <w:r>
        <w:t xml:space="preserve"> excluded from the class of explosives:</w:t>
      </w:r>
    </w:p>
    <w:p w14:paraId="15406F40" w14:textId="77777777" w:rsidR="00001582" w:rsidRDefault="00001582" w:rsidP="00820C8B">
      <w:pPr>
        <w:spacing w:after="240"/>
        <w:ind w:left="2835" w:right="284" w:hanging="567"/>
        <w:jc w:val="both"/>
      </w:pPr>
      <w:r>
        <w:t>(a)</w:t>
      </w:r>
      <w:r>
        <w:tab/>
        <w:t xml:space="preserve">Ammonium nitrate based emulsions, suspensions or gels which meet the criteria of Test series 8 of the </w:t>
      </w:r>
      <w:r w:rsidRPr="00820C8B">
        <w:rPr>
          <w:i/>
          <w:iCs/>
        </w:rPr>
        <w:t>Manual of Tests and Criteria</w:t>
      </w:r>
      <w:r>
        <w:t xml:space="preserve"> for classification as ANEs of Category 2 oxidizing liquids (Chapter 2.13) or Category 2 oxidizing solids (Chapter 2.14).</w:t>
      </w:r>
    </w:p>
    <w:p w14:paraId="55B903DE" w14:textId="77777777" w:rsidR="00001582" w:rsidRDefault="00001582" w:rsidP="00820C8B">
      <w:pPr>
        <w:spacing w:after="240"/>
        <w:ind w:left="2835" w:right="284" w:hanging="567"/>
        <w:jc w:val="both"/>
      </w:pPr>
      <w:r>
        <w:t>(b)</w:t>
      </w:r>
      <w:r>
        <w:tab/>
        <w:t>Substances and mixtures which meet the criteria for classification as desensitized explosives according to the criteria of Chapter 2.17.</w:t>
      </w:r>
    </w:p>
    <w:p w14:paraId="7821D34F" w14:textId="77777777" w:rsidR="00001582" w:rsidRDefault="00001582" w:rsidP="00820C8B">
      <w:pPr>
        <w:spacing w:after="240"/>
        <w:ind w:left="2835" w:right="284" w:hanging="567"/>
        <w:jc w:val="both"/>
      </w:pPr>
      <w:bookmarkStart w:id="0" w:name="_GoBack"/>
      <w:bookmarkEnd w:id="0"/>
      <w:r>
        <w:lastRenderedPageBreak/>
        <w:t>(c)</w:t>
      </w:r>
      <w:r>
        <w:tab/>
        <w:t>Substances and mixtures which have not been manufactured with the view to producing, in themselves, an explosive or pyrotechnic effect and which:</w:t>
      </w:r>
    </w:p>
    <w:p w14:paraId="59E1C903" w14:textId="77777777" w:rsidR="00001582" w:rsidRDefault="00001582" w:rsidP="00820C8B">
      <w:pPr>
        <w:spacing w:after="240" w:line="240" w:lineRule="auto"/>
        <w:ind w:left="3402" w:right="284" w:hanging="567"/>
        <w:jc w:val="both"/>
      </w:pPr>
      <w:r>
        <w:t>(i)</w:t>
      </w:r>
      <w:r>
        <w:tab/>
        <w:t>are self-reactive substances and mixtures according to the criteria of Chapter 2.8; or</w:t>
      </w:r>
    </w:p>
    <w:p w14:paraId="26995F5D" w14:textId="77777777" w:rsidR="00001582" w:rsidRDefault="00001582" w:rsidP="00820C8B">
      <w:pPr>
        <w:spacing w:after="240" w:line="240" w:lineRule="auto"/>
        <w:ind w:left="3402" w:right="284" w:hanging="567"/>
        <w:jc w:val="both"/>
      </w:pPr>
      <w:r>
        <w:t>(ii)</w:t>
      </w:r>
      <w:r>
        <w:tab/>
        <w:t>are organic peroxides according to the criteria of Chapter 2.15; or</w:t>
      </w:r>
    </w:p>
    <w:p w14:paraId="5430F6BE" w14:textId="77777777" w:rsidR="00001582" w:rsidRDefault="00001582" w:rsidP="00820C8B">
      <w:pPr>
        <w:spacing w:after="240" w:line="240" w:lineRule="auto"/>
        <w:ind w:left="3402" w:right="284" w:hanging="567"/>
        <w:jc w:val="both"/>
      </w:pPr>
      <w:r>
        <w:t>(iii)</w:t>
      </w:r>
      <w:r>
        <w:tab/>
        <w:t xml:space="preserve">are deemed not to have explosive properties on basis of the screening procedures in Appendix 6 of the </w:t>
      </w:r>
      <w:r>
        <w:rPr>
          <w:i/>
        </w:rPr>
        <w:t>Manual of Tests and Criteria</w:t>
      </w:r>
      <w:r>
        <w:t>; or</w:t>
      </w:r>
    </w:p>
    <w:p w14:paraId="6552011E" w14:textId="77777777" w:rsidR="00001582" w:rsidRDefault="00001582" w:rsidP="00820C8B">
      <w:pPr>
        <w:spacing w:after="240" w:line="240" w:lineRule="auto"/>
        <w:ind w:left="3402" w:right="284" w:hanging="567"/>
        <w:jc w:val="both"/>
      </w:pPr>
      <w:r>
        <w:t>(iv)</w:t>
      </w:r>
      <w:r>
        <w:tab/>
        <w:t xml:space="preserve">are too insensitive for inclusion in the hazard class according to Test series 2 of the </w:t>
      </w:r>
      <w:r>
        <w:rPr>
          <w:i/>
        </w:rPr>
        <w:t>Manual of Tests and Criteria</w:t>
      </w:r>
      <w:r>
        <w:t>; or</w:t>
      </w:r>
    </w:p>
    <w:p w14:paraId="602665F6" w14:textId="77777777" w:rsidR="00001582" w:rsidRDefault="00001582" w:rsidP="00820C8B">
      <w:pPr>
        <w:spacing w:after="240" w:line="240" w:lineRule="auto"/>
        <w:ind w:left="3402" w:right="284" w:hanging="567"/>
        <w:jc w:val="both"/>
      </w:pPr>
      <w:r>
        <w:t>(v)</w:t>
      </w:r>
      <w:r>
        <w:tab/>
        <w:t xml:space="preserve">are excluded from assignment within Class 1 of the </w:t>
      </w:r>
      <w:r>
        <w:rPr>
          <w:i/>
        </w:rPr>
        <w:t>UN Model Regulations</w:t>
      </w:r>
      <w:r>
        <w:t xml:space="preserve"> based on results in Test series 6 of the </w:t>
      </w:r>
      <w:r>
        <w:rPr>
          <w:i/>
        </w:rPr>
        <w:t>Manual of Tests and Criteria</w:t>
      </w:r>
      <w:r>
        <w:t>.</w:t>
      </w:r>
    </w:p>
    <w:p w14:paraId="159A1123" w14:textId="5AE36FD3" w:rsidR="00001582" w:rsidRDefault="00001582" w:rsidP="00B7048E">
      <w:pPr>
        <w:spacing w:after="240" w:line="240" w:lineRule="auto"/>
        <w:ind w:left="1418" w:right="284"/>
        <w:jc w:val="both"/>
        <w:rPr>
          <w:i/>
        </w:rPr>
      </w:pPr>
      <w:r>
        <w:rPr>
          <w:b/>
          <w:i/>
        </w:rPr>
        <w:t>NOTE:</w:t>
      </w:r>
      <w:r>
        <w:rPr>
          <w:i/>
        </w:rPr>
        <w:t xml:space="preserve"> Performing Test series 2 requires a substantial amount of material, which may not be available in the initial stages of research and development. Substances and mixtures in the research and development phase for which not enough material exists to perform Test series 2 of the Manual of Tests and Criteria may, for the purpose of further scientific characterisation, be regarded as self-reactive substances and mixtures Type C (see Chapter 2.8), provided that:</w:t>
      </w:r>
    </w:p>
    <w:p w14:paraId="7EAA653A" w14:textId="77777777" w:rsidR="00001582" w:rsidRDefault="00001582" w:rsidP="00B7048E">
      <w:pPr>
        <w:spacing w:after="240" w:line="240" w:lineRule="auto"/>
        <w:ind w:left="2127" w:right="284" w:hanging="426"/>
        <w:jc w:val="both"/>
        <w:rPr>
          <w:i/>
        </w:rPr>
      </w:pPr>
      <w:r>
        <w:rPr>
          <w:i/>
        </w:rPr>
        <w:t>(i)</w:t>
      </w:r>
      <w:r>
        <w:rPr>
          <w:i/>
        </w:rPr>
        <w:tab/>
        <w:t>The substance or mixture is not manufactured with the view to producing an explosive or pyrotechnic effect; and</w:t>
      </w:r>
    </w:p>
    <w:p w14:paraId="69FA6139" w14:textId="77777777" w:rsidR="00001582" w:rsidRDefault="00001582" w:rsidP="00B7048E">
      <w:pPr>
        <w:spacing w:after="240" w:line="240" w:lineRule="auto"/>
        <w:ind w:left="2127" w:right="284" w:hanging="426"/>
        <w:jc w:val="both"/>
        <w:rPr>
          <w:i/>
        </w:rPr>
      </w:pPr>
      <w:r>
        <w:rPr>
          <w:i/>
        </w:rPr>
        <w:t>(ii)</w:t>
      </w:r>
      <w:r>
        <w:rPr>
          <w:i/>
        </w:rPr>
        <w:tab/>
        <w:t>The decomposition energy of the substance or mixture is less than 2000 J/g; and</w:t>
      </w:r>
    </w:p>
    <w:p w14:paraId="4570AAFD" w14:textId="77777777" w:rsidR="00001582" w:rsidRDefault="00001582" w:rsidP="00B7048E">
      <w:pPr>
        <w:spacing w:after="240" w:line="240" w:lineRule="auto"/>
        <w:ind w:left="2127" w:right="284" w:hanging="426"/>
        <w:jc w:val="both"/>
        <w:rPr>
          <w:i/>
        </w:rPr>
      </w:pPr>
      <w:r>
        <w:rPr>
          <w:i/>
        </w:rPr>
        <w:t>(iii)</w:t>
      </w:r>
      <w:r>
        <w:rPr>
          <w:i/>
        </w:rPr>
        <w:tab/>
        <w:t>The result in test 3(a) and test 3(b) of the Manual of Tests and Criteria is negative; and</w:t>
      </w:r>
    </w:p>
    <w:p w14:paraId="0E5C793D" w14:textId="77777777" w:rsidR="00001582" w:rsidRDefault="00001582" w:rsidP="00B7048E">
      <w:pPr>
        <w:spacing w:after="240" w:line="240" w:lineRule="auto"/>
        <w:ind w:left="2127" w:right="284" w:hanging="426"/>
        <w:jc w:val="both"/>
        <w:rPr>
          <w:i/>
        </w:rPr>
      </w:pPr>
      <w:r>
        <w:rPr>
          <w:i/>
        </w:rPr>
        <w:t>(iv)</w:t>
      </w:r>
      <w:r>
        <w:rPr>
          <w:i/>
        </w:rPr>
        <w:tab/>
        <w:t>The result in test 2(b) of the Manual of Tests and Criteria is “no explosion” at an orifice diameter of 6 mm; and</w:t>
      </w:r>
    </w:p>
    <w:p w14:paraId="0A0EBA01" w14:textId="77777777" w:rsidR="00B7048E" w:rsidRDefault="00001582" w:rsidP="00B7048E">
      <w:pPr>
        <w:spacing w:after="240" w:line="240" w:lineRule="auto"/>
        <w:ind w:left="2127" w:right="284" w:hanging="426"/>
        <w:jc w:val="both"/>
        <w:rPr>
          <w:i/>
        </w:rPr>
      </w:pPr>
      <w:r>
        <w:rPr>
          <w:i/>
        </w:rPr>
        <w:t>(v)</w:t>
      </w:r>
      <w:r>
        <w:rPr>
          <w:i/>
        </w:rPr>
        <w:tab/>
        <w:t>The expansion of the lead block in Test F.3 of the Manual of Tests and Criteria is less than 100 ml per 10 gram substance or mixture.</w:t>
      </w:r>
    </w:p>
    <w:p w14:paraId="0581117A" w14:textId="464617E0" w:rsidR="00B7048E" w:rsidRPr="00B7048E" w:rsidRDefault="00B7048E" w:rsidP="00B7048E">
      <w:pPr>
        <w:spacing w:after="240" w:line="240" w:lineRule="auto"/>
        <w:ind w:left="1134" w:right="284"/>
        <w:jc w:val="both"/>
        <w:rPr>
          <w:i/>
          <w:highlight w:val="lightGray"/>
        </w:rPr>
      </w:pPr>
      <w:r w:rsidRPr="00B7048E">
        <w:rPr>
          <w:highlight w:val="lightGray"/>
        </w:rPr>
        <w:t>[</w:t>
      </w:r>
      <w:r w:rsidRPr="00B7048E">
        <w:rPr>
          <w:rFonts w:eastAsia="MS Mincho"/>
          <w:highlight w:val="lightGray"/>
          <w:lang w:val="en-US" w:eastAsia="ja-JP"/>
        </w:rPr>
        <w:t>2.1.1.2.3</w:t>
      </w:r>
      <w:r w:rsidRPr="00B7048E">
        <w:rPr>
          <w:rFonts w:eastAsia="MS Mincho"/>
          <w:highlight w:val="lightGray"/>
          <w:lang w:val="en-US" w:eastAsia="ja-JP"/>
        </w:rPr>
        <w:tab/>
        <w:t xml:space="preserve">For explosive articles that are assigned a specific UN-number in a class other than Class 1 according to the Dangerous Goods List of the </w:t>
      </w:r>
      <w:r w:rsidRPr="00B7048E">
        <w:rPr>
          <w:rFonts w:eastAsia="MS Mincho"/>
          <w:i/>
          <w:highlight w:val="lightGray"/>
          <w:lang w:val="en-US" w:eastAsia="ja-JP"/>
        </w:rPr>
        <w:t>UN Model Regulations</w:t>
      </w:r>
      <w:r w:rsidRPr="00B7048E">
        <w:rPr>
          <w:rFonts w:eastAsia="MS Mincho"/>
          <w:highlight w:val="lightGray"/>
          <w:lang w:val="en-US" w:eastAsia="ja-JP"/>
        </w:rPr>
        <w:t>, the following applies:</w:t>
      </w:r>
    </w:p>
    <w:p w14:paraId="43883323" w14:textId="77777777" w:rsidR="00B7048E" w:rsidRPr="00B7048E" w:rsidRDefault="00B7048E" w:rsidP="00B7048E">
      <w:pPr>
        <w:pStyle w:val="SingleTxtG"/>
        <w:ind w:right="284"/>
        <w:rPr>
          <w:rFonts w:eastAsia="MS Mincho"/>
          <w:highlight w:val="lightGray"/>
          <w:lang w:val="en-US" w:eastAsia="ja-JP"/>
        </w:rPr>
      </w:pPr>
      <w:r w:rsidRPr="00B7048E">
        <w:rPr>
          <w:rFonts w:eastAsia="MS Mincho"/>
          <w:highlight w:val="lightGray"/>
          <w:lang w:val="en-US" w:eastAsia="ja-JP"/>
        </w:rPr>
        <w:t>2.1.1.2.3.1</w:t>
      </w:r>
      <w:r w:rsidRPr="00B7048E">
        <w:rPr>
          <w:rFonts w:eastAsia="MS Mincho"/>
          <w:highlight w:val="lightGray"/>
          <w:lang w:val="en-US" w:eastAsia="ja-JP"/>
        </w:rPr>
        <w:tab/>
        <w:t xml:space="preserve">Explosive articles that are assigned a specific UN-number in Class 2, 3, 4 or 5 are classified in the GHS hazard class and, where available, category corresponding to the transport classification, and excluded from the hazard class explosives, provided that: </w:t>
      </w:r>
    </w:p>
    <w:p w14:paraId="5B1E99EF" w14:textId="77777777" w:rsidR="00B7048E" w:rsidRPr="00B7048E" w:rsidRDefault="00B7048E" w:rsidP="00B7048E">
      <w:pPr>
        <w:pStyle w:val="SingleTxtG"/>
        <w:numPr>
          <w:ilvl w:val="0"/>
          <w:numId w:val="41"/>
        </w:numPr>
        <w:spacing w:after="0"/>
        <w:ind w:left="1848" w:right="284" w:hanging="147"/>
        <w:rPr>
          <w:rFonts w:eastAsia="MS Mincho"/>
          <w:highlight w:val="lightGray"/>
          <w:lang w:val="en-US" w:eastAsia="ja-JP"/>
        </w:rPr>
      </w:pPr>
      <w:r w:rsidRPr="00B7048E">
        <w:rPr>
          <w:rFonts w:eastAsia="MS Mincho"/>
          <w:highlight w:val="lightGray"/>
          <w:lang w:val="en-US" w:eastAsia="ja-JP"/>
        </w:rPr>
        <w:t>they are in the transport configuration; or</w:t>
      </w:r>
    </w:p>
    <w:p w14:paraId="400445F5" w14:textId="77777777" w:rsidR="00B7048E" w:rsidRPr="00B7048E" w:rsidRDefault="00B7048E" w:rsidP="00B7048E">
      <w:pPr>
        <w:pStyle w:val="SingleTxtG"/>
        <w:numPr>
          <w:ilvl w:val="0"/>
          <w:numId w:val="41"/>
        </w:numPr>
        <w:spacing w:after="0"/>
        <w:ind w:left="1848" w:right="284" w:hanging="147"/>
        <w:rPr>
          <w:rFonts w:eastAsia="MS Mincho"/>
          <w:highlight w:val="lightGray"/>
          <w:lang w:val="en-US" w:eastAsia="ja-JP"/>
        </w:rPr>
      </w:pPr>
      <w:r w:rsidRPr="00B7048E">
        <w:rPr>
          <w:rFonts w:eastAsia="MS Mincho"/>
          <w:highlight w:val="lightGray"/>
          <w:lang w:val="en-US" w:eastAsia="ja-JP"/>
        </w:rPr>
        <w:t>the transport classification does not depend on a particular configuration; or</w:t>
      </w:r>
    </w:p>
    <w:p w14:paraId="7EFCA390" w14:textId="77777777" w:rsidR="00B7048E" w:rsidRPr="00B7048E" w:rsidRDefault="00B7048E" w:rsidP="00B7048E">
      <w:pPr>
        <w:pStyle w:val="SingleTxtG"/>
        <w:numPr>
          <w:ilvl w:val="0"/>
          <w:numId w:val="41"/>
        </w:numPr>
        <w:spacing w:after="0"/>
        <w:ind w:left="1848" w:right="284" w:hanging="147"/>
        <w:rPr>
          <w:rFonts w:eastAsia="MS Mincho"/>
          <w:highlight w:val="lightGray"/>
          <w:lang w:val="en-US" w:eastAsia="ja-JP"/>
        </w:rPr>
      </w:pPr>
      <w:r w:rsidRPr="00B7048E">
        <w:rPr>
          <w:rFonts w:eastAsia="MS Mincho"/>
          <w:highlight w:val="lightGray"/>
          <w:lang w:val="en-US" w:eastAsia="ja-JP"/>
        </w:rPr>
        <w:t>they are in use, see 2.1.1.3.4.</w:t>
      </w:r>
    </w:p>
    <w:p w14:paraId="3D1BCA2B" w14:textId="77777777" w:rsidR="00B7048E" w:rsidRPr="00B7048E" w:rsidRDefault="00B7048E" w:rsidP="00B7048E">
      <w:pPr>
        <w:pStyle w:val="SingleTxtG"/>
        <w:spacing w:before="240" w:after="0"/>
        <w:ind w:right="284"/>
        <w:rPr>
          <w:rFonts w:eastAsia="MS Mincho"/>
          <w:highlight w:val="lightGray"/>
          <w:lang w:val="en-US" w:eastAsia="ja-JP"/>
        </w:rPr>
      </w:pPr>
      <w:r w:rsidRPr="00B7048E">
        <w:rPr>
          <w:rFonts w:eastAsia="MS Mincho"/>
          <w:b/>
          <w:i/>
          <w:highlight w:val="lightGray"/>
          <w:lang w:val="en-US" w:eastAsia="ja-JP"/>
        </w:rPr>
        <w:t xml:space="preserve">NOTE: </w:t>
      </w:r>
      <w:r w:rsidRPr="00B7048E">
        <w:rPr>
          <w:rFonts w:eastAsia="MS Mincho"/>
          <w:i/>
          <w:highlight w:val="lightGray"/>
          <w:lang w:val="en-US" w:eastAsia="ja-JP"/>
        </w:rPr>
        <w:t>Subject to approval from the competent authority, explosive articles that are assigned a specific UN-number in division 6.1 within Class 6 or in Class 8 may be classified in the GHS hazard class and, where available, category corresponding to the transport classification, and excluded from the hazard class explosives, provided that conditions (a) to (c) of 2.1.1.2.3.1 are met.</w:t>
      </w:r>
    </w:p>
    <w:p w14:paraId="6E279B06" w14:textId="77777777" w:rsidR="00B7048E" w:rsidRPr="00B7048E" w:rsidRDefault="00B7048E" w:rsidP="00B7048E">
      <w:pPr>
        <w:pStyle w:val="SingleTxtG"/>
        <w:spacing w:before="240"/>
        <w:ind w:right="284"/>
        <w:rPr>
          <w:rFonts w:eastAsia="MS Mincho"/>
          <w:highlight w:val="lightGray"/>
          <w:lang w:val="en-US" w:eastAsia="ja-JP"/>
        </w:rPr>
      </w:pPr>
      <w:r w:rsidRPr="00B7048E">
        <w:rPr>
          <w:rFonts w:eastAsia="MS Mincho"/>
          <w:highlight w:val="lightGray"/>
          <w:lang w:val="en-US" w:eastAsia="ja-JP"/>
        </w:rPr>
        <w:t xml:space="preserve">2.1.1.2.3.2 </w:t>
      </w:r>
      <w:r w:rsidRPr="00B7048E">
        <w:rPr>
          <w:rFonts w:eastAsia="MS Mincho"/>
          <w:highlight w:val="lightGray"/>
          <w:lang w:val="en-US" w:eastAsia="ja-JP"/>
        </w:rPr>
        <w:tab/>
        <w:t>Explosive articles that are assigned a specific UN-number in Class 9 are classified as explosives in Sub-category 2C, provided that:</w:t>
      </w:r>
    </w:p>
    <w:p w14:paraId="0073395B" w14:textId="77777777" w:rsidR="00B7048E" w:rsidRPr="00B7048E" w:rsidRDefault="00B7048E" w:rsidP="00B7048E">
      <w:pPr>
        <w:pStyle w:val="SingleTxtG"/>
        <w:numPr>
          <w:ilvl w:val="0"/>
          <w:numId w:val="42"/>
        </w:numPr>
        <w:spacing w:after="0"/>
        <w:ind w:left="1848" w:right="284" w:hanging="147"/>
        <w:rPr>
          <w:rFonts w:eastAsia="MS Mincho"/>
          <w:highlight w:val="lightGray"/>
          <w:lang w:val="en-US" w:eastAsia="ja-JP"/>
        </w:rPr>
      </w:pPr>
      <w:r w:rsidRPr="00B7048E">
        <w:rPr>
          <w:rFonts w:eastAsia="MS Mincho"/>
          <w:highlight w:val="lightGray"/>
          <w:lang w:val="en-US" w:eastAsia="ja-JP"/>
        </w:rPr>
        <w:t>they are in the transport configuration; or</w:t>
      </w:r>
    </w:p>
    <w:p w14:paraId="5F6C1B6B" w14:textId="77777777" w:rsidR="00B7048E" w:rsidRPr="00B7048E" w:rsidRDefault="00B7048E" w:rsidP="00B7048E">
      <w:pPr>
        <w:pStyle w:val="SingleTxtG"/>
        <w:numPr>
          <w:ilvl w:val="0"/>
          <w:numId w:val="42"/>
        </w:numPr>
        <w:spacing w:after="0"/>
        <w:ind w:left="1848" w:right="284" w:hanging="147"/>
        <w:rPr>
          <w:rFonts w:eastAsia="MS Mincho"/>
          <w:highlight w:val="lightGray"/>
          <w:lang w:val="en-US" w:eastAsia="ja-JP"/>
        </w:rPr>
      </w:pPr>
      <w:r w:rsidRPr="00B7048E">
        <w:rPr>
          <w:rFonts w:eastAsia="MS Mincho"/>
          <w:highlight w:val="lightGray"/>
          <w:lang w:val="en-US" w:eastAsia="ja-JP"/>
        </w:rPr>
        <w:t>the transport classification does not depend on a particular configuration; or</w:t>
      </w:r>
    </w:p>
    <w:p w14:paraId="5164BD06" w14:textId="1260F1AA" w:rsidR="00B7048E" w:rsidRPr="00B7048E" w:rsidRDefault="00B7048E" w:rsidP="00B7048E">
      <w:pPr>
        <w:pStyle w:val="SingleTxtG"/>
        <w:numPr>
          <w:ilvl w:val="0"/>
          <w:numId w:val="42"/>
        </w:numPr>
        <w:spacing w:after="0"/>
        <w:ind w:left="1848" w:right="284" w:hanging="147"/>
        <w:rPr>
          <w:rFonts w:eastAsia="MS Mincho"/>
          <w:highlight w:val="lightGray"/>
          <w:lang w:val="en-US" w:eastAsia="ja-JP"/>
        </w:rPr>
      </w:pPr>
      <w:r w:rsidRPr="00B7048E">
        <w:rPr>
          <w:rFonts w:eastAsia="MS Mincho"/>
          <w:highlight w:val="lightGray"/>
          <w:lang w:val="en-US" w:eastAsia="ja-JP"/>
        </w:rPr>
        <w:t>they are in use, see 2.1.1.3.4.]</w:t>
      </w:r>
    </w:p>
    <w:p w14:paraId="2FEE64AD" w14:textId="0EDE69E3" w:rsidR="00B7048E" w:rsidRPr="00B7048E" w:rsidRDefault="00B7048E" w:rsidP="00001582">
      <w:pPr>
        <w:spacing w:after="240" w:line="240" w:lineRule="auto"/>
        <w:ind w:left="1134" w:right="284"/>
        <w:jc w:val="both"/>
        <w:rPr>
          <w:lang w:val="en-US"/>
        </w:rPr>
      </w:pPr>
    </w:p>
    <w:p w14:paraId="09072262" w14:textId="2589BB97" w:rsidR="00001582" w:rsidRDefault="00001582" w:rsidP="00001582">
      <w:pPr>
        <w:spacing w:after="240" w:line="240" w:lineRule="auto"/>
        <w:ind w:left="1134" w:right="284"/>
        <w:jc w:val="both"/>
      </w:pPr>
      <w:r>
        <w:lastRenderedPageBreak/>
        <w:t>2.1.1.3</w:t>
      </w:r>
      <w:r>
        <w:tab/>
      </w:r>
      <w:r>
        <w:tab/>
        <w:t>Other considerations</w:t>
      </w:r>
    </w:p>
    <w:p w14:paraId="720325DA" w14:textId="77777777" w:rsidR="00001582" w:rsidRDefault="00001582" w:rsidP="00001582">
      <w:pPr>
        <w:spacing w:after="240" w:line="240" w:lineRule="auto"/>
        <w:ind w:left="1134" w:right="284"/>
        <w:jc w:val="both"/>
      </w:pPr>
      <w:r>
        <w:t>2.1.1.3.1</w:t>
      </w:r>
      <w:r>
        <w:tab/>
      </w:r>
      <w:r>
        <w:rPr>
          <w:i/>
          <w:iCs/>
        </w:rPr>
        <w:t>The relation to the classification according to the UN Model Regulations</w:t>
      </w:r>
      <w:r>
        <w:t xml:space="preserve"> </w:t>
      </w:r>
    </w:p>
    <w:p w14:paraId="623AFA03" w14:textId="7DA7BA52" w:rsidR="00001582" w:rsidRDefault="00001582" w:rsidP="00001582">
      <w:pPr>
        <w:tabs>
          <w:tab w:val="left" w:pos="2268"/>
        </w:tabs>
        <w:spacing w:after="240" w:line="240" w:lineRule="auto"/>
        <w:ind w:left="1134" w:right="284"/>
        <w:jc w:val="both"/>
      </w:pPr>
      <w:r>
        <w:tab/>
        <w:t xml:space="preserve">The GHS classification of substances, mixtures and articles as explosives builds largely on the classification used for transport according to the </w:t>
      </w:r>
      <w:r>
        <w:rPr>
          <w:i/>
          <w:iCs/>
        </w:rPr>
        <w:t>UN Model Regulations</w:t>
      </w:r>
      <w:r>
        <w:t xml:space="preserve">. Information on their transport division and, when available, some of the underlying test results according to Part I of the </w:t>
      </w:r>
      <w:r w:rsidRPr="002A4621">
        <w:rPr>
          <w:i/>
        </w:rPr>
        <w:t>Manual of Tests and Criteria</w:t>
      </w:r>
      <w:r w:rsidRPr="002A4621">
        <w:t xml:space="preserve">, is therefore relevant for the GHS classification. </w:t>
      </w:r>
      <w:r w:rsidR="00442382" w:rsidRPr="002A4621">
        <w:rPr>
          <w:bCs/>
        </w:rPr>
        <w:t>Test data is not required when classification using expert judgement is possible based on available information from previous testing and characterization</w:t>
      </w:r>
      <w:r w:rsidR="00442382" w:rsidRPr="002A4621">
        <w:t xml:space="preserve">. </w:t>
      </w:r>
      <w:r w:rsidRPr="002A4621">
        <w:t>Where appropriate, analogy to tested explosives may be used, taking into consideration whether changes to the configuration may affect the hazard posed compared to the tested configuration.</w:t>
      </w:r>
      <w:r w:rsidRPr="002A4621">
        <w:rPr>
          <w:b/>
        </w:rPr>
        <w:t xml:space="preserve"> </w:t>
      </w:r>
      <w:r w:rsidRPr="002A4621">
        <w:t>While</w:t>
      </w:r>
      <w:r>
        <w:t xml:space="preserve"> the transport divisions are designed for the purpose of safe transportation of explosives, the GHS classification draws from this classification to ensure appropriate hazard communication in other sectors, in particular supply and use. In doing this, any mitigating effects of the transport configuration on the explosive behaviour, such as a particular packaging, are evaluated as they may not be present in sectors outside of transport.</w:t>
      </w:r>
    </w:p>
    <w:p w14:paraId="1952C074" w14:textId="77777777" w:rsidR="00001582" w:rsidRDefault="00001582" w:rsidP="00001582">
      <w:pPr>
        <w:spacing w:after="240" w:line="240" w:lineRule="auto"/>
        <w:ind w:left="1134" w:right="284"/>
        <w:jc w:val="both"/>
        <w:rPr>
          <w:i/>
        </w:rPr>
      </w:pPr>
      <w:r>
        <w:t>2.1.1.3.2</w:t>
      </w:r>
      <w:r>
        <w:tab/>
      </w:r>
      <w:r>
        <w:rPr>
          <w:i/>
        </w:rPr>
        <w:t>The configuration dependence of the division</w:t>
      </w:r>
    </w:p>
    <w:p w14:paraId="294FD8E3" w14:textId="3118550F" w:rsidR="00001582" w:rsidRDefault="00001582" w:rsidP="00001582">
      <w:pPr>
        <w:tabs>
          <w:tab w:val="left" w:pos="2268"/>
        </w:tabs>
        <w:spacing w:after="240" w:line="240" w:lineRule="auto"/>
        <w:ind w:left="1134" w:right="284"/>
        <w:jc w:val="both"/>
      </w:pPr>
      <w:r>
        <w:tab/>
        <w:t>Entry into the hazard class of explosives is based on the intrinsic explosive properties of substances and mixtures. The assignment to a division, however, is also dependent on the configuration using packaging, and the incorporation into articles of such substances and mixtures. The division is the relevant level of classification when the explosive is in the configuration to which the division was assigned, e.g. when transported or stored, and may form the basis for explosives licencing and safety measures such as distance requirements. The hazard categories, on the other hand, are the relevant level of classification for the safe handling.</w:t>
      </w:r>
    </w:p>
    <w:p w14:paraId="7702C51F" w14:textId="77777777" w:rsidR="00001582" w:rsidRDefault="00001582" w:rsidP="00001582">
      <w:pPr>
        <w:spacing w:after="240" w:line="240" w:lineRule="auto"/>
        <w:ind w:left="1134" w:right="284"/>
        <w:jc w:val="both"/>
        <w:rPr>
          <w:i/>
        </w:rPr>
      </w:pPr>
      <w:r>
        <w:t>2.1.1.3.3</w:t>
      </w:r>
      <w:r>
        <w:rPr>
          <w:rFonts w:eastAsiaTheme="minorHAnsi"/>
          <w:i/>
        </w:rPr>
        <w:t xml:space="preserve"> </w:t>
      </w:r>
      <w:r>
        <w:rPr>
          <w:rFonts w:eastAsiaTheme="minorHAnsi"/>
          <w:i/>
        </w:rPr>
        <w:tab/>
      </w:r>
      <w:r>
        <w:rPr>
          <w:i/>
        </w:rPr>
        <w:t>The hierarchy of the categories</w:t>
      </w:r>
    </w:p>
    <w:p w14:paraId="059AD0E1" w14:textId="7FF93B6B" w:rsidR="00001582" w:rsidRDefault="00001582" w:rsidP="00001582">
      <w:pPr>
        <w:tabs>
          <w:tab w:val="left" w:pos="2268"/>
        </w:tabs>
        <w:spacing w:after="240" w:line="240" w:lineRule="auto"/>
        <w:ind w:left="1134" w:right="284"/>
        <w:jc w:val="both"/>
      </w:pPr>
      <w:r>
        <w:tab/>
        <w:t>Category 2 only contains explosives which have been assigned to a division</w:t>
      </w:r>
      <w:r w:rsidR="00820C8B">
        <w:t xml:space="preserve"> </w:t>
      </w:r>
      <w:r>
        <w:t xml:space="preserve">and corresponds to Class 1 of the </w:t>
      </w:r>
      <w:r>
        <w:rPr>
          <w:i/>
        </w:rPr>
        <w:t>UN Model Regulations</w:t>
      </w:r>
      <w:r>
        <w:t>. The sub-categories within Category 2 classify explosives on basis of the hazardous behaviour of the explosive in its primary packaging or, where applicable, of the explosive article alone. An explo</w:t>
      </w:r>
      <w:r w:rsidR="002A4621">
        <w:t xml:space="preserve">sive that has not been assigned </w:t>
      </w:r>
      <w:r>
        <w:t>a division is classified in Category 1 of the hazard class of explosives. This may be because it is considered too dangerous to be assigned a division, or because it is not (yet) in a suitable configuration to assign it to a division. Explosives in Category 1 are therefore not necessarily more hazardous than explosives in Category 2.</w:t>
      </w:r>
    </w:p>
    <w:p w14:paraId="00787099" w14:textId="77777777" w:rsidR="00001582" w:rsidRDefault="00001582" w:rsidP="00001582">
      <w:pPr>
        <w:spacing w:after="240" w:line="240" w:lineRule="auto"/>
        <w:ind w:left="1134" w:right="284"/>
        <w:jc w:val="both"/>
        <w:rPr>
          <w:i/>
        </w:rPr>
      </w:pPr>
      <w:r>
        <w:t>2.1.1.3.4</w:t>
      </w:r>
      <w:r>
        <w:tab/>
      </w:r>
      <w:r>
        <w:rPr>
          <w:i/>
        </w:rPr>
        <w:t>Change of classification over the life cycle</w:t>
      </w:r>
    </w:p>
    <w:p w14:paraId="236A911B" w14:textId="4EED5DA0" w:rsidR="00001582" w:rsidRDefault="00001582" w:rsidP="00001582">
      <w:pPr>
        <w:tabs>
          <w:tab w:val="left" w:pos="2268"/>
        </w:tabs>
        <w:spacing w:after="240" w:line="240" w:lineRule="auto"/>
        <w:ind w:left="1134" w:right="284"/>
        <w:jc w:val="both"/>
      </w:pPr>
      <w:r>
        <w:tab/>
        <w:t xml:space="preserve">As the assignment to a division depends on the configuration, the classification of an </w:t>
      </w:r>
      <w:r w:rsidRPr="002A4621">
        <w:t xml:space="preserve">explosive may change over its </w:t>
      </w:r>
      <w:r w:rsidR="00820C8B" w:rsidRPr="002A4621">
        <w:t>life cycle</w:t>
      </w:r>
      <w:r w:rsidRPr="002A4621">
        <w:t xml:space="preserve"> as a result of reconfiguration. An explosive that was assigned a division in a certain configuration, and hence classified in a sub-category within Category 2, </w:t>
      </w:r>
      <w:r w:rsidR="00473DC8" w:rsidRPr="002A4621">
        <w:t xml:space="preserve">may </w:t>
      </w:r>
      <w:r w:rsidRPr="002A4621">
        <w:t>no longer retain that</w:t>
      </w:r>
      <w:r>
        <w:t xml:space="preserve"> division when out of that configuration. If assigned to another division in the new configuration, it may need to be classified in another sub-category within Category 2, and if not assigned a division it should be classified in Category 1. However, the use of an explosive, meaning the preparation and intentional functioning, including removal from the primary packaging for functioning or installation or deployment in readiness for functioning, is not intended to require such re-classification.</w:t>
      </w:r>
    </w:p>
    <w:p w14:paraId="2CA98F8C" w14:textId="77777777" w:rsidR="00001582" w:rsidRDefault="00001582" w:rsidP="00001582">
      <w:pPr>
        <w:spacing w:after="240" w:line="240" w:lineRule="auto"/>
        <w:ind w:left="1134" w:right="284"/>
        <w:jc w:val="both"/>
        <w:rPr>
          <w:i/>
        </w:rPr>
      </w:pPr>
      <w:r>
        <w:t>2.1.1.3.5</w:t>
      </w:r>
      <w:r>
        <w:tab/>
      </w:r>
      <w:r>
        <w:rPr>
          <w:i/>
        </w:rPr>
        <w:t>Exclusions from the hazard class</w:t>
      </w:r>
    </w:p>
    <w:p w14:paraId="1CC63E91" w14:textId="4E91B1DB" w:rsidR="00001582" w:rsidRDefault="00001582" w:rsidP="00001582">
      <w:pPr>
        <w:tabs>
          <w:tab w:val="left" w:pos="2268"/>
        </w:tabs>
        <w:spacing w:after="240" w:line="240" w:lineRule="auto"/>
        <w:ind w:left="1134" w:right="284"/>
        <w:jc w:val="both"/>
      </w:pPr>
      <w:r>
        <w:tab/>
        <w:t xml:space="preserve">Some substances, mixtures and articles that have explosive properties are excluded from the hazard class explosives because they are not considered sensitive enough or because they do not present a significant explosion hazard in a particular configuration. </w:t>
      </w:r>
      <w:r w:rsidRPr="007D322F">
        <w:t>The safety data sheet is an appropriate means to convey information on explosive properties for such substances and mixtures, and the explosion hazards of such articles (see Chapter 1.4).</w:t>
      </w:r>
    </w:p>
    <w:p w14:paraId="3198B14E" w14:textId="77777777" w:rsidR="00A801F9" w:rsidRDefault="00A801F9">
      <w:pPr>
        <w:suppressAutoHyphens w:val="0"/>
        <w:spacing w:line="240" w:lineRule="auto"/>
        <w:rPr>
          <w:b/>
        </w:rPr>
      </w:pPr>
      <w:r>
        <w:rPr>
          <w:b/>
        </w:rPr>
        <w:br w:type="page"/>
      </w:r>
    </w:p>
    <w:p w14:paraId="491E84C9" w14:textId="53C7C335" w:rsidR="00001582" w:rsidRDefault="00001582" w:rsidP="00755E6A">
      <w:pPr>
        <w:tabs>
          <w:tab w:val="left" w:pos="2268"/>
        </w:tabs>
        <w:spacing w:after="240" w:line="240" w:lineRule="auto"/>
        <w:ind w:left="1134" w:right="284"/>
        <w:jc w:val="both"/>
      </w:pPr>
      <w:r>
        <w:rPr>
          <w:b/>
        </w:rPr>
        <w:lastRenderedPageBreak/>
        <w:t>2.1.2</w:t>
      </w:r>
      <w:r>
        <w:rPr>
          <w:b/>
        </w:rPr>
        <w:tab/>
        <w:t>Classification criteria</w:t>
      </w:r>
    </w:p>
    <w:p w14:paraId="49B5668E" w14:textId="77777777" w:rsidR="00001582" w:rsidRDefault="00001582" w:rsidP="00001582">
      <w:pPr>
        <w:tabs>
          <w:tab w:val="left" w:pos="2410"/>
        </w:tabs>
        <w:spacing w:after="240" w:line="240" w:lineRule="auto"/>
        <w:ind w:left="1134" w:right="284"/>
        <w:jc w:val="both"/>
      </w:pPr>
      <w:r>
        <w:t>2.1.2.1</w:t>
      </w:r>
      <w:r>
        <w:tab/>
        <w:t>Explosive substances, mixtures and articles of this class are classified into one of two categories</w:t>
      </w:r>
      <w:r w:rsidRPr="004D597B">
        <w:t>, and for Category 2 into one of three sub-categories,</w:t>
      </w:r>
      <w:r>
        <w:t xml:space="preserve"> according to the following table:</w:t>
      </w:r>
    </w:p>
    <w:tbl>
      <w:tblPr>
        <w:tblStyle w:val="Tabellrutnt1"/>
        <w:tblW w:w="0" w:type="auto"/>
        <w:tblInd w:w="1129" w:type="dxa"/>
        <w:tblCellMar>
          <w:top w:w="57" w:type="dxa"/>
          <w:left w:w="57" w:type="dxa"/>
          <w:bottom w:w="57" w:type="dxa"/>
          <w:right w:w="57" w:type="dxa"/>
        </w:tblCellMar>
        <w:tblLook w:val="04A0" w:firstRow="1" w:lastRow="0" w:firstColumn="1" w:lastColumn="0" w:noHBand="0" w:noVBand="1"/>
      </w:tblPr>
      <w:tblGrid>
        <w:gridCol w:w="903"/>
        <w:gridCol w:w="850"/>
        <w:gridCol w:w="6469"/>
      </w:tblGrid>
      <w:tr w:rsidR="00001582" w14:paraId="2537EEAC" w14:textId="77777777" w:rsidTr="00755E6A">
        <w:trPr>
          <w:tblHeader/>
        </w:trPr>
        <w:tc>
          <w:tcPr>
            <w:tcW w:w="903" w:type="dxa"/>
            <w:tcBorders>
              <w:top w:val="single" w:sz="4" w:space="0" w:color="auto"/>
              <w:left w:val="single" w:sz="4" w:space="0" w:color="auto"/>
              <w:bottom w:val="single" w:sz="4" w:space="0" w:color="auto"/>
              <w:right w:val="single" w:sz="4" w:space="0" w:color="auto"/>
            </w:tcBorders>
            <w:hideMark/>
          </w:tcPr>
          <w:p w14:paraId="6E54EC8F"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t>Category</w:t>
            </w:r>
          </w:p>
        </w:tc>
        <w:tc>
          <w:tcPr>
            <w:tcW w:w="850" w:type="dxa"/>
            <w:tcBorders>
              <w:top w:val="single" w:sz="4" w:space="0" w:color="auto"/>
              <w:left w:val="single" w:sz="4" w:space="0" w:color="auto"/>
              <w:bottom w:val="single" w:sz="4" w:space="0" w:color="auto"/>
              <w:right w:val="single" w:sz="4" w:space="0" w:color="auto"/>
            </w:tcBorders>
            <w:hideMark/>
          </w:tcPr>
          <w:p w14:paraId="4B041ADE"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t>Sub-category</w:t>
            </w:r>
          </w:p>
        </w:tc>
        <w:tc>
          <w:tcPr>
            <w:tcW w:w="6469" w:type="dxa"/>
            <w:tcBorders>
              <w:top w:val="single" w:sz="4" w:space="0" w:color="auto"/>
              <w:left w:val="single" w:sz="4" w:space="0" w:color="auto"/>
              <w:bottom w:val="single" w:sz="4" w:space="0" w:color="auto"/>
              <w:right w:val="single" w:sz="4" w:space="0" w:color="auto"/>
            </w:tcBorders>
            <w:hideMark/>
          </w:tcPr>
          <w:p w14:paraId="7787864B" w14:textId="77777777" w:rsidR="00001582" w:rsidRDefault="00001582" w:rsidP="00A63423">
            <w:pPr>
              <w:keepNext/>
              <w:keepLines/>
              <w:spacing w:before="60" w:after="60" w:line="240" w:lineRule="auto"/>
              <w:jc w:val="both"/>
              <w:rPr>
                <w:rFonts w:ascii="Times New Roman" w:hAnsi="Times New Roman"/>
                <w:b/>
                <w:sz w:val="20"/>
                <w:szCs w:val="20"/>
                <w:lang w:val="sv-SE"/>
              </w:rPr>
            </w:pPr>
            <w:r>
              <w:rPr>
                <w:rFonts w:ascii="Times New Roman" w:hAnsi="Times New Roman"/>
                <w:b/>
                <w:sz w:val="20"/>
                <w:szCs w:val="20"/>
                <w:lang w:val="sv-SE"/>
              </w:rPr>
              <w:t>Criteria</w:t>
            </w:r>
          </w:p>
        </w:tc>
      </w:tr>
      <w:tr w:rsidR="00001582" w14:paraId="1A32D451" w14:textId="77777777" w:rsidTr="00001582">
        <w:tc>
          <w:tcPr>
            <w:tcW w:w="903" w:type="dxa"/>
            <w:tcBorders>
              <w:top w:val="single" w:sz="4" w:space="0" w:color="auto"/>
              <w:left w:val="single" w:sz="4" w:space="0" w:color="auto"/>
              <w:bottom w:val="single" w:sz="4" w:space="0" w:color="auto"/>
              <w:right w:val="single" w:sz="4" w:space="0" w:color="auto"/>
            </w:tcBorders>
            <w:hideMark/>
          </w:tcPr>
          <w:p w14:paraId="6DCC0709" w14:textId="77777777" w:rsidR="00001582" w:rsidRDefault="00001582" w:rsidP="00A63423">
            <w:pPr>
              <w:keepNext/>
              <w:keepLines/>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1</w:t>
            </w:r>
          </w:p>
        </w:tc>
        <w:tc>
          <w:tcPr>
            <w:tcW w:w="850" w:type="dxa"/>
            <w:tcBorders>
              <w:top w:val="single" w:sz="4" w:space="0" w:color="auto"/>
              <w:left w:val="single" w:sz="4" w:space="0" w:color="auto"/>
              <w:bottom w:val="single" w:sz="4" w:space="0" w:color="auto"/>
              <w:right w:val="single" w:sz="4" w:space="0" w:color="auto"/>
            </w:tcBorders>
          </w:tcPr>
          <w:p w14:paraId="4736DA35" w14:textId="77777777" w:rsidR="00001582" w:rsidRDefault="00001582" w:rsidP="00A63423">
            <w:pPr>
              <w:keepNext/>
              <w:keepLines/>
              <w:spacing w:before="60" w:after="60" w:line="240" w:lineRule="auto"/>
              <w:jc w:val="center"/>
              <w:rPr>
                <w:rFonts w:ascii="Times New Roman" w:hAnsi="Times New Roman"/>
                <w:b/>
                <w:sz w:val="20"/>
                <w:szCs w:val="20"/>
                <w:lang w:val="sv-SE"/>
              </w:rPr>
            </w:pPr>
          </w:p>
        </w:tc>
        <w:tc>
          <w:tcPr>
            <w:tcW w:w="6469" w:type="dxa"/>
            <w:tcBorders>
              <w:top w:val="single" w:sz="4" w:space="0" w:color="auto"/>
              <w:left w:val="single" w:sz="4" w:space="0" w:color="auto"/>
              <w:bottom w:val="single" w:sz="4" w:space="0" w:color="auto"/>
              <w:right w:val="single" w:sz="4" w:space="0" w:color="auto"/>
            </w:tcBorders>
            <w:hideMark/>
          </w:tcPr>
          <w:p w14:paraId="1639599A" w14:textId="13A9A202" w:rsidR="00001582" w:rsidRPr="00091297" w:rsidRDefault="00001582" w:rsidP="00A63423">
            <w:pPr>
              <w:keepNext/>
              <w:keepLines/>
              <w:tabs>
                <w:tab w:val="left" w:pos="376"/>
              </w:tabs>
              <w:spacing w:before="60" w:after="60" w:line="240" w:lineRule="auto"/>
              <w:rPr>
                <w:rFonts w:ascii="Times New Roman" w:hAnsi="Times New Roman"/>
                <w:sz w:val="20"/>
                <w:szCs w:val="20"/>
              </w:rPr>
            </w:pPr>
            <w:r w:rsidRPr="00091297">
              <w:rPr>
                <w:rFonts w:ascii="Times New Roman" w:hAnsi="Times New Roman"/>
                <w:sz w:val="20"/>
                <w:szCs w:val="20"/>
              </w:rPr>
              <w:t xml:space="preserve">Explosive substances, mixtures and articles which </w:t>
            </w:r>
            <w:r w:rsidRPr="00091297">
              <w:rPr>
                <w:rFonts w:ascii="Times New Roman" w:hAnsi="Times New Roman"/>
                <w:sz w:val="20"/>
                <w:szCs w:val="20"/>
              </w:rPr>
              <w:br/>
              <w:t xml:space="preserve">(a) </w:t>
            </w:r>
            <w:r w:rsidR="002A09A8">
              <w:rPr>
                <w:rFonts w:ascii="Times New Roman" w:hAnsi="Times New Roman"/>
                <w:sz w:val="20"/>
                <w:szCs w:val="20"/>
              </w:rPr>
              <w:tab/>
            </w:r>
            <w:r w:rsidRPr="00091297">
              <w:rPr>
                <w:rFonts w:ascii="Times New Roman" w:hAnsi="Times New Roman"/>
                <w:sz w:val="20"/>
                <w:szCs w:val="20"/>
              </w:rPr>
              <w:t>have not been assigned a division and which</w:t>
            </w:r>
          </w:p>
          <w:p w14:paraId="312F21F8" w14:textId="2C559F54" w:rsidR="00001582" w:rsidRPr="00091297" w:rsidRDefault="00001582" w:rsidP="00A63423">
            <w:pPr>
              <w:keepNext/>
              <w:keepLines/>
              <w:tabs>
                <w:tab w:val="left" w:pos="747"/>
              </w:tabs>
              <w:spacing w:before="60" w:after="60" w:line="240" w:lineRule="auto"/>
              <w:ind w:left="747" w:hanging="425"/>
              <w:rPr>
                <w:rFonts w:ascii="Times New Roman" w:hAnsi="Times New Roman"/>
                <w:sz w:val="20"/>
                <w:szCs w:val="20"/>
              </w:rPr>
            </w:pPr>
            <w:r w:rsidRPr="00091297">
              <w:rPr>
                <w:rFonts w:ascii="Times New Roman" w:hAnsi="Times New Roman"/>
                <w:sz w:val="20"/>
                <w:szCs w:val="20"/>
              </w:rPr>
              <w:t xml:space="preserve">(i) </w:t>
            </w:r>
            <w:r w:rsidR="002A09A8">
              <w:rPr>
                <w:rFonts w:ascii="Times New Roman" w:hAnsi="Times New Roman"/>
                <w:sz w:val="20"/>
                <w:szCs w:val="20"/>
              </w:rPr>
              <w:tab/>
            </w:r>
            <w:r w:rsidRPr="00091297">
              <w:rPr>
                <w:rFonts w:ascii="Times New Roman" w:hAnsi="Times New Roman"/>
                <w:sz w:val="20"/>
                <w:szCs w:val="20"/>
              </w:rPr>
              <w:t>are manufactured with the view of producing an explosive or pyrotechnic effect; or</w:t>
            </w:r>
          </w:p>
          <w:p w14:paraId="7836E355" w14:textId="4BF1FDE7"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i/>
                <w:iCs/>
                <w:color w:val="000000"/>
                <w:sz w:val="20"/>
                <w:szCs w:val="20"/>
                <w:lang w:eastAsia="sv-SE"/>
              </w:rPr>
            </w:pPr>
            <w:r w:rsidRPr="00091297">
              <w:rPr>
                <w:rFonts w:ascii="Times New Roman" w:hAnsi="Times New Roman"/>
                <w:color w:val="000000"/>
                <w:sz w:val="20"/>
                <w:szCs w:val="20"/>
                <w:lang w:eastAsia="sv-SE"/>
              </w:rPr>
              <w:t xml:space="preserve">(ii)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are substances or mixtures which show positive </w:t>
            </w:r>
            <w:r w:rsidR="000E7628" w:rsidRPr="002A4621">
              <w:rPr>
                <w:rFonts w:ascii="Times New Roman" w:hAnsi="Times New Roman"/>
                <w:color w:val="000000"/>
                <w:sz w:val="20"/>
                <w:szCs w:val="20"/>
                <w:lang w:eastAsia="sv-SE"/>
              </w:rPr>
              <w:t>results</w:t>
            </w:r>
            <w:r w:rsidR="000E7628" w:rsidRPr="00091297">
              <w:rPr>
                <w:rFonts w:ascii="Times New Roman" w:hAnsi="Times New Roman"/>
                <w:color w:val="000000"/>
                <w:sz w:val="20"/>
                <w:szCs w:val="20"/>
                <w:lang w:eastAsia="sv-SE"/>
              </w:rPr>
              <w:t xml:space="preserve"> </w:t>
            </w:r>
            <w:r w:rsidRPr="00091297">
              <w:rPr>
                <w:rFonts w:ascii="Times New Roman" w:hAnsi="Times New Roman"/>
                <w:color w:val="000000"/>
                <w:sz w:val="20"/>
                <w:szCs w:val="20"/>
                <w:lang w:eastAsia="sv-SE"/>
              </w:rPr>
              <w:t xml:space="preserve">when tested in Test series 2 of the </w:t>
            </w:r>
            <w:r w:rsidRPr="00091297">
              <w:rPr>
                <w:rFonts w:ascii="Times New Roman" w:hAnsi="Times New Roman"/>
                <w:i/>
                <w:iCs/>
                <w:color w:val="000000"/>
                <w:sz w:val="20"/>
                <w:szCs w:val="20"/>
                <w:lang w:eastAsia="sv-SE"/>
              </w:rPr>
              <w:t xml:space="preserve">Manual of Tests and Criteria </w:t>
            </w:r>
          </w:p>
          <w:p w14:paraId="6CBC3594" w14:textId="613AA0BB" w:rsidR="00001582" w:rsidRPr="00091297" w:rsidRDefault="00001582" w:rsidP="00A63423">
            <w:pPr>
              <w:keepNext/>
              <w:keepLines/>
              <w:suppressAutoHyphens w:val="0"/>
              <w:autoSpaceDE w:val="0"/>
              <w:autoSpaceDN w:val="0"/>
              <w:adjustRightInd w:val="0"/>
              <w:spacing w:before="60" w:after="60" w:line="240" w:lineRule="auto"/>
              <w:rPr>
                <w:rFonts w:ascii="Times New Roman" w:hAnsi="Times New Roman"/>
                <w:iCs/>
                <w:color w:val="000000"/>
                <w:sz w:val="20"/>
                <w:szCs w:val="20"/>
                <w:lang w:eastAsia="sv-SE"/>
              </w:rPr>
            </w:pPr>
            <w:r w:rsidRPr="00091297">
              <w:rPr>
                <w:rFonts w:ascii="Times New Roman" w:hAnsi="Times New Roman"/>
                <w:iCs/>
                <w:color w:val="000000"/>
                <w:sz w:val="20"/>
                <w:szCs w:val="20"/>
                <w:lang w:eastAsia="sv-SE"/>
              </w:rPr>
              <w:t>or</w:t>
            </w:r>
          </w:p>
          <w:p w14:paraId="0B6058CB" w14:textId="54CDDC18" w:rsidR="00001582" w:rsidRPr="00091297" w:rsidRDefault="00001582" w:rsidP="00A63423">
            <w:pPr>
              <w:keepNext/>
              <w:keepLines/>
              <w:suppressAutoHyphens w:val="0"/>
              <w:autoSpaceDE w:val="0"/>
              <w:autoSpaceDN w:val="0"/>
              <w:adjustRightInd w:val="0"/>
              <w:spacing w:before="60" w:after="60" w:line="240" w:lineRule="auto"/>
              <w:ind w:left="322" w:hanging="284"/>
              <w:rPr>
                <w:rFonts w:ascii="Times New Roman" w:hAnsi="Times New Roman"/>
                <w:color w:val="000000"/>
                <w:sz w:val="20"/>
                <w:szCs w:val="20"/>
                <w:lang w:eastAsia="sv-SE"/>
              </w:rPr>
            </w:pPr>
            <w:r w:rsidRPr="00091297">
              <w:rPr>
                <w:rFonts w:ascii="Times New Roman" w:hAnsi="Times New Roman"/>
                <w:color w:val="000000"/>
                <w:sz w:val="20"/>
                <w:szCs w:val="20"/>
                <w:lang w:eastAsia="sv-SE"/>
              </w:rPr>
              <w:t>(b) are out of the primary packaging of the configuration to which a division was assigned</w:t>
            </w:r>
            <w:r w:rsidRPr="00091297">
              <w:rPr>
                <w:rFonts w:ascii="Times New Roman" w:hAnsi="Times New Roman"/>
                <w:i/>
                <w:iCs/>
                <w:color w:val="000000"/>
                <w:sz w:val="20"/>
                <w:szCs w:val="20"/>
                <w:vertAlign w:val="superscript"/>
                <w:lang w:eastAsia="sv-SE"/>
              </w:rPr>
              <w:t>a</w:t>
            </w:r>
            <w:r w:rsidRPr="00091297">
              <w:rPr>
                <w:rFonts w:ascii="Times New Roman" w:hAnsi="Times New Roman"/>
                <w:i/>
                <w:iCs/>
                <w:color w:val="000000"/>
                <w:sz w:val="20"/>
                <w:szCs w:val="20"/>
                <w:lang w:eastAsia="sv-SE"/>
              </w:rPr>
              <w:t xml:space="preserve"> </w:t>
            </w:r>
            <w:r w:rsidRPr="00091297">
              <w:rPr>
                <w:rFonts w:ascii="Times New Roman" w:hAnsi="Times New Roman"/>
                <w:color w:val="000000"/>
                <w:sz w:val="20"/>
                <w:szCs w:val="20"/>
                <w:lang w:eastAsia="sv-SE"/>
              </w:rPr>
              <w:t>, unless they are explosive articles assigned</w:t>
            </w:r>
            <w:r w:rsidR="002A4621">
              <w:rPr>
                <w:rFonts w:ascii="Times New Roman" w:hAnsi="Times New Roman"/>
                <w:color w:val="000000"/>
                <w:sz w:val="20"/>
                <w:szCs w:val="20"/>
                <w:lang w:eastAsia="sv-SE"/>
              </w:rPr>
              <w:t xml:space="preserve"> </w:t>
            </w:r>
            <w:r w:rsidRPr="00091297">
              <w:rPr>
                <w:rFonts w:ascii="Times New Roman" w:hAnsi="Times New Roman"/>
                <w:color w:val="000000"/>
                <w:sz w:val="20"/>
                <w:szCs w:val="20"/>
                <w:lang w:eastAsia="sv-SE"/>
              </w:rPr>
              <w:t>a division:</w:t>
            </w:r>
          </w:p>
          <w:p w14:paraId="0A3B1820" w14:textId="7EF2727E"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without a primary packaging; or</w:t>
            </w:r>
          </w:p>
          <w:p w14:paraId="181935D4" w14:textId="361F3BF1" w:rsidR="00001582" w:rsidRPr="00091297" w:rsidRDefault="00001582" w:rsidP="00A63423">
            <w:pPr>
              <w:keepNext/>
              <w:keepLines/>
              <w:tabs>
                <w:tab w:val="left" w:pos="747"/>
              </w:tabs>
              <w:suppressAutoHyphens w:val="0"/>
              <w:autoSpaceDE w:val="0"/>
              <w:autoSpaceDN w:val="0"/>
              <w:adjustRightInd w:val="0"/>
              <w:spacing w:before="60" w:after="60" w:line="240" w:lineRule="auto"/>
              <w:ind w:left="747" w:hanging="425"/>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(ii)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in a primary packaging that does not attenuate the explosive effect, taking into account also intervening packaging material, spacing or critical orientation. </w:t>
            </w:r>
          </w:p>
        </w:tc>
      </w:tr>
      <w:tr w:rsidR="00001582" w14:paraId="12E1795D" w14:textId="77777777" w:rsidTr="00001582">
        <w:tc>
          <w:tcPr>
            <w:tcW w:w="903" w:type="dxa"/>
            <w:vMerge w:val="restart"/>
            <w:tcBorders>
              <w:top w:val="single" w:sz="4" w:space="0" w:color="auto"/>
              <w:left w:val="single" w:sz="4" w:space="0" w:color="auto"/>
              <w:bottom w:val="single" w:sz="4" w:space="0" w:color="auto"/>
              <w:right w:val="single" w:sz="4" w:space="0" w:color="auto"/>
            </w:tcBorders>
            <w:hideMark/>
          </w:tcPr>
          <w:p w14:paraId="2B07FA26"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w:t>
            </w:r>
          </w:p>
        </w:tc>
        <w:tc>
          <w:tcPr>
            <w:tcW w:w="850" w:type="dxa"/>
            <w:tcBorders>
              <w:top w:val="single" w:sz="4" w:space="0" w:color="auto"/>
              <w:left w:val="single" w:sz="4" w:space="0" w:color="auto"/>
              <w:bottom w:val="single" w:sz="4" w:space="0" w:color="auto"/>
              <w:right w:val="single" w:sz="4" w:space="0" w:color="auto"/>
            </w:tcBorders>
            <w:hideMark/>
          </w:tcPr>
          <w:p w14:paraId="6C144BA9"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2A</w:t>
            </w:r>
          </w:p>
        </w:tc>
        <w:tc>
          <w:tcPr>
            <w:tcW w:w="6469" w:type="dxa"/>
            <w:tcBorders>
              <w:top w:val="single" w:sz="4" w:space="0" w:color="auto"/>
              <w:left w:val="single" w:sz="4" w:space="0" w:color="auto"/>
              <w:bottom w:val="single" w:sz="4" w:space="0" w:color="auto"/>
              <w:right w:val="single" w:sz="4" w:space="0" w:color="auto"/>
            </w:tcBorders>
          </w:tcPr>
          <w:p w14:paraId="788C3582" w14:textId="77777777" w:rsidR="002A09A8" w:rsidRDefault="00001582" w:rsidP="00A63423">
            <w:pPr>
              <w:spacing w:before="60" w:after="60" w:line="240" w:lineRule="auto"/>
              <w:ind w:left="180" w:hanging="180"/>
              <w:rPr>
                <w:rFonts w:ascii="Times New Roman" w:hAnsi="Times New Roman"/>
                <w:sz w:val="20"/>
                <w:szCs w:val="20"/>
              </w:rPr>
            </w:pPr>
            <w:r w:rsidRPr="00091297">
              <w:rPr>
                <w:rFonts w:ascii="Times New Roman" w:hAnsi="Times New Roman"/>
                <w:sz w:val="20"/>
                <w:szCs w:val="20"/>
              </w:rPr>
              <w:t>Explosive substances, mixtures and articles which have been assigned</w:t>
            </w:r>
            <w:r w:rsidR="002A09A8">
              <w:rPr>
                <w:rFonts w:ascii="Times New Roman" w:hAnsi="Times New Roman"/>
                <w:sz w:val="20"/>
                <w:szCs w:val="20"/>
              </w:rPr>
              <w:t>:</w:t>
            </w:r>
          </w:p>
          <w:p w14:paraId="700C9ED0" w14:textId="4BF6886F" w:rsidR="00001582" w:rsidRPr="00091297" w:rsidRDefault="00001582" w:rsidP="00A63423">
            <w:pPr>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(a) </w:t>
            </w:r>
            <w:r w:rsidR="002A09A8">
              <w:rPr>
                <w:rFonts w:ascii="Times New Roman" w:hAnsi="Times New Roman"/>
                <w:sz w:val="20"/>
                <w:szCs w:val="20"/>
              </w:rPr>
              <w:tab/>
            </w:r>
            <w:r w:rsidRPr="00091297">
              <w:rPr>
                <w:rFonts w:ascii="Times New Roman" w:hAnsi="Times New Roman"/>
                <w:sz w:val="20"/>
                <w:szCs w:val="20"/>
              </w:rPr>
              <w:t>Division 1.1, 1.2, 1.3, 1.5 or 1.6; or</w:t>
            </w:r>
          </w:p>
          <w:p w14:paraId="338510C7" w14:textId="4BDCEB35" w:rsidR="00001582" w:rsidRPr="00091297" w:rsidRDefault="00001582" w:rsidP="00A63423">
            <w:pPr>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(b) </w:t>
            </w:r>
            <w:r w:rsidR="002A09A8">
              <w:rPr>
                <w:rFonts w:ascii="Times New Roman" w:hAnsi="Times New Roman"/>
                <w:sz w:val="20"/>
                <w:szCs w:val="20"/>
              </w:rPr>
              <w:tab/>
            </w:r>
            <w:r w:rsidRPr="00091297">
              <w:rPr>
                <w:rFonts w:ascii="Times New Roman" w:hAnsi="Times New Roman"/>
                <w:sz w:val="20"/>
                <w:szCs w:val="20"/>
              </w:rPr>
              <w:t>Division 1.4 and are not meeting the criteria for sub-category 2B or 2C.</w:t>
            </w:r>
            <w:r w:rsidRPr="00091297">
              <w:rPr>
                <w:rFonts w:ascii="Times New Roman" w:hAnsi="Times New Roman"/>
                <w:i/>
                <w:iCs/>
                <w:sz w:val="20"/>
                <w:szCs w:val="20"/>
                <w:vertAlign w:val="superscript"/>
              </w:rPr>
              <w:t>b</w:t>
            </w:r>
            <w:r w:rsidRPr="00091297">
              <w:rPr>
                <w:rFonts w:ascii="Times New Roman" w:hAnsi="Times New Roman"/>
                <w:i/>
                <w:iCs/>
                <w:sz w:val="20"/>
                <w:szCs w:val="20"/>
              </w:rPr>
              <w:t xml:space="preserve"> </w:t>
            </w:r>
          </w:p>
        </w:tc>
      </w:tr>
      <w:tr w:rsidR="00001582" w14:paraId="28C62C52" w14:textId="77777777" w:rsidTr="00001582">
        <w:tc>
          <w:tcPr>
            <w:tcW w:w="0" w:type="auto"/>
            <w:vMerge/>
            <w:tcBorders>
              <w:top w:val="single" w:sz="4" w:space="0" w:color="auto"/>
              <w:left w:val="single" w:sz="4" w:space="0" w:color="auto"/>
              <w:bottom w:val="single" w:sz="4" w:space="0" w:color="auto"/>
              <w:right w:val="single" w:sz="4" w:space="0" w:color="auto"/>
            </w:tcBorders>
            <w:hideMark/>
          </w:tcPr>
          <w:p w14:paraId="6EF99ACE" w14:textId="77777777" w:rsidR="00001582" w:rsidRPr="00091297" w:rsidRDefault="00001582" w:rsidP="00A63423">
            <w:pPr>
              <w:suppressAutoHyphens w:val="0"/>
              <w:spacing w:before="60" w:after="6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78B4CF9D" w14:textId="77777777" w:rsidR="00001582" w:rsidRDefault="00001582" w:rsidP="00A63423">
            <w:pPr>
              <w:spacing w:before="60" w:after="60" w:line="240" w:lineRule="auto"/>
              <w:jc w:val="center"/>
              <w:rPr>
                <w:rFonts w:ascii="Times New Roman" w:hAnsi="Times New Roman"/>
                <w:b/>
                <w:sz w:val="20"/>
                <w:szCs w:val="20"/>
                <w:lang w:val="sv-SE"/>
              </w:rPr>
            </w:pPr>
            <w:r>
              <w:rPr>
                <w:rFonts w:ascii="Times New Roman" w:hAnsi="Times New Roman"/>
                <w:b/>
                <w:sz w:val="20"/>
                <w:szCs w:val="20"/>
                <w:lang w:val="sv-SE"/>
              </w:rPr>
              <w:t>2B</w:t>
            </w:r>
          </w:p>
        </w:tc>
        <w:tc>
          <w:tcPr>
            <w:tcW w:w="6469" w:type="dxa"/>
            <w:tcBorders>
              <w:top w:val="single" w:sz="4" w:space="0" w:color="auto"/>
              <w:left w:val="single" w:sz="4" w:space="0" w:color="auto"/>
              <w:bottom w:val="single" w:sz="4" w:space="0" w:color="auto"/>
              <w:right w:val="single" w:sz="4" w:space="0" w:color="auto"/>
            </w:tcBorders>
            <w:hideMark/>
          </w:tcPr>
          <w:p w14:paraId="135D33E1" w14:textId="5D4AFA0A" w:rsidR="00001582" w:rsidRPr="00091297" w:rsidRDefault="00001582" w:rsidP="00A63423">
            <w:pPr>
              <w:tabs>
                <w:tab w:val="left" w:pos="463"/>
              </w:tabs>
              <w:suppressAutoHyphens w:val="0"/>
              <w:autoSpaceDE w:val="0"/>
              <w:autoSpaceDN w:val="0"/>
              <w:adjustRightInd w:val="0"/>
              <w:spacing w:before="60" w:after="60" w:line="240" w:lineRule="auto"/>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Explosive substances, mixtures and articles which have been assigned </w:t>
            </w:r>
            <w:r w:rsidR="00F6148D">
              <w:rPr>
                <w:rFonts w:ascii="Times New Roman" w:hAnsi="Times New Roman"/>
                <w:color w:val="000000"/>
                <w:sz w:val="20"/>
                <w:szCs w:val="20"/>
                <w:lang w:eastAsia="sv-SE"/>
              </w:rPr>
              <w:br/>
            </w:r>
            <w:r w:rsidRPr="00091297">
              <w:rPr>
                <w:rFonts w:ascii="Times New Roman" w:hAnsi="Times New Roman"/>
                <w:color w:val="000000"/>
                <w:sz w:val="20"/>
                <w:szCs w:val="20"/>
                <w:lang w:eastAsia="sv-SE"/>
              </w:rPr>
              <w:t xml:space="preserve">Division 1.4 and a compatibility group other than S, and which: </w:t>
            </w:r>
            <w:r w:rsidRPr="00091297">
              <w:rPr>
                <w:rFonts w:ascii="Times New Roman" w:hAnsi="Times New Roman"/>
                <w:color w:val="000000"/>
                <w:sz w:val="20"/>
                <w:szCs w:val="20"/>
                <w:lang w:eastAsia="sv-SE"/>
              </w:rPr>
              <w:br/>
              <w:t xml:space="preserve">(a)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 xml:space="preserve">do not detonate and disintegrate when functioned as intended; and </w:t>
            </w:r>
          </w:p>
          <w:p w14:paraId="799C0CCF" w14:textId="279656BE" w:rsidR="00001582" w:rsidRPr="00091297" w:rsidRDefault="00001582" w:rsidP="00A63423">
            <w:pPr>
              <w:tabs>
                <w:tab w:val="left" w:pos="463"/>
              </w:tabs>
              <w:suppressAutoHyphens w:val="0"/>
              <w:autoSpaceDE w:val="0"/>
              <w:autoSpaceDN w:val="0"/>
              <w:adjustRightInd w:val="0"/>
              <w:spacing w:before="60" w:after="60" w:line="240" w:lineRule="auto"/>
              <w:ind w:left="463" w:hanging="463"/>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(b)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exhibit no high hazard event</w:t>
            </w:r>
            <w:r w:rsidRPr="00091297">
              <w:rPr>
                <w:rFonts w:ascii="Times New Roman" w:hAnsi="Times New Roman"/>
                <w:color w:val="000000"/>
                <w:sz w:val="20"/>
                <w:szCs w:val="20"/>
                <w:vertAlign w:val="superscript"/>
                <w:lang w:eastAsia="sv-SE"/>
              </w:rPr>
              <w:t>c</w:t>
            </w:r>
            <w:r w:rsidRPr="00091297">
              <w:rPr>
                <w:rFonts w:ascii="Times New Roman" w:hAnsi="Times New Roman"/>
                <w:color w:val="000000"/>
                <w:sz w:val="20"/>
                <w:szCs w:val="20"/>
                <w:lang w:eastAsia="sv-SE"/>
              </w:rPr>
              <w:t xml:space="preserve"> in test 6(a) or 6(b) of the </w:t>
            </w:r>
            <w:r w:rsidRPr="00091297">
              <w:rPr>
                <w:rFonts w:ascii="Times New Roman" w:hAnsi="Times New Roman"/>
                <w:i/>
                <w:iCs/>
                <w:color w:val="000000"/>
                <w:sz w:val="20"/>
                <w:szCs w:val="20"/>
                <w:lang w:eastAsia="sv-SE"/>
              </w:rPr>
              <w:t>Manual of Tests and Criteria</w:t>
            </w:r>
            <w:r w:rsidRPr="00091297">
              <w:rPr>
                <w:rFonts w:ascii="Times New Roman" w:hAnsi="Times New Roman"/>
                <w:color w:val="000000"/>
                <w:sz w:val="20"/>
                <w:szCs w:val="20"/>
                <w:lang w:eastAsia="sv-SE"/>
              </w:rPr>
              <w:t xml:space="preserve">; and </w:t>
            </w:r>
          </w:p>
          <w:p w14:paraId="72A46BBD" w14:textId="1DC15A18" w:rsidR="00001582" w:rsidRPr="00091297" w:rsidRDefault="00001582" w:rsidP="00A63423">
            <w:pPr>
              <w:tabs>
                <w:tab w:val="left" w:pos="463"/>
              </w:tabs>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(c) </w:t>
            </w:r>
            <w:r w:rsidR="002A09A8">
              <w:rPr>
                <w:rFonts w:ascii="Times New Roman" w:hAnsi="Times New Roman"/>
                <w:sz w:val="20"/>
                <w:szCs w:val="20"/>
              </w:rPr>
              <w:tab/>
            </w:r>
            <w:r w:rsidRPr="00091297">
              <w:rPr>
                <w:rFonts w:ascii="Times New Roman" w:hAnsi="Times New Roman"/>
                <w:sz w:val="20"/>
                <w:szCs w:val="20"/>
              </w:rPr>
              <w:t>do not require attenuating features, other than that which may be provided by a primary packaging, to mitigate a high hazard event</w:t>
            </w:r>
            <w:r w:rsidRPr="00091297">
              <w:rPr>
                <w:rFonts w:ascii="Times New Roman" w:hAnsi="Times New Roman"/>
                <w:sz w:val="20"/>
                <w:szCs w:val="20"/>
                <w:vertAlign w:val="superscript"/>
              </w:rPr>
              <w:t>c</w:t>
            </w:r>
            <w:r w:rsidRPr="00091297">
              <w:rPr>
                <w:rFonts w:ascii="Times New Roman" w:hAnsi="Times New Roman"/>
                <w:sz w:val="20"/>
                <w:szCs w:val="20"/>
              </w:rPr>
              <w:t>.</w:t>
            </w:r>
          </w:p>
        </w:tc>
      </w:tr>
      <w:tr w:rsidR="00001582" w14:paraId="77A23B60" w14:textId="77777777" w:rsidTr="00001582">
        <w:tc>
          <w:tcPr>
            <w:tcW w:w="0" w:type="auto"/>
            <w:vMerge/>
            <w:tcBorders>
              <w:top w:val="single" w:sz="4" w:space="0" w:color="auto"/>
              <w:left w:val="single" w:sz="4" w:space="0" w:color="auto"/>
              <w:bottom w:val="single" w:sz="4" w:space="0" w:color="auto"/>
              <w:right w:val="single" w:sz="4" w:space="0" w:color="auto"/>
            </w:tcBorders>
            <w:hideMark/>
          </w:tcPr>
          <w:p w14:paraId="559F069A" w14:textId="77777777" w:rsidR="00001582" w:rsidRPr="00091297" w:rsidRDefault="00001582" w:rsidP="00A63423">
            <w:pPr>
              <w:suppressAutoHyphens w:val="0"/>
              <w:spacing w:before="60" w:after="60" w:line="240" w:lineRule="auto"/>
              <w:jc w:val="center"/>
              <w:rPr>
                <w:rFonts w:ascii="Times New Roman" w:hAnsi="Times New Roman"/>
                <w:b/>
                <w:sz w:val="20"/>
                <w:szCs w:val="20"/>
              </w:rPr>
            </w:pPr>
          </w:p>
        </w:tc>
        <w:tc>
          <w:tcPr>
            <w:tcW w:w="850" w:type="dxa"/>
            <w:tcBorders>
              <w:top w:val="single" w:sz="4" w:space="0" w:color="auto"/>
              <w:left w:val="single" w:sz="4" w:space="0" w:color="auto"/>
              <w:bottom w:val="single" w:sz="4" w:space="0" w:color="auto"/>
              <w:right w:val="single" w:sz="4" w:space="0" w:color="auto"/>
            </w:tcBorders>
            <w:hideMark/>
          </w:tcPr>
          <w:p w14:paraId="50CD205B" w14:textId="77777777" w:rsidR="00001582" w:rsidRPr="00F6148D" w:rsidRDefault="00001582" w:rsidP="00A63423">
            <w:pPr>
              <w:spacing w:before="60" w:after="60" w:line="240" w:lineRule="auto"/>
              <w:jc w:val="center"/>
              <w:rPr>
                <w:rFonts w:ascii="Times New Roman" w:hAnsi="Times New Roman"/>
                <w:b/>
                <w:sz w:val="20"/>
                <w:szCs w:val="20"/>
              </w:rPr>
            </w:pPr>
            <w:r w:rsidRPr="00F6148D">
              <w:rPr>
                <w:rFonts w:ascii="Times New Roman" w:hAnsi="Times New Roman"/>
                <w:b/>
                <w:sz w:val="20"/>
                <w:szCs w:val="20"/>
              </w:rPr>
              <w:t>2C</w:t>
            </w:r>
          </w:p>
        </w:tc>
        <w:tc>
          <w:tcPr>
            <w:tcW w:w="6469" w:type="dxa"/>
            <w:tcBorders>
              <w:top w:val="single" w:sz="4" w:space="0" w:color="auto"/>
              <w:left w:val="single" w:sz="4" w:space="0" w:color="auto"/>
              <w:bottom w:val="single" w:sz="4" w:space="0" w:color="auto"/>
              <w:right w:val="single" w:sz="4" w:space="0" w:color="auto"/>
            </w:tcBorders>
            <w:hideMark/>
          </w:tcPr>
          <w:p w14:paraId="2320FE06" w14:textId="08E58C1F" w:rsidR="00001582" w:rsidRPr="00091297" w:rsidRDefault="00001582" w:rsidP="00A63423">
            <w:pPr>
              <w:tabs>
                <w:tab w:val="left" w:pos="481"/>
              </w:tabs>
              <w:suppressAutoHyphens w:val="0"/>
              <w:autoSpaceDE w:val="0"/>
              <w:autoSpaceDN w:val="0"/>
              <w:adjustRightInd w:val="0"/>
              <w:spacing w:before="60" w:after="60" w:line="240" w:lineRule="auto"/>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Explosive substances, mixtures and articles which have been assigned </w:t>
            </w:r>
            <w:r w:rsidR="00F6148D">
              <w:rPr>
                <w:rFonts w:ascii="Times New Roman" w:hAnsi="Times New Roman"/>
                <w:color w:val="000000"/>
                <w:sz w:val="20"/>
                <w:szCs w:val="20"/>
                <w:lang w:eastAsia="sv-SE"/>
              </w:rPr>
              <w:br/>
            </w:r>
            <w:r w:rsidRPr="00091297">
              <w:rPr>
                <w:rFonts w:ascii="Times New Roman" w:hAnsi="Times New Roman"/>
                <w:color w:val="000000"/>
                <w:sz w:val="20"/>
                <w:szCs w:val="20"/>
                <w:lang w:eastAsia="sv-SE"/>
              </w:rPr>
              <w:t xml:space="preserve">Division 1.4 compatibility group S, and which: </w:t>
            </w:r>
            <w:r w:rsidRPr="00091297">
              <w:rPr>
                <w:rFonts w:ascii="Times New Roman" w:hAnsi="Times New Roman"/>
                <w:color w:val="000000"/>
                <w:sz w:val="20"/>
                <w:szCs w:val="20"/>
                <w:lang w:eastAsia="sv-SE"/>
              </w:rPr>
              <w:br/>
              <w:t xml:space="preserve">(a)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do not detonate and disintegrate when functioned as intended; and</w:t>
            </w:r>
          </w:p>
          <w:p w14:paraId="43BDEAE5" w14:textId="35154CD5" w:rsidR="00001582" w:rsidRPr="00091297" w:rsidRDefault="00001582" w:rsidP="00A63423">
            <w:pPr>
              <w:tabs>
                <w:tab w:val="left" w:pos="463"/>
              </w:tabs>
              <w:suppressAutoHyphens w:val="0"/>
              <w:autoSpaceDE w:val="0"/>
              <w:autoSpaceDN w:val="0"/>
              <w:adjustRightInd w:val="0"/>
              <w:spacing w:before="60" w:after="60" w:line="240" w:lineRule="auto"/>
              <w:ind w:left="463" w:hanging="463"/>
              <w:rPr>
                <w:rFonts w:ascii="Times New Roman" w:hAnsi="Times New Roman"/>
                <w:color w:val="000000"/>
                <w:sz w:val="20"/>
                <w:szCs w:val="20"/>
                <w:lang w:eastAsia="sv-SE"/>
              </w:rPr>
            </w:pPr>
            <w:r w:rsidRPr="00091297">
              <w:rPr>
                <w:rFonts w:ascii="Times New Roman" w:hAnsi="Times New Roman"/>
                <w:color w:val="000000"/>
                <w:sz w:val="20"/>
                <w:szCs w:val="20"/>
                <w:lang w:eastAsia="sv-SE"/>
              </w:rPr>
              <w:t xml:space="preserve">(b) </w:t>
            </w:r>
            <w:r w:rsidR="002A09A8">
              <w:rPr>
                <w:rFonts w:ascii="Times New Roman" w:hAnsi="Times New Roman"/>
                <w:color w:val="000000"/>
                <w:sz w:val="20"/>
                <w:szCs w:val="20"/>
                <w:lang w:eastAsia="sv-SE"/>
              </w:rPr>
              <w:tab/>
            </w:r>
            <w:r w:rsidRPr="00091297">
              <w:rPr>
                <w:rFonts w:ascii="Times New Roman" w:hAnsi="Times New Roman"/>
                <w:color w:val="000000"/>
                <w:sz w:val="20"/>
                <w:szCs w:val="20"/>
                <w:lang w:eastAsia="sv-SE"/>
              </w:rPr>
              <w:t>exhibit no high hazard event</w:t>
            </w:r>
            <w:r w:rsidRPr="00091297">
              <w:rPr>
                <w:rFonts w:ascii="Times New Roman" w:hAnsi="Times New Roman"/>
                <w:color w:val="000000"/>
                <w:sz w:val="20"/>
                <w:szCs w:val="20"/>
                <w:vertAlign w:val="superscript"/>
                <w:lang w:eastAsia="sv-SE"/>
              </w:rPr>
              <w:t>c</w:t>
            </w:r>
            <w:r w:rsidRPr="00091297">
              <w:rPr>
                <w:rFonts w:ascii="Times New Roman" w:hAnsi="Times New Roman"/>
                <w:color w:val="000000"/>
                <w:sz w:val="20"/>
                <w:szCs w:val="20"/>
                <w:lang w:eastAsia="sv-SE"/>
              </w:rPr>
              <w:t xml:space="preserve"> in test 6(a) or 6(b), or in the absence of these test results, similar results in test 6(d) of the </w:t>
            </w:r>
            <w:r w:rsidRPr="00091297">
              <w:rPr>
                <w:rFonts w:ascii="Times New Roman" w:hAnsi="Times New Roman"/>
                <w:i/>
                <w:iCs/>
                <w:color w:val="000000"/>
                <w:sz w:val="20"/>
                <w:szCs w:val="20"/>
                <w:lang w:eastAsia="sv-SE"/>
              </w:rPr>
              <w:t>Manual of Tests and Criteria</w:t>
            </w:r>
            <w:r w:rsidRPr="00091297">
              <w:rPr>
                <w:rFonts w:ascii="Times New Roman" w:hAnsi="Times New Roman"/>
                <w:color w:val="000000"/>
                <w:sz w:val="20"/>
                <w:szCs w:val="20"/>
                <w:lang w:eastAsia="sv-SE"/>
              </w:rPr>
              <w:t>; and</w:t>
            </w:r>
          </w:p>
          <w:p w14:paraId="67E92E4D" w14:textId="0D316173" w:rsidR="00001582" w:rsidRPr="00091297" w:rsidRDefault="00001582" w:rsidP="00A63423">
            <w:pPr>
              <w:tabs>
                <w:tab w:val="left" w:pos="463"/>
              </w:tabs>
              <w:spacing w:before="60" w:after="60" w:line="240" w:lineRule="auto"/>
              <w:ind w:left="463" w:hanging="463"/>
              <w:rPr>
                <w:rFonts w:ascii="Times New Roman" w:hAnsi="Times New Roman"/>
                <w:sz w:val="20"/>
                <w:szCs w:val="20"/>
              </w:rPr>
            </w:pPr>
            <w:r w:rsidRPr="00091297">
              <w:rPr>
                <w:rFonts w:ascii="Times New Roman" w:hAnsi="Times New Roman"/>
                <w:sz w:val="20"/>
                <w:szCs w:val="20"/>
              </w:rPr>
              <w:t xml:space="preserve">(c) </w:t>
            </w:r>
            <w:r w:rsidR="002A09A8">
              <w:rPr>
                <w:rFonts w:ascii="Times New Roman" w:hAnsi="Times New Roman"/>
                <w:sz w:val="20"/>
                <w:szCs w:val="20"/>
              </w:rPr>
              <w:tab/>
            </w:r>
            <w:r w:rsidRPr="00091297">
              <w:rPr>
                <w:rFonts w:ascii="Times New Roman" w:hAnsi="Times New Roman"/>
                <w:sz w:val="20"/>
                <w:szCs w:val="20"/>
              </w:rPr>
              <w:t>do not require attenuating features, other than that which may be provided by a primary packaging, to mitigate a high hazard event</w:t>
            </w:r>
            <w:r w:rsidRPr="00091297">
              <w:rPr>
                <w:rFonts w:ascii="Times New Roman" w:hAnsi="Times New Roman"/>
                <w:sz w:val="20"/>
                <w:szCs w:val="20"/>
                <w:vertAlign w:val="superscript"/>
              </w:rPr>
              <w:t>c</w:t>
            </w:r>
            <w:r w:rsidRPr="00091297">
              <w:rPr>
                <w:rFonts w:ascii="Times New Roman" w:hAnsi="Times New Roman"/>
                <w:sz w:val="20"/>
                <w:szCs w:val="20"/>
              </w:rPr>
              <w:t>.</w:t>
            </w:r>
          </w:p>
        </w:tc>
      </w:tr>
    </w:tbl>
    <w:p w14:paraId="3E92B05B" w14:textId="77777777" w:rsidR="00001582" w:rsidRDefault="00001582" w:rsidP="00001582">
      <w:pPr>
        <w:ind w:right="284"/>
        <w:jc w:val="both"/>
      </w:pPr>
    </w:p>
    <w:p w14:paraId="1C84573F" w14:textId="172EC8F4" w:rsidR="00001582" w:rsidRDefault="00001582" w:rsidP="00140844">
      <w:pPr>
        <w:tabs>
          <w:tab w:val="left" w:pos="1418"/>
        </w:tabs>
        <w:spacing w:after="160" w:line="240" w:lineRule="auto"/>
        <w:ind w:left="1134" w:right="284"/>
        <w:jc w:val="both"/>
        <w:rPr>
          <w:i/>
          <w:iCs/>
        </w:rPr>
      </w:pPr>
      <w:r>
        <w:rPr>
          <w:i/>
          <w:iCs/>
          <w:vertAlign w:val="superscript"/>
        </w:rPr>
        <w:t>a</w:t>
      </w:r>
      <w:r>
        <w:rPr>
          <w:i/>
          <w:iCs/>
        </w:rPr>
        <w:t xml:space="preserve"> </w:t>
      </w:r>
      <w:r w:rsidR="00140844">
        <w:rPr>
          <w:i/>
          <w:iCs/>
        </w:rPr>
        <w:tab/>
      </w:r>
      <w:r>
        <w:rPr>
          <w:i/>
          <w:iCs/>
        </w:rPr>
        <w:t>Explosives in Category 2 that are removed from their primary packaging for use remain classified in Category 2, see 2.1.1.3.4.</w:t>
      </w:r>
    </w:p>
    <w:p w14:paraId="3E50510F" w14:textId="78DFFEEC" w:rsidR="00001582" w:rsidRDefault="00001582" w:rsidP="00140844">
      <w:pPr>
        <w:tabs>
          <w:tab w:val="left" w:pos="1418"/>
        </w:tabs>
        <w:spacing w:after="160" w:line="240" w:lineRule="auto"/>
        <w:ind w:left="1134" w:right="284"/>
        <w:jc w:val="both"/>
        <w:rPr>
          <w:i/>
          <w:iCs/>
        </w:rPr>
      </w:pPr>
      <w:r>
        <w:rPr>
          <w:i/>
          <w:iCs/>
          <w:vertAlign w:val="superscript"/>
        </w:rPr>
        <w:t>b</w:t>
      </w:r>
      <w:r>
        <w:rPr>
          <w:i/>
          <w:iCs/>
        </w:rPr>
        <w:t xml:space="preserve"> </w:t>
      </w:r>
      <w:r w:rsidR="00140844">
        <w:rPr>
          <w:i/>
          <w:iCs/>
        </w:rPr>
        <w:tab/>
      </w:r>
      <w:r>
        <w:rPr>
          <w:i/>
          <w:iCs/>
        </w:rPr>
        <w:t xml:space="preserve">The manufacturer, supplier or competent authority may classify an explosive of Division 1.4 as sub-category 2A on basis of data or other considerations even if it meets the technical criteria for sub-category 2B or 2C. </w:t>
      </w:r>
    </w:p>
    <w:p w14:paraId="546E9ED5" w14:textId="44438C1C" w:rsidR="00001582" w:rsidRDefault="00001582" w:rsidP="00A801F9">
      <w:pPr>
        <w:tabs>
          <w:tab w:val="left" w:pos="1418"/>
        </w:tabs>
        <w:spacing w:line="240" w:lineRule="auto"/>
        <w:ind w:left="1134" w:right="284"/>
        <w:jc w:val="both"/>
        <w:rPr>
          <w:i/>
          <w:iCs/>
        </w:rPr>
      </w:pPr>
      <w:r>
        <w:rPr>
          <w:i/>
          <w:iCs/>
          <w:vertAlign w:val="superscript"/>
        </w:rPr>
        <w:t>c</w:t>
      </w:r>
      <w:r>
        <w:rPr>
          <w:i/>
          <w:iCs/>
        </w:rPr>
        <w:t xml:space="preserve"> </w:t>
      </w:r>
      <w:r w:rsidR="00140844">
        <w:rPr>
          <w:i/>
          <w:iCs/>
        </w:rPr>
        <w:tab/>
      </w:r>
      <w:r>
        <w:rPr>
          <w:i/>
          <w:iCs/>
        </w:rPr>
        <w:t>A high hazard event is exhibited when performing test 6(a) or 6(b), according to the Manual of Tests and Criteria, by:</w:t>
      </w:r>
    </w:p>
    <w:p w14:paraId="540B9C5B" w14:textId="77777777" w:rsidR="00140844" w:rsidRDefault="00001582" w:rsidP="00A801F9">
      <w:pPr>
        <w:spacing w:line="240" w:lineRule="auto"/>
        <w:ind w:left="2268" w:right="284" w:hanging="425"/>
        <w:jc w:val="both"/>
        <w:rPr>
          <w:i/>
          <w:iCs/>
        </w:rPr>
      </w:pPr>
      <w:r>
        <w:rPr>
          <w:i/>
          <w:iCs/>
        </w:rPr>
        <w:t>(a)</w:t>
      </w:r>
      <w:r>
        <w:rPr>
          <w:i/>
          <w:iCs/>
        </w:rPr>
        <w:tab/>
      </w:r>
      <w:r w:rsidRPr="00001582">
        <w:rPr>
          <w:i/>
          <w:iCs/>
        </w:rPr>
        <w:t xml:space="preserve">a significant change in the witness plate shape, such as perforation, gouge, substantial dent or bowing; or </w:t>
      </w:r>
    </w:p>
    <w:p w14:paraId="1AB5DF80" w14:textId="51FFB639" w:rsidR="00001582" w:rsidRPr="00001582" w:rsidRDefault="00001582" w:rsidP="00A801F9">
      <w:pPr>
        <w:pStyle w:val="ListParagraph"/>
        <w:spacing w:before="80"/>
        <w:ind w:left="2268" w:right="284" w:hanging="414"/>
        <w:contextualSpacing/>
        <w:rPr>
          <w:i/>
          <w:sz w:val="20"/>
          <w:szCs w:val="20"/>
        </w:rPr>
      </w:pPr>
      <w:r>
        <w:rPr>
          <w:i/>
          <w:iCs/>
          <w:sz w:val="20"/>
          <w:szCs w:val="20"/>
        </w:rPr>
        <w:t>(b)</w:t>
      </w:r>
      <w:r>
        <w:rPr>
          <w:i/>
          <w:iCs/>
          <w:sz w:val="20"/>
          <w:szCs w:val="20"/>
        </w:rPr>
        <w:tab/>
      </w:r>
      <w:r w:rsidRPr="00001582">
        <w:rPr>
          <w:i/>
          <w:iCs/>
          <w:sz w:val="20"/>
          <w:szCs w:val="20"/>
        </w:rPr>
        <w:t>instantaneous scattering of most of the confining material.</w:t>
      </w:r>
    </w:p>
    <w:p w14:paraId="50B31B75" w14:textId="763F3CDA" w:rsidR="00001582" w:rsidRDefault="00001582" w:rsidP="00153A5D">
      <w:pPr>
        <w:keepNext/>
        <w:keepLines/>
        <w:spacing w:after="240"/>
        <w:ind w:left="1134" w:right="284"/>
        <w:jc w:val="both"/>
      </w:pPr>
      <w:r>
        <w:lastRenderedPageBreak/>
        <w:t>2.1.2.2</w:t>
      </w:r>
      <w:r>
        <w:tab/>
      </w:r>
      <w:r>
        <w:tab/>
        <w:t>The Divisions are as follows</w:t>
      </w:r>
      <w:r w:rsidR="00153A5D">
        <w:t>:</w:t>
      </w:r>
    </w:p>
    <w:p w14:paraId="34FC861B" w14:textId="77777777" w:rsidR="00001582" w:rsidRDefault="00001582" w:rsidP="00001582">
      <w:pPr>
        <w:spacing w:after="240"/>
        <w:ind w:left="2835" w:right="284" w:hanging="567"/>
        <w:jc w:val="both"/>
      </w:pPr>
      <w:r>
        <w:t>(a)</w:t>
      </w:r>
      <w:r>
        <w:tab/>
        <w:t>Division 1.1: Substances, mixtures and articles which have a mass explosion hazard (a mass explosion is one which affects almost the entire quantity present virtually instantaneously);</w:t>
      </w:r>
    </w:p>
    <w:p w14:paraId="74E4B6B4" w14:textId="77777777" w:rsidR="00001582" w:rsidRDefault="00001582" w:rsidP="00001582">
      <w:pPr>
        <w:spacing w:after="240"/>
        <w:ind w:left="2835" w:right="284" w:hanging="567"/>
        <w:jc w:val="both"/>
      </w:pPr>
      <w:r>
        <w:t>(b)</w:t>
      </w:r>
      <w:r>
        <w:tab/>
        <w:t>Division 1.2: Substances, mixtures and articles which have a projection hazard but not a mass explosion hazard;</w:t>
      </w:r>
    </w:p>
    <w:p w14:paraId="4FC17FBB" w14:textId="77777777" w:rsidR="00001582" w:rsidRDefault="00001582" w:rsidP="00001582">
      <w:pPr>
        <w:spacing w:after="240"/>
        <w:ind w:left="2835" w:right="284" w:hanging="567"/>
        <w:jc w:val="both"/>
      </w:pPr>
      <w:r>
        <w:t>(c)</w:t>
      </w:r>
      <w:r>
        <w:tab/>
        <w:t>Division 1.3: Substances, mixtures and articles which have a fire hazard and either a minor blast hazard or a minor projection hazard or both, but not a mass explosion hazard:</w:t>
      </w:r>
    </w:p>
    <w:p w14:paraId="47203CD5" w14:textId="77777777" w:rsidR="00001582" w:rsidRDefault="00001582" w:rsidP="00001582">
      <w:pPr>
        <w:spacing w:after="240"/>
        <w:ind w:left="3402" w:right="284" w:hanging="567"/>
        <w:jc w:val="both"/>
      </w:pPr>
      <w:r>
        <w:t>(i)</w:t>
      </w:r>
      <w:r>
        <w:tab/>
        <w:t>combustion of which give rise to considerable radiant heat; or</w:t>
      </w:r>
    </w:p>
    <w:p w14:paraId="3ACA87B4" w14:textId="77777777" w:rsidR="00001582" w:rsidRDefault="00001582" w:rsidP="00001582">
      <w:pPr>
        <w:spacing w:after="240"/>
        <w:ind w:left="3402" w:right="284" w:hanging="567"/>
        <w:jc w:val="both"/>
      </w:pPr>
      <w:r>
        <w:t>(ii)</w:t>
      </w:r>
      <w:r>
        <w:tab/>
        <w:t>which burn one after another, producing minor blast or projection effects or both;</w:t>
      </w:r>
    </w:p>
    <w:p w14:paraId="47F061BA" w14:textId="77777777" w:rsidR="00001582" w:rsidRDefault="00001582" w:rsidP="00001582">
      <w:pPr>
        <w:spacing w:after="240"/>
        <w:ind w:left="2835" w:right="284" w:hanging="567"/>
        <w:jc w:val="both"/>
      </w:pPr>
      <w:r>
        <w:t>(d)</w:t>
      </w:r>
      <w:r>
        <w:tab/>
        <w:t>Division 1.4: Substances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p w14:paraId="59578D8E" w14:textId="77777777" w:rsidR="00001582" w:rsidRDefault="00001582" w:rsidP="00001582">
      <w:pPr>
        <w:spacing w:after="240"/>
        <w:ind w:left="2835" w:right="284" w:hanging="567"/>
        <w:jc w:val="both"/>
      </w:pPr>
      <w:r>
        <w:t>(e)</w:t>
      </w:r>
      <w:r>
        <w:tab/>
        <w:t>Division 1.4 compatibility group S: Substances, mixtures and articles so packed or designed that any hazardous effects arising from accidental functioning are confined within the package unless the package has been degraded by fire, in which case all blast or projection effects are limited to the extent that they do not significantly hinder fire-fighting or other emergency response efforts in the immediate vicinity of the package.</w:t>
      </w:r>
    </w:p>
    <w:p w14:paraId="0265631A" w14:textId="77777777" w:rsidR="00001582" w:rsidRDefault="00001582" w:rsidP="00001582">
      <w:pPr>
        <w:spacing w:after="240"/>
        <w:ind w:left="2835" w:right="284" w:hanging="567"/>
        <w:jc w:val="both"/>
      </w:pPr>
      <w:r>
        <w:t>(f)</w:t>
      </w:r>
      <w:r>
        <w:tab/>
        <w:t>Division 1.5: Very insensitive substances or mixtures which have a mass explosion hazard: substances and mixtures which have a mass explosion hazard but are so insensitive that there is very little probability of initiation or of transition from burning to detonation under normal conditions. The probability of transition from burning to detonation is greater when large quantities are present.</w:t>
      </w:r>
    </w:p>
    <w:p w14:paraId="00595853" w14:textId="77777777" w:rsidR="00001582" w:rsidRDefault="00001582" w:rsidP="00001582">
      <w:pPr>
        <w:spacing w:after="240"/>
        <w:ind w:left="2835" w:right="284" w:hanging="567"/>
        <w:jc w:val="both"/>
      </w:pPr>
      <w:r>
        <w:t>(g)</w:t>
      </w:r>
      <w:r>
        <w:tab/>
        <w:t>Division 1.6: Extremely insensitive articles which do not have a mass explosion hazard: articles which predominantly contain extremely insensitive substances or mixtures and which demonstrate a negligible probability of accidental initiation or propagation. The hazard from articles of Division 1.6 is limited to the explosion of a single article.</w:t>
      </w:r>
    </w:p>
    <w:p w14:paraId="13C9F758" w14:textId="1A2BCA2A" w:rsidR="00001582" w:rsidRDefault="00001582" w:rsidP="00001582">
      <w:pPr>
        <w:ind w:left="1134" w:right="284"/>
        <w:jc w:val="both"/>
        <w:rPr>
          <w:i/>
        </w:rPr>
      </w:pPr>
      <w:r>
        <w:rPr>
          <w:b/>
          <w:i/>
        </w:rPr>
        <w:t>NOTE 1:</w:t>
      </w:r>
      <w:r>
        <w:rPr>
          <w:i/>
        </w:rPr>
        <w:t xml:space="preserve"> </w:t>
      </w:r>
      <w:r w:rsidR="00070FF0">
        <w:rPr>
          <w:i/>
        </w:rPr>
        <w:tab/>
      </w:r>
      <w:r>
        <w:rPr>
          <w:i/>
        </w:rPr>
        <w:t>For some regulatory purposes, the divisions are further subdivided into compatibility groups which identify the kinds of explosives that are deemed to be compatible (see 2.1.2 of the UN Model Regulations, Chapter 2.1).</w:t>
      </w:r>
    </w:p>
    <w:p w14:paraId="46229EBF" w14:textId="77777777" w:rsidR="00001582" w:rsidRDefault="00001582" w:rsidP="00001582">
      <w:pPr>
        <w:ind w:left="1134" w:right="284"/>
        <w:jc w:val="both"/>
        <w:rPr>
          <w:i/>
        </w:rPr>
      </w:pPr>
    </w:p>
    <w:p w14:paraId="3930CC92" w14:textId="1CF75DF7" w:rsidR="00001582" w:rsidRDefault="00001582" w:rsidP="00001582">
      <w:pPr>
        <w:ind w:left="1134" w:right="284"/>
        <w:jc w:val="both"/>
        <w:rPr>
          <w:i/>
        </w:rPr>
      </w:pPr>
      <w:r>
        <w:rPr>
          <w:b/>
          <w:i/>
        </w:rPr>
        <w:t>NOTE 2:</w:t>
      </w:r>
      <w:r>
        <w:rPr>
          <w:i/>
        </w:rPr>
        <w:t xml:space="preserve"> </w:t>
      </w:r>
      <w:r w:rsidR="00070FF0">
        <w:rPr>
          <w:i/>
        </w:rPr>
        <w:tab/>
      </w:r>
      <w:r>
        <w:rPr>
          <w:i/>
        </w:rPr>
        <w:t>While Division 1.4 compatibility group S is not a division of its own, this classification corresponds to a separate division based on additional criteria.</w:t>
      </w:r>
    </w:p>
    <w:p w14:paraId="2024C5F2" w14:textId="77777777" w:rsidR="00001582" w:rsidRDefault="00001582" w:rsidP="00001582">
      <w:pPr>
        <w:ind w:left="1134" w:right="284"/>
        <w:jc w:val="both"/>
        <w:rPr>
          <w:i/>
        </w:rPr>
      </w:pPr>
    </w:p>
    <w:p w14:paraId="3DCAA4A3" w14:textId="58DC82C1" w:rsidR="00001582" w:rsidRDefault="00001582" w:rsidP="00001582">
      <w:pPr>
        <w:tabs>
          <w:tab w:val="left" w:pos="2268"/>
        </w:tabs>
        <w:ind w:left="1134" w:right="284"/>
        <w:jc w:val="both"/>
        <w:rPr>
          <w:i/>
        </w:rPr>
      </w:pPr>
      <w:r>
        <w:rPr>
          <w:b/>
          <w:i/>
        </w:rPr>
        <w:t>NOTE 3:</w:t>
      </w:r>
      <w:r>
        <w:rPr>
          <w:i/>
        </w:rPr>
        <w:t xml:space="preserve"> </w:t>
      </w:r>
      <w:r w:rsidR="00070FF0">
        <w:rPr>
          <w:i/>
        </w:rPr>
        <w:tab/>
      </w:r>
      <w:r>
        <w:rPr>
          <w:i/>
        </w:rPr>
        <w:t>For classification tests on explosive substances or mixtures, the tests should be performed on the substance or mixture as presented. If for example, for the purposes of supply or transport, the same substance or mixture is to be presented in a physical form different from that which was tested and which is considered likely to materially alter its performance in a classification test, it must also be tested in the new form.</w:t>
      </w:r>
    </w:p>
    <w:p w14:paraId="3B7E21FF" w14:textId="77777777" w:rsidR="00001582" w:rsidRDefault="00001582" w:rsidP="00001582">
      <w:pPr>
        <w:tabs>
          <w:tab w:val="left" w:pos="2268"/>
        </w:tabs>
        <w:spacing w:before="240"/>
        <w:ind w:left="1134" w:right="284"/>
        <w:jc w:val="both"/>
        <w:rPr>
          <w:b/>
        </w:rPr>
      </w:pPr>
      <w:r>
        <w:rPr>
          <w:b/>
        </w:rPr>
        <w:t>2.1.3</w:t>
      </w:r>
      <w:r>
        <w:rPr>
          <w:b/>
        </w:rPr>
        <w:tab/>
        <w:t>Hazard communication</w:t>
      </w:r>
    </w:p>
    <w:p w14:paraId="70EB0E86" w14:textId="77777777" w:rsidR="00001582" w:rsidRDefault="00001582" w:rsidP="00001582">
      <w:pPr>
        <w:ind w:left="1134" w:right="284"/>
        <w:jc w:val="both"/>
      </w:pPr>
    </w:p>
    <w:p w14:paraId="0499112F" w14:textId="77777777" w:rsidR="00001582" w:rsidRDefault="00001582" w:rsidP="00001582">
      <w:pPr>
        <w:ind w:left="1134" w:right="284"/>
        <w:jc w:val="both"/>
      </w:pPr>
      <w:r>
        <w:t>General and specific considerations concerning labelling requirements are provided in Hazard communication: Labelling (Chapter 1.4). Annex 1 contains summary tables about classification and labelling. Annex 3 contains examples of precautionary statements and pictograms which can be used where allowed by the competent authority.</w:t>
      </w:r>
    </w:p>
    <w:p w14:paraId="7F34FE21" w14:textId="77777777" w:rsidR="00001582" w:rsidRDefault="00001582" w:rsidP="00001582">
      <w:pPr>
        <w:ind w:left="1134" w:right="284"/>
        <w:jc w:val="both"/>
      </w:pP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271"/>
        <w:gridCol w:w="1701"/>
        <w:gridCol w:w="1701"/>
        <w:gridCol w:w="1701"/>
        <w:gridCol w:w="1701"/>
      </w:tblGrid>
      <w:tr w:rsidR="00001582" w:rsidRPr="00027EB8" w14:paraId="7DCBCF1A"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2F0631D3" w14:textId="77777777" w:rsidR="00001582" w:rsidRPr="00027EB8" w:rsidRDefault="00001582" w:rsidP="00001582">
            <w:pPr>
              <w:keepNext/>
              <w:keepLines/>
              <w:ind w:right="-84"/>
              <w:jc w:val="both"/>
              <w:rPr>
                <w:b/>
              </w:rPr>
            </w:pPr>
            <w:r w:rsidRPr="00027EB8">
              <w:rPr>
                <w:b/>
              </w:rPr>
              <w:t>Category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BB22C9E" w14:textId="77777777" w:rsidR="00001582" w:rsidRPr="00027EB8" w:rsidRDefault="00001582" w:rsidP="00001582">
            <w:pPr>
              <w:keepNext/>
              <w:keepLines/>
              <w:jc w:val="center"/>
              <w:rPr>
                <w:b/>
              </w:rPr>
            </w:pPr>
            <w:r w:rsidRPr="00027EB8">
              <w:rPr>
                <w:b/>
              </w:rPr>
              <w:t>1</w:t>
            </w:r>
          </w:p>
        </w:tc>
        <w:tc>
          <w:tcPr>
            <w:tcW w:w="5103" w:type="dxa"/>
            <w:gridSpan w:val="3"/>
            <w:tcBorders>
              <w:top w:val="single" w:sz="4" w:space="0" w:color="auto"/>
              <w:left w:val="single" w:sz="4" w:space="0" w:color="auto"/>
              <w:bottom w:val="single" w:sz="4" w:space="0" w:color="auto"/>
              <w:right w:val="single" w:sz="4" w:space="0" w:color="auto"/>
            </w:tcBorders>
            <w:vAlign w:val="center"/>
            <w:hideMark/>
          </w:tcPr>
          <w:p w14:paraId="1D666F62" w14:textId="77777777" w:rsidR="00001582" w:rsidRPr="00027EB8" w:rsidRDefault="00001582" w:rsidP="00001582">
            <w:pPr>
              <w:keepNext/>
              <w:keepLines/>
              <w:jc w:val="center"/>
              <w:rPr>
                <w:b/>
              </w:rPr>
            </w:pPr>
            <w:r w:rsidRPr="00027EB8">
              <w:rPr>
                <w:b/>
              </w:rPr>
              <w:t>2</w:t>
            </w:r>
          </w:p>
        </w:tc>
      </w:tr>
      <w:tr w:rsidR="00001582" w:rsidRPr="00027EB8" w14:paraId="161EC3CA"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0ED503BF" w14:textId="77777777" w:rsidR="00001582" w:rsidRPr="00027EB8" w:rsidRDefault="00001582" w:rsidP="00001582">
            <w:pPr>
              <w:keepNext/>
              <w:keepLines/>
              <w:ind w:right="-84"/>
              <w:jc w:val="both"/>
              <w:rPr>
                <w:b/>
              </w:rPr>
            </w:pPr>
            <w:r w:rsidRPr="00027EB8">
              <w:rPr>
                <w:b/>
              </w:rPr>
              <w:t>Sub-category</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FD6E10" w14:textId="77777777" w:rsidR="00001582" w:rsidRPr="00027EB8" w:rsidRDefault="00001582" w:rsidP="00A63423">
            <w:pPr>
              <w:keepNext/>
              <w:keepLines/>
              <w:jc w:val="center"/>
              <w:rPr>
                <w:i/>
              </w:rPr>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740DB7" w14:textId="77777777" w:rsidR="00001582" w:rsidRPr="00027EB8" w:rsidRDefault="00001582" w:rsidP="00001582">
            <w:pPr>
              <w:keepNext/>
              <w:keepLines/>
              <w:jc w:val="center"/>
              <w:rPr>
                <w:b/>
              </w:rPr>
            </w:pPr>
            <w:r w:rsidRPr="00027EB8">
              <w:rPr>
                <w:b/>
              </w:rPr>
              <w:t>2A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3EFE46" w14:textId="77777777" w:rsidR="00001582" w:rsidRPr="00027EB8" w:rsidRDefault="00001582" w:rsidP="00001582">
            <w:pPr>
              <w:keepNext/>
              <w:keepLines/>
              <w:jc w:val="center"/>
              <w:rPr>
                <w:b/>
              </w:rPr>
            </w:pPr>
            <w:r w:rsidRPr="00027EB8">
              <w:rPr>
                <w:b/>
              </w:rPr>
              <w:t>2B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7AD8046" w14:textId="77777777" w:rsidR="00001582" w:rsidRPr="00027EB8" w:rsidRDefault="00001582" w:rsidP="00001582">
            <w:pPr>
              <w:keepNext/>
              <w:keepLines/>
              <w:jc w:val="center"/>
              <w:rPr>
                <w:b/>
              </w:rPr>
            </w:pPr>
            <w:r w:rsidRPr="00027EB8">
              <w:rPr>
                <w:b/>
              </w:rPr>
              <w:t>2C</w:t>
            </w:r>
          </w:p>
        </w:tc>
      </w:tr>
      <w:tr w:rsidR="00001582" w:rsidRPr="00027EB8" w14:paraId="227A8110"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3549E55D" w14:textId="77777777" w:rsidR="00001582" w:rsidRPr="00027EB8" w:rsidRDefault="00001582" w:rsidP="00001582">
            <w:pPr>
              <w:keepNext/>
              <w:keepLines/>
              <w:ind w:right="-84"/>
              <w:jc w:val="both"/>
              <w:rPr>
                <w:b/>
              </w:rPr>
            </w:pPr>
            <w:r w:rsidRPr="00027EB8">
              <w:rPr>
                <w:b/>
              </w:rPr>
              <w:t>Symbol</w:t>
            </w:r>
            <w:r w:rsidRPr="00027EB8">
              <w:rPr>
                <w:b/>
                <w:vertAlign w:val="superscript"/>
              </w:rPr>
              <w:t>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EF0F77A" w14:textId="76B63973" w:rsidR="00001582" w:rsidRPr="00027EB8" w:rsidRDefault="00001582" w:rsidP="002A09A8">
            <w:pPr>
              <w:keepNext/>
              <w:keepLines/>
              <w:jc w:val="cente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D52E33B" w14:textId="4767DDD6" w:rsidR="00001582" w:rsidRPr="00027EB8" w:rsidRDefault="00001582" w:rsidP="002A09A8">
            <w:pPr>
              <w:keepNext/>
              <w:keepLines/>
              <w:jc w:val="center"/>
              <w:rPr>
                <w:vertAlign w:val="superscript"/>
              </w:rP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E41517" w14:textId="1C2EB87A" w:rsidR="00001582" w:rsidRPr="00027EB8" w:rsidRDefault="00001582" w:rsidP="002A09A8">
            <w:pPr>
              <w:keepNext/>
              <w:keepLines/>
              <w:jc w:val="center"/>
            </w:pPr>
            <w:r w:rsidRPr="00027EB8">
              <w:t>Exploding bomb</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583F5D3" w14:textId="65CD9DE1" w:rsidR="00001582" w:rsidRPr="00027EB8" w:rsidRDefault="00001582" w:rsidP="002A09A8">
            <w:pPr>
              <w:keepNext/>
              <w:keepLines/>
              <w:jc w:val="center"/>
            </w:pPr>
            <w:r w:rsidRPr="00027EB8">
              <w:t>Exclamation mark</w:t>
            </w:r>
          </w:p>
        </w:tc>
      </w:tr>
      <w:tr w:rsidR="00001582" w:rsidRPr="00027EB8" w14:paraId="106B7F0B"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50B5FB62" w14:textId="77777777" w:rsidR="00001582" w:rsidRPr="00027EB8" w:rsidRDefault="00001582" w:rsidP="00001582">
            <w:pPr>
              <w:keepNext/>
              <w:keepLines/>
              <w:ind w:right="-84"/>
              <w:jc w:val="both"/>
              <w:rPr>
                <w:b/>
              </w:rPr>
            </w:pPr>
            <w:r w:rsidRPr="00027EB8">
              <w:rPr>
                <w:b/>
              </w:rPr>
              <w:t>Signal word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079BDC2" w14:textId="77777777" w:rsidR="00001582" w:rsidRPr="00027EB8" w:rsidRDefault="00001582" w:rsidP="002A09A8">
            <w:pPr>
              <w:keepNext/>
              <w:keepLines/>
              <w:jc w:val="center"/>
            </w:pPr>
            <w:r w:rsidRPr="00027EB8">
              <w:t>Danger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971AF8B" w14:textId="77777777" w:rsidR="00001582" w:rsidRPr="00027EB8" w:rsidRDefault="00001582" w:rsidP="002A09A8">
            <w:pPr>
              <w:keepNext/>
              <w:keepLines/>
              <w:jc w:val="center"/>
            </w:pPr>
            <w:r w:rsidRPr="00027EB8">
              <w:t>Danger</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6828E8" w14:textId="77777777" w:rsidR="00001582" w:rsidRPr="00027EB8" w:rsidRDefault="00001582" w:rsidP="002A09A8">
            <w:pPr>
              <w:keepNext/>
              <w:keepLines/>
              <w:jc w:val="center"/>
            </w:pPr>
            <w:r w:rsidRPr="00027EB8">
              <w:t>Warning</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BF63C13" w14:textId="77777777" w:rsidR="00001582" w:rsidRPr="00027EB8" w:rsidRDefault="00001582" w:rsidP="002A09A8">
            <w:pPr>
              <w:keepNext/>
              <w:keepLines/>
              <w:jc w:val="center"/>
            </w:pPr>
            <w:r w:rsidRPr="00027EB8">
              <w:t>Warning</w:t>
            </w:r>
          </w:p>
        </w:tc>
      </w:tr>
      <w:tr w:rsidR="00001582" w:rsidRPr="00027EB8" w14:paraId="4A55C96B"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06F5902F" w14:textId="77777777" w:rsidR="00001582" w:rsidRPr="00027EB8" w:rsidRDefault="00001582" w:rsidP="00001582">
            <w:pPr>
              <w:keepNext/>
              <w:keepLines/>
              <w:ind w:right="-84"/>
              <w:jc w:val="both"/>
              <w:rPr>
                <w:b/>
              </w:rPr>
            </w:pPr>
            <w:r w:rsidRPr="00027EB8">
              <w:rPr>
                <w:b/>
              </w:rPr>
              <w:t>Hazard statement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5A8FD9E" w14:textId="77777777" w:rsidR="00001582" w:rsidRPr="00027EB8" w:rsidRDefault="00001582" w:rsidP="002A09A8">
            <w:pPr>
              <w:keepNext/>
              <w:keepLines/>
              <w:jc w:val="center"/>
            </w:pPr>
            <w:r w:rsidRPr="00027EB8">
              <w:t>Explosive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F166620" w14:textId="77777777" w:rsidR="00001582" w:rsidRPr="00027EB8" w:rsidRDefault="00001582" w:rsidP="002A09A8">
            <w:pPr>
              <w:keepNext/>
              <w:keepLines/>
              <w:jc w:val="center"/>
            </w:pPr>
            <w:r w:rsidRPr="00027EB8">
              <w:t>Explosive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58974A" w14:textId="77777777" w:rsidR="00001582" w:rsidRPr="00027EB8" w:rsidRDefault="00001582" w:rsidP="002A09A8">
            <w:pPr>
              <w:keepNext/>
              <w:keepLines/>
              <w:jc w:val="center"/>
            </w:pPr>
            <w:r w:rsidRPr="00027EB8">
              <w:t>Fire or projection hazard</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6B0DE88" w14:textId="77777777" w:rsidR="00001582" w:rsidRPr="00027EB8" w:rsidRDefault="00001582" w:rsidP="002A09A8">
            <w:pPr>
              <w:keepNext/>
              <w:keepLines/>
              <w:jc w:val="center"/>
            </w:pPr>
            <w:r w:rsidRPr="00027EB8">
              <w:t>Fire or projection hazard</w:t>
            </w:r>
          </w:p>
        </w:tc>
      </w:tr>
      <w:tr w:rsidR="00001582" w:rsidRPr="00027EB8" w14:paraId="509C2156" w14:textId="77777777" w:rsidTr="00A63423">
        <w:tc>
          <w:tcPr>
            <w:tcW w:w="1271" w:type="dxa"/>
            <w:tcBorders>
              <w:top w:val="single" w:sz="4" w:space="0" w:color="auto"/>
              <w:left w:val="single" w:sz="4" w:space="0" w:color="auto"/>
              <w:bottom w:val="single" w:sz="4" w:space="0" w:color="auto"/>
              <w:right w:val="single" w:sz="4" w:space="0" w:color="auto"/>
            </w:tcBorders>
            <w:hideMark/>
          </w:tcPr>
          <w:p w14:paraId="581CE8AF" w14:textId="77777777" w:rsidR="00001582" w:rsidRPr="00027EB8" w:rsidRDefault="00001582" w:rsidP="00001582">
            <w:pPr>
              <w:keepNext/>
              <w:keepLines/>
              <w:ind w:right="-84"/>
              <w:jc w:val="both"/>
              <w:rPr>
                <w:b/>
              </w:rPr>
            </w:pPr>
            <w:r w:rsidRPr="00027EB8">
              <w:rPr>
                <w:b/>
              </w:rPr>
              <w:t>Additional hazard statement</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17611B" w14:textId="77777777" w:rsidR="00001582" w:rsidRPr="00027EB8" w:rsidRDefault="00001582" w:rsidP="00001582">
            <w:pPr>
              <w:keepNext/>
              <w:keepLines/>
              <w:jc w:val="both"/>
            </w:pPr>
            <w:r w:rsidRPr="00027EB8">
              <w:t>Very sensitive</w:t>
            </w:r>
            <w:r w:rsidRPr="00027EB8">
              <w:rPr>
                <w:vertAlign w:val="superscript"/>
              </w:rPr>
              <w:t>b</w:t>
            </w:r>
          </w:p>
          <w:p w14:paraId="63F53959" w14:textId="77777777" w:rsidR="00001582" w:rsidRPr="00027EB8" w:rsidRDefault="00001582" w:rsidP="00ED2AAC">
            <w:pPr>
              <w:keepNext/>
              <w:keepLines/>
              <w:jc w:val="center"/>
              <w:rPr>
                <w:b/>
                <w:i/>
                <w:u w:val="single"/>
              </w:rPr>
            </w:pPr>
            <w:r w:rsidRPr="00027EB8">
              <w:rPr>
                <w:b/>
                <w:i/>
                <w:u w:val="single"/>
              </w:rPr>
              <w:t>or</w:t>
            </w:r>
          </w:p>
          <w:p w14:paraId="51A604CA" w14:textId="77777777" w:rsidR="00001582" w:rsidRPr="00027EB8" w:rsidRDefault="00001582" w:rsidP="00001582">
            <w:pPr>
              <w:keepNext/>
              <w:keepLines/>
              <w:jc w:val="both"/>
            </w:pPr>
            <w:r w:rsidRPr="00027EB8">
              <w:t>May be sensitive</w:t>
            </w:r>
            <w:r w:rsidRPr="00027EB8">
              <w:rPr>
                <w:vertAlign w:val="superscript"/>
              </w:rPr>
              <w:t>c</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12A414" w14:textId="77777777" w:rsidR="00001582" w:rsidRPr="00027EB8" w:rsidRDefault="00001582" w:rsidP="00001582">
            <w:pPr>
              <w:keepNext/>
              <w:keepLines/>
              <w:jc w:val="both"/>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2D8649" w14:textId="77777777" w:rsidR="00001582" w:rsidRPr="00027EB8" w:rsidRDefault="00001582" w:rsidP="00001582">
            <w:pPr>
              <w:keepNext/>
              <w:keepLines/>
              <w:jc w:val="both"/>
            </w:pPr>
            <w:r w:rsidRPr="00027EB8">
              <w:rPr>
                <w:i/>
              </w:rPr>
              <w:t>Not applicable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854B06" w14:textId="77777777" w:rsidR="00001582" w:rsidRPr="00027EB8" w:rsidRDefault="00001582" w:rsidP="00001582">
            <w:pPr>
              <w:keepNext/>
              <w:keepLines/>
              <w:jc w:val="both"/>
            </w:pPr>
            <w:r w:rsidRPr="00027EB8">
              <w:rPr>
                <w:i/>
              </w:rPr>
              <w:t>Not applicable</w:t>
            </w:r>
          </w:p>
        </w:tc>
      </w:tr>
    </w:tbl>
    <w:p w14:paraId="10B7B956" w14:textId="77777777" w:rsidR="00001582" w:rsidRDefault="00001582" w:rsidP="00001582">
      <w:pPr>
        <w:ind w:left="1134" w:right="284"/>
        <w:jc w:val="both"/>
      </w:pPr>
    </w:p>
    <w:p w14:paraId="734DCA97" w14:textId="77777777" w:rsidR="00001582" w:rsidRDefault="00001582" w:rsidP="00001582">
      <w:pPr>
        <w:ind w:left="1134" w:right="284"/>
        <w:jc w:val="both"/>
        <w:rPr>
          <w:i/>
        </w:rPr>
      </w:pPr>
      <w:r>
        <w:rPr>
          <w:i/>
          <w:vertAlign w:val="superscript"/>
        </w:rPr>
        <w:t>a</w:t>
      </w:r>
      <w:r>
        <w:rPr>
          <w:i/>
        </w:rPr>
        <w:t xml:space="preserve"> For divisions 1.4, 1.5 and 1.6 no symbol appears on the label for transport, according to the UN Model Regulations.</w:t>
      </w:r>
    </w:p>
    <w:p w14:paraId="0A620576" w14:textId="77777777" w:rsidR="00001582" w:rsidRDefault="00001582" w:rsidP="00001582">
      <w:pPr>
        <w:ind w:left="1134" w:right="284"/>
        <w:jc w:val="both"/>
        <w:rPr>
          <w:i/>
        </w:rPr>
      </w:pPr>
    </w:p>
    <w:p w14:paraId="6D78240E" w14:textId="77777777" w:rsidR="00001582" w:rsidRDefault="00001582" w:rsidP="00001582">
      <w:pPr>
        <w:ind w:left="1134" w:right="284"/>
        <w:jc w:val="both"/>
        <w:rPr>
          <w:i/>
        </w:rPr>
      </w:pPr>
      <w:r>
        <w:rPr>
          <w:i/>
          <w:vertAlign w:val="superscript"/>
        </w:rPr>
        <w:t>b</w:t>
      </w:r>
      <w:r>
        <w:rPr>
          <w:i/>
        </w:rPr>
        <w:t xml:space="preserve"> To be assigned additionally to explosives that are sensitive to initiation as determined by test series 3 or 4 of the Manual of Tests and Criteria. May also be applied to explosives sensitive to other stimuli, e.g. electrostatic discharge.</w:t>
      </w:r>
    </w:p>
    <w:p w14:paraId="350C2306" w14:textId="77777777" w:rsidR="00001582" w:rsidRDefault="00001582" w:rsidP="00001582">
      <w:pPr>
        <w:ind w:left="1134" w:right="284"/>
        <w:jc w:val="both"/>
        <w:rPr>
          <w:i/>
        </w:rPr>
      </w:pPr>
    </w:p>
    <w:p w14:paraId="2DA8736C" w14:textId="77777777" w:rsidR="00001582" w:rsidRDefault="00001582" w:rsidP="00001582">
      <w:pPr>
        <w:ind w:left="1134" w:right="284"/>
        <w:jc w:val="both"/>
        <w:rPr>
          <w:i/>
        </w:rPr>
      </w:pPr>
      <w:r>
        <w:rPr>
          <w:i/>
          <w:vertAlign w:val="superscript"/>
        </w:rPr>
        <w:t>c</w:t>
      </w:r>
      <w:r>
        <w:rPr>
          <w:i/>
        </w:rPr>
        <w:t xml:space="preserve"> To be assigned additionally to explosives for which sufficient information on their sensitivity to initiation is not available.</w:t>
      </w:r>
    </w:p>
    <w:p w14:paraId="3260D2B2" w14:textId="77777777" w:rsidR="00001582" w:rsidRDefault="00001582" w:rsidP="00001582">
      <w:pPr>
        <w:ind w:left="1134" w:right="284"/>
        <w:jc w:val="both"/>
        <w:rPr>
          <w:b/>
          <w:bCs/>
          <w:i/>
          <w:iCs/>
        </w:rPr>
      </w:pPr>
    </w:p>
    <w:p w14:paraId="0E436CF8" w14:textId="5229152F" w:rsidR="00001582" w:rsidRDefault="00001582" w:rsidP="007D322F">
      <w:pPr>
        <w:ind w:left="1134" w:right="284"/>
        <w:jc w:val="both"/>
        <w:rPr>
          <w:b/>
          <w:bCs/>
          <w:i/>
          <w:iCs/>
          <w:strike/>
        </w:rPr>
      </w:pPr>
      <w:r>
        <w:rPr>
          <w:b/>
          <w:bCs/>
          <w:i/>
          <w:iCs/>
        </w:rPr>
        <w:t xml:space="preserve">NOTE: </w:t>
      </w:r>
      <w:r>
        <w:rPr>
          <w:i/>
          <w:iCs/>
        </w:rPr>
        <w:t>Substances and mixtures excluded by 2.1.1.2.2 (c), point (v) still have explosive properties. The user should be informed of these intrinsic explosive properties because they have to be considered for handling – especially if the substance or mixture is removed from its packaging or is repackaged – and for storage. For this reason, the explosive properties of the substance or mixture should be communicated in Sub-section 2.3 (Other hazards which do not result in classification) and Section 9 (Physical and chemical properties) or 10 (Stability and reactivity) of the Safety Data Sheet in accordance with Table 1.5.2, and other sections of the Saf</w:t>
      </w:r>
      <w:r w:rsidR="007D322F">
        <w:rPr>
          <w:i/>
          <w:iCs/>
        </w:rPr>
        <w:t>ety Data Sheet, as appropriate.</w:t>
      </w:r>
    </w:p>
    <w:p w14:paraId="4BB81B11" w14:textId="77777777" w:rsidR="00001582" w:rsidRDefault="00001582" w:rsidP="00001582">
      <w:pPr>
        <w:ind w:left="1134" w:right="284"/>
        <w:jc w:val="both"/>
        <w:rPr>
          <w:i/>
        </w:rPr>
      </w:pPr>
    </w:p>
    <w:p w14:paraId="5B5A8897" w14:textId="77777777" w:rsidR="00CD7F97" w:rsidRDefault="00CD7F97">
      <w:pPr>
        <w:suppressAutoHyphens w:val="0"/>
        <w:spacing w:line="240" w:lineRule="auto"/>
        <w:rPr>
          <w:b/>
        </w:rPr>
      </w:pPr>
      <w:r>
        <w:rPr>
          <w:b/>
        </w:rPr>
        <w:br w:type="page"/>
      </w:r>
    </w:p>
    <w:p w14:paraId="3FAFB052" w14:textId="4F250C6D" w:rsidR="00001582" w:rsidRDefault="00001582" w:rsidP="00001582">
      <w:pPr>
        <w:tabs>
          <w:tab w:val="left" w:pos="2268"/>
        </w:tabs>
        <w:spacing w:after="240"/>
        <w:ind w:left="1134" w:right="284"/>
        <w:jc w:val="both"/>
        <w:rPr>
          <w:b/>
        </w:rPr>
      </w:pPr>
      <w:r>
        <w:rPr>
          <w:b/>
        </w:rPr>
        <w:t xml:space="preserve">2.1.4 </w:t>
      </w:r>
      <w:r>
        <w:rPr>
          <w:b/>
        </w:rPr>
        <w:tab/>
        <w:t>Decision logic and guidance</w:t>
      </w:r>
    </w:p>
    <w:p w14:paraId="520C0F95" w14:textId="76022B0B" w:rsidR="00001582" w:rsidRDefault="00001582" w:rsidP="00001582">
      <w:pPr>
        <w:tabs>
          <w:tab w:val="left" w:pos="2268"/>
        </w:tabs>
        <w:ind w:left="1134" w:right="284"/>
        <w:jc w:val="both"/>
      </w:pPr>
      <w:r>
        <w:tab/>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14:paraId="33BEA025" w14:textId="77777777" w:rsidR="00001582" w:rsidRDefault="00001582" w:rsidP="00001582">
      <w:pPr>
        <w:ind w:left="1134" w:right="284"/>
        <w:jc w:val="both"/>
        <w:rPr>
          <w:b/>
        </w:rPr>
      </w:pPr>
    </w:p>
    <w:p w14:paraId="33127D30" w14:textId="51CACD4F" w:rsidR="00001582" w:rsidRDefault="00001582" w:rsidP="003633B5">
      <w:pPr>
        <w:keepNext/>
        <w:keepLines/>
        <w:ind w:left="1134" w:right="284"/>
        <w:jc w:val="both"/>
      </w:pPr>
      <w:r>
        <w:t xml:space="preserve">2.1.4.1 </w:t>
      </w:r>
      <w:r>
        <w:tab/>
        <w:t>Decision logic</w:t>
      </w:r>
    </w:p>
    <w:p w14:paraId="3E5C5C4D" w14:textId="03DB948A" w:rsidR="001A4639" w:rsidRDefault="001A4639" w:rsidP="00464236">
      <w:pPr>
        <w:keepNext/>
        <w:keepLines/>
        <w:ind w:right="284"/>
        <w:jc w:val="both"/>
      </w:pPr>
    </w:p>
    <w:p w14:paraId="6836B0A0" w14:textId="1F867EFD" w:rsidR="00471F2A" w:rsidRPr="00471F2A" w:rsidRDefault="00471F2A" w:rsidP="003633B5">
      <w:pPr>
        <w:keepNext/>
        <w:keepLines/>
        <w:ind w:left="1134" w:right="284"/>
        <w:jc w:val="both"/>
        <w:rPr>
          <w:b/>
          <w:i/>
        </w:rPr>
      </w:pPr>
      <w:r w:rsidRPr="00471F2A">
        <w:rPr>
          <w:b/>
          <w:i/>
        </w:rPr>
        <w:t>Decision logic 2.1 (a)</w:t>
      </w:r>
      <w:r w:rsidRPr="00471F2A">
        <w:rPr>
          <w:b/>
          <w:i/>
          <w:lang w:val="en-US"/>
        </w:rPr>
        <w:t xml:space="preserve"> for categories of explosives</w:t>
      </w:r>
    </w:p>
    <w:p w14:paraId="67597ACB" w14:textId="77777777" w:rsidR="00001582" w:rsidRDefault="00001582" w:rsidP="00001582">
      <w:pPr>
        <w:ind w:left="1134" w:right="284"/>
        <w:jc w:val="both"/>
      </w:pPr>
    </w:p>
    <w:p w14:paraId="10BD6C80" w14:textId="7D2E936C" w:rsidR="0048522B" w:rsidRDefault="00D42BC2" w:rsidP="00001582">
      <w:pPr>
        <w:ind w:left="1134" w:right="284"/>
        <w:jc w:val="both"/>
        <w:rPr>
          <w:rFonts w:asciiTheme="minorHAnsi" w:eastAsiaTheme="minorHAnsi" w:hAnsiTheme="minorHAnsi" w:cstheme="minorBidi"/>
          <w:sz w:val="22"/>
          <w:szCs w:val="22"/>
          <w:lang w:val="de-DE"/>
        </w:rPr>
      </w:pPr>
      <w:r>
        <w:rPr>
          <w:rFonts w:asciiTheme="minorHAnsi" w:eastAsiaTheme="minorHAnsi" w:hAnsiTheme="minorHAnsi" w:cstheme="minorBidi"/>
          <w:sz w:val="22"/>
          <w:szCs w:val="22"/>
          <w:lang w:val="de-DE"/>
        </w:rPr>
        <w:object w:dxaOrig="8040" w:dyaOrig="7130" w14:anchorId="30FD3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75pt;height:356.25pt" o:ole="">
            <v:imagedata r:id="rId11" o:title=""/>
          </v:shape>
          <o:OLEObject Type="Embed" ProgID="Visio.Drawing.15" ShapeID="_x0000_i1025" DrawAspect="Content" ObjectID="_1668327557" r:id="rId12"/>
        </w:object>
      </w:r>
    </w:p>
    <w:p w14:paraId="1D422324" w14:textId="77777777" w:rsidR="00B3291A" w:rsidRDefault="00471F2A" w:rsidP="00471F2A">
      <w:pPr>
        <w:pStyle w:val="FootnoteText"/>
        <w:tabs>
          <w:tab w:val="left" w:pos="1418"/>
        </w:tabs>
        <w:jc w:val="both"/>
        <w:rPr>
          <w:sz w:val="20"/>
          <w:szCs w:val="22"/>
          <w:vertAlign w:val="superscript"/>
        </w:rPr>
      </w:pPr>
      <w:r>
        <w:rPr>
          <w:sz w:val="20"/>
          <w:szCs w:val="22"/>
          <w:vertAlign w:val="superscript"/>
        </w:rPr>
        <w:tab/>
      </w:r>
    </w:p>
    <w:p w14:paraId="52C65104" w14:textId="77777777" w:rsidR="00B3291A" w:rsidRDefault="00B3291A" w:rsidP="00471F2A">
      <w:pPr>
        <w:pStyle w:val="FootnoteText"/>
        <w:tabs>
          <w:tab w:val="left" w:pos="1418"/>
        </w:tabs>
        <w:jc w:val="both"/>
        <w:rPr>
          <w:sz w:val="20"/>
          <w:szCs w:val="22"/>
          <w:vertAlign w:val="superscript"/>
        </w:rPr>
      </w:pPr>
      <w:r>
        <w:rPr>
          <w:sz w:val="20"/>
          <w:szCs w:val="22"/>
          <w:vertAlign w:val="superscript"/>
        </w:rPr>
        <w:tab/>
      </w:r>
    </w:p>
    <w:p w14:paraId="32159BD9" w14:textId="71D01FB6" w:rsidR="00471F2A" w:rsidRDefault="00B3291A" w:rsidP="00471F2A">
      <w:pPr>
        <w:pStyle w:val="FootnoteText"/>
        <w:tabs>
          <w:tab w:val="left" w:pos="1418"/>
        </w:tabs>
        <w:jc w:val="both"/>
        <w:rPr>
          <w:sz w:val="20"/>
          <w:szCs w:val="22"/>
          <w:lang w:val="fr-CH"/>
        </w:rPr>
      </w:pPr>
      <w:r>
        <w:rPr>
          <w:sz w:val="20"/>
          <w:szCs w:val="22"/>
          <w:vertAlign w:val="superscript"/>
        </w:rPr>
        <w:tab/>
      </w:r>
      <w:r w:rsidR="00471F2A">
        <w:rPr>
          <w:sz w:val="20"/>
          <w:szCs w:val="22"/>
          <w:vertAlign w:val="superscript"/>
        </w:rPr>
        <w:t>a</w:t>
      </w:r>
      <w:r w:rsidR="00471F2A">
        <w:rPr>
          <w:sz w:val="20"/>
          <w:szCs w:val="22"/>
          <w:vertAlign w:val="superscript"/>
        </w:rPr>
        <w:tab/>
      </w:r>
      <w:r w:rsidR="00471F2A">
        <w:rPr>
          <w:sz w:val="20"/>
          <w:szCs w:val="22"/>
          <w:lang w:val="en-US"/>
        </w:rPr>
        <w:t>ANEs, desensitized explosives, organic peroxides and self-reactive substances and mixtures are classified in other hazard classes, see 2.1.1.2.2.</w:t>
      </w:r>
    </w:p>
    <w:p w14:paraId="0208B013" w14:textId="77777777" w:rsidR="00471F2A" w:rsidRDefault="00471F2A" w:rsidP="00471F2A">
      <w:pPr>
        <w:pStyle w:val="FootnoteText"/>
        <w:jc w:val="both"/>
        <w:rPr>
          <w:sz w:val="20"/>
          <w:szCs w:val="22"/>
          <w:lang w:val="fr-CH"/>
        </w:rPr>
      </w:pPr>
      <w:r>
        <w:rPr>
          <w:sz w:val="20"/>
          <w:szCs w:val="22"/>
        </w:rPr>
        <w:tab/>
      </w:r>
      <w:r>
        <w:rPr>
          <w:sz w:val="20"/>
          <w:szCs w:val="22"/>
          <w:vertAlign w:val="superscript"/>
          <w:lang w:val="en-US"/>
        </w:rPr>
        <w:t>b</w:t>
      </w:r>
      <w:r>
        <w:rPr>
          <w:b/>
          <w:bCs/>
          <w:sz w:val="20"/>
          <w:szCs w:val="22"/>
          <w:lang w:val="en-US"/>
        </w:rPr>
        <w:tab/>
      </w:r>
      <w:r>
        <w:rPr>
          <w:sz w:val="20"/>
          <w:szCs w:val="22"/>
          <w:lang w:val="en-US"/>
        </w:rPr>
        <w:t>Unless it is for use, see 2.1.1.3.4.</w:t>
      </w:r>
    </w:p>
    <w:p w14:paraId="22576D05" w14:textId="77777777" w:rsidR="00471F2A" w:rsidRDefault="00471F2A" w:rsidP="00471F2A">
      <w:pPr>
        <w:pStyle w:val="FootnoteText"/>
        <w:jc w:val="both"/>
        <w:rPr>
          <w:sz w:val="20"/>
          <w:szCs w:val="22"/>
          <w:lang w:val="fr-CH"/>
        </w:rPr>
      </w:pPr>
      <w:r>
        <w:rPr>
          <w:sz w:val="20"/>
          <w:szCs w:val="22"/>
        </w:rPr>
        <w:tab/>
      </w:r>
      <w:r>
        <w:rPr>
          <w:sz w:val="20"/>
          <w:szCs w:val="22"/>
          <w:vertAlign w:val="superscript"/>
        </w:rPr>
        <w:t>c</w:t>
      </w:r>
      <w:r>
        <w:rPr>
          <w:sz w:val="20"/>
          <w:szCs w:val="22"/>
        </w:rPr>
        <w:tab/>
      </w:r>
      <w:r>
        <w:rPr>
          <w:sz w:val="20"/>
          <w:szCs w:val="22"/>
          <w:lang w:val="en-US"/>
        </w:rPr>
        <w:t>Screening procedures may be used to avoid testing, see 2.1.1.2.2.</w:t>
      </w:r>
    </w:p>
    <w:p w14:paraId="33B87F8B" w14:textId="3BB4FDF8" w:rsidR="00471F2A" w:rsidRDefault="00471F2A" w:rsidP="00001582">
      <w:pPr>
        <w:ind w:left="1134" w:right="284"/>
        <w:jc w:val="both"/>
        <w:rPr>
          <w:b/>
          <w:highlight w:val="lightGray"/>
          <w:lang w:val="fr-CH"/>
        </w:rPr>
      </w:pPr>
    </w:p>
    <w:p w14:paraId="297FE36B" w14:textId="2D67C637" w:rsidR="00471F2A" w:rsidRDefault="00471F2A" w:rsidP="00001582">
      <w:pPr>
        <w:ind w:left="1134" w:right="284"/>
        <w:jc w:val="both"/>
        <w:rPr>
          <w:b/>
          <w:highlight w:val="lightGray"/>
          <w:lang w:val="fr-CH"/>
        </w:rPr>
      </w:pPr>
    </w:p>
    <w:p w14:paraId="012BF989" w14:textId="0A2D2928" w:rsidR="00471F2A" w:rsidRDefault="00471F2A" w:rsidP="00001582">
      <w:pPr>
        <w:ind w:left="1134" w:right="284"/>
        <w:jc w:val="both"/>
        <w:rPr>
          <w:b/>
          <w:highlight w:val="lightGray"/>
          <w:lang w:val="fr-CH"/>
        </w:rPr>
      </w:pPr>
    </w:p>
    <w:p w14:paraId="242195CA" w14:textId="77777777" w:rsidR="00471F2A" w:rsidRDefault="00471F2A">
      <w:pPr>
        <w:suppressAutoHyphens w:val="0"/>
        <w:spacing w:line="240" w:lineRule="auto"/>
        <w:rPr>
          <w:b/>
          <w:i/>
        </w:rPr>
      </w:pPr>
      <w:r>
        <w:rPr>
          <w:b/>
          <w:i/>
        </w:rPr>
        <w:br w:type="page"/>
      </w:r>
    </w:p>
    <w:p w14:paraId="019092AA" w14:textId="4362108C" w:rsidR="00471F2A" w:rsidRPr="00471F2A" w:rsidRDefault="00471F2A" w:rsidP="00001582">
      <w:pPr>
        <w:ind w:left="1134" w:right="284"/>
        <w:jc w:val="both"/>
        <w:rPr>
          <w:b/>
          <w:i/>
          <w:highlight w:val="lightGray"/>
          <w:lang w:val="fr-CH"/>
        </w:rPr>
      </w:pPr>
      <w:r w:rsidRPr="00471F2A">
        <w:rPr>
          <w:b/>
          <w:i/>
        </w:rPr>
        <w:t>Decision logic 2.1 (b) for sub-categories of explosives</w:t>
      </w:r>
    </w:p>
    <w:p w14:paraId="7A1B0574" w14:textId="6B639504" w:rsidR="00471F2A" w:rsidRDefault="00471F2A" w:rsidP="00001582">
      <w:pPr>
        <w:ind w:left="1134" w:right="284"/>
        <w:jc w:val="both"/>
        <w:rPr>
          <w:rFonts w:eastAsia="SimSun"/>
          <w:lang w:eastAsia="zh-CN"/>
        </w:rPr>
      </w:pPr>
    </w:p>
    <w:p w14:paraId="446EC685" w14:textId="37930FCC" w:rsidR="0048522B" w:rsidRDefault="00C550FE" w:rsidP="00001582">
      <w:pPr>
        <w:ind w:left="1134" w:right="284"/>
        <w:jc w:val="both"/>
        <w:rPr>
          <w:rFonts w:eastAsia="SimSun"/>
          <w:lang w:eastAsia="zh-CN"/>
        </w:rPr>
      </w:pPr>
      <w:r>
        <w:rPr>
          <w:rFonts w:eastAsia="SimSun"/>
          <w:lang w:eastAsia="zh-CN"/>
        </w:rPr>
        <w:object w:dxaOrig="5650" w:dyaOrig="8750" w14:anchorId="136C66A1">
          <v:shape id="_x0000_i1026" type="#_x0000_t75" style="width:300.75pt;height:465pt" o:ole="">
            <v:imagedata r:id="rId13" o:title=""/>
          </v:shape>
          <o:OLEObject Type="Embed" ProgID="Visio.Drawing.15" ShapeID="_x0000_i1026" DrawAspect="Content" ObjectID="_1668327558" r:id="rId14"/>
        </w:object>
      </w:r>
    </w:p>
    <w:p w14:paraId="0ACA98D8" w14:textId="77777777" w:rsidR="00BF68D9" w:rsidRDefault="00BF68D9" w:rsidP="002752C3">
      <w:pPr>
        <w:ind w:left="1134" w:right="284"/>
        <w:jc w:val="both"/>
        <w:rPr>
          <w:vertAlign w:val="superscript"/>
        </w:rPr>
      </w:pPr>
    </w:p>
    <w:p w14:paraId="2B709778" w14:textId="77777777" w:rsidR="00BF68D9" w:rsidRDefault="00BF68D9" w:rsidP="002752C3">
      <w:pPr>
        <w:ind w:left="1134" w:right="284"/>
        <w:jc w:val="both"/>
        <w:rPr>
          <w:vertAlign w:val="superscript"/>
        </w:rPr>
      </w:pPr>
    </w:p>
    <w:p w14:paraId="732B6933" w14:textId="2352681B" w:rsidR="004E55A3" w:rsidRDefault="00471F2A" w:rsidP="002752C3">
      <w:pPr>
        <w:ind w:left="1134" w:right="284"/>
        <w:jc w:val="both"/>
        <w:rPr>
          <w:highlight w:val="lightGray"/>
        </w:rPr>
      </w:pPr>
      <w:r w:rsidRPr="00471F2A">
        <w:rPr>
          <w:vertAlign w:val="superscript"/>
        </w:rPr>
        <w:t>a</w:t>
      </w:r>
      <w:r w:rsidRPr="00471F2A">
        <w:tab/>
        <w:t>I</w:t>
      </w:r>
      <w:r>
        <w:rPr>
          <w:lang w:val="en-US"/>
        </w:rPr>
        <w:t>n the absence of results from test 6 (a) or 6 (b), results from test 6 (d) may be used to assess whether there was a high hazard event, see 2.1.2.1</w:t>
      </w:r>
      <w:r w:rsidRPr="002A4621">
        <w:rPr>
          <w:lang w:val="en-US"/>
        </w:rPr>
        <w:t>.</w:t>
      </w:r>
      <w:r w:rsidR="004E55A3" w:rsidRPr="002A4621">
        <w:rPr>
          <w:lang w:val="en-US"/>
        </w:rPr>
        <w:t xml:space="preserve"> </w:t>
      </w:r>
      <w:r w:rsidR="004E55A3" w:rsidRPr="002A4621">
        <w:t>If the configuration includes attenuating features that are likely to mitigate a high hazard event, such as spacing or a specific orientation of explosive articles, Sub-category 2A may be assigned without the need to assess test data.</w:t>
      </w:r>
    </w:p>
    <w:p w14:paraId="7A99A955" w14:textId="77777777" w:rsidR="002752C3" w:rsidRPr="00471F2A" w:rsidRDefault="002752C3" w:rsidP="002752C3">
      <w:pPr>
        <w:ind w:left="1134" w:right="284"/>
        <w:jc w:val="both"/>
        <w:rPr>
          <w:highlight w:val="lightGray"/>
        </w:rPr>
      </w:pPr>
    </w:p>
    <w:p w14:paraId="096D9C18" w14:textId="77777777" w:rsidR="00BF68D9" w:rsidRDefault="00BF68D9">
      <w:pPr>
        <w:suppressAutoHyphens w:val="0"/>
        <w:spacing w:line="240" w:lineRule="auto"/>
      </w:pPr>
      <w:r>
        <w:br w:type="page"/>
      </w:r>
    </w:p>
    <w:p w14:paraId="07383AA2" w14:textId="6C3A08B9" w:rsidR="00001582" w:rsidRDefault="00001582" w:rsidP="00001582">
      <w:pPr>
        <w:keepNext/>
        <w:keepLines/>
        <w:ind w:left="1134" w:right="284"/>
        <w:jc w:val="both"/>
      </w:pPr>
      <w:r>
        <w:t>2.1.4.2</w:t>
      </w:r>
      <w:r>
        <w:tab/>
      </w:r>
      <w:r>
        <w:tab/>
        <w:t>Description of explosion hazard levels</w:t>
      </w:r>
    </w:p>
    <w:p w14:paraId="132DFEC5" w14:textId="77777777" w:rsidR="00001582" w:rsidRDefault="00001582" w:rsidP="00001582">
      <w:pPr>
        <w:keepNext/>
        <w:keepLines/>
        <w:ind w:left="1134" w:right="284"/>
        <w:jc w:val="both"/>
      </w:pPr>
    </w:p>
    <w:tbl>
      <w:tblPr>
        <w:tblStyle w:val="TableGrid"/>
        <w:tblW w:w="0" w:type="auto"/>
        <w:tblInd w:w="1134" w:type="dxa"/>
        <w:tblCellMar>
          <w:top w:w="57" w:type="dxa"/>
          <w:left w:w="57" w:type="dxa"/>
          <w:bottom w:w="57" w:type="dxa"/>
          <w:right w:w="57" w:type="dxa"/>
        </w:tblCellMar>
        <w:tblLook w:val="04A0" w:firstRow="1" w:lastRow="0" w:firstColumn="1" w:lastColumn="0" w:noHBand="0" w:noVBand="1"/>
      </w:tblPr>
      <w:tblGrid>
        <w:gridCol w:w="1131"/>
        <w:gridCol w:w="6799"/>
      </w:tblGrid>
      <w:tr w:rsidR="00001582" w:rsidRPr="00027EB8" w14:paraId="73FC648A" w14:textId="77777777" w:rsidTr="00001582">
        <w:tc>
          <w:tcPr>
            <w:tcW w:w="846" w:type="dxa"/>
            <w:tcBorders>
              <w:top w:val="single" w:sz="4" w:space="0" w:color="auto"/>
              <w:left w:val="single" w:sz="4" w:space="0" w:color="auto"/>
              <w:bottom w:val="single" w:sz="4" w:space="0" w:color="auto"/>
              <w:right w:val="single" w:sz="4" w:space="0" w:color="auto"/>
            </w:tcBorders>
            <w:hideMark/>
          </w:tcPr>
          <w:p w14:paraId="66937B98" w14:textId="77777777" w:rsidR="00001582" w:rsidRPr="00027EB8" w:rsidRDefault="00001582" w:rsidP="00001582">
            <w:pPr>
              <w:keepNext/>
              <w:keepLines/>
              <w:ind w:right="284"/>
              <w:jc w:val="both"/>
              <w:rPr>
                <w:b/>
              </w:rPr>
            </w:pPr>
            <w:r w:rsidRPr="00027EB8">
              <w:rPr>
                <w:b/>
              </w:rPr>
              <w:t>Sub-category</w:t>
            </w:r>
          </w:p>
        </w:tc>
        <w:tc>
          <w:tcPr>
            <w:tcW w:w="6799" w:type="dxa"/>
            <w:tcBorders>
              <w:top w:val="single" w:sz="4" w:space="0" w:color="auto"/>
              <w:left w:val="single" w:sz="4" w:space="0" w:color="auto"/>
              <w:bottom w:val="single" w:sz="4" w:space="0" w:color="auto"/>
              <w:right w:val="single" w:sz="4" w:space="0" w:color="auto"/>
            </w:tcBorders>
            <w:hideMark/>
          </w:tcPr>
          <w:p w14:paraId="42F9609E" w14:textId="77777777" w:rsidR="00001582" w:rsidRPr="00027EB8" w:rsidRDefault="00001582" w:rsidP="00001582">
            <w:pPr>
              <w:keepNext/>
              <w:keepLines/>
              <w:ind w:right="284"/>
              <w:jc w:val="both"/>
              <w:rPr>
                <w:b/>
              </w:rPr>
            </w:pPr>
            <w:r w:rsidRPr="00027EB8">
              <w:rPr>
                <w:b/>
              </w:rPr>
              <w:t>Explosion hazard level</w:t>
            </w:r>
          </w:p>
        </w:tc>
      </w:tr>
      <w:tr w:rsidR="00001582" w:rsidRPr="00027EB8" w14:paraId="0AFCAD26"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34A9E57D" w14:textId="77777777" w:rsidR="00001582" w:rsidRPr="00027EB8" w:rsidRDefault="00001582" w:rsidP="00001582">
            <w:pPr>
              <w:keepNext/>
              <w:keepLines/>
              <w:ind w:right="284"/>
              <w:jc w:val="both"/>
            </w:pPr>
            <w:r w:rsidRPr="00027EB8">
              <w:t>2A</w:t>
            </w:r>
          </w:p>
        </w:tc>
        <w:tc>
          <w:tcPr>
            <w:tcW w:w="6799" w:type="dxa"/>
            <w:tcBorders>
              <w:top w:val="single" w:sz="4" w:space="0" w:color="auto"/>
              <w:left w:val="single" w:sz="4" w:space="0" w:color="auto"/>
              <w:bottom w:val="single" w:sz="4" w:space="0" w:color="auto"/>
              <w:right w:val="single" w:sz="4" w:space="0" w:color="auto"/>
            </w:tcBorders>
          </w:tcPr>
          <w:p w14:paraId="4754603C" w14:textId="2798E3E8" w:rsidR="00001582" w:rsidRPr="00027EB8" w:rsidRDefault="00001582" w:rsidP="00001582">
            <w:pPr>
              <w:keepNext/>
              <w:keepLines/>
              <w:jc w:val="both"/>
            </w:pPr>
            <w:r w:rsidRPr="00027EB8">
              <w:rPr>
                <w:color w:val="000000" w:themeColor="text1"/>
              </w:rPr>
              <w:t xml:space="preserve">Sub-category 2A represents a high explosion hazard. An explosive in this sub-category </w:t>
            </w:r>
            <w:r w:rsidRPr="00027EB8">
              <w:t xml:space="preserve">has the potential to </w:t>
            </w:r>
            <w:r w:rsidRPr="00027EB8">
              <w:rPr>
                <w:color w:val="000000" w:themeColor="text1"/>
              </w:rPr>
              <w:t>cause complete destruction of objects and lethal or very severe injuries to persons.</w:t>
            </w:r>
          </w:p>
        </w:tc>
      </w:tr>
      <w:tr w:rsidR="00001582" w:rsidRPr="00027EB8" w14:paraId="3473081D"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1A8B4BFF" w14:textId="77777777" w:rsidR="00001582" w:rsidRPr="00027EB8" w:rsidRDefault="00001582" w:rsidP="00001582">
            <w:pPr>
              <w:ind w:right="284"/>
              <w:jc w:val="both"/>
            </w:pPr>
            <w:r w:rsidRPr="00027EB8">
              <w:t>2B</w:t>
            </w:r>
          </w:p>
        </w:tc>
        <w:tc>
          <w:tcPr>
            <w:tcW w:w="6799" w:type="dxa"/>
            <w:tcBorders>
              <w:top w:val="single" w:sz="4" w:space="0" w:color="auto"/>
              <w:left w:val="single" w:sz="4" w:space="0" w:color="auto"/>
              <w:bottom w:val="single" w:sz="4" w:space="0" w:color="auto"/>
              <w:right w:val="single" w:sz="4" w:space="0" w:color="auto"/>
            </w:tcBorders>
          </w:tcPr>
          <w:p w14:paraId="2E314D66" w14:textId="2F6BF61A" w:rsidR="00001582" w:rsidRPr="00027EB8" w:rsidRDefault="00001582" w:rsidP="00001582">
            <w:pPr>
              <w:jc w:val="both"/>
            </w:pPr>
            <w:r w:rsidRPr="00027EB8">
              <w:rPr>
                <w:color w:val="000000" w:themeColor="text1"/>
              </w:rPr>
              <w:t>Sub-category 2B represents a medium explosion hazard.</w:t>
            </w:r>
            <w:r w:rsidRPr="00027EB8">
              <w:rPr>
                <w:color w:val="CC0000"/>
              </w:rPr>
              <w:t xml:space="preserve"> </w:t>
            </w:r>
            <w:r w:rsidRPr="00027EB8">
              <w:rPr>
                <w:color w:val="000000" w:themeColor="text1"/>
              </w:rPr>
              <w:t>An explosive in this sub-category has the potential to cause serious damage to objects and</w:t>
            </w:r>
            <w:r w:rsidRPr="00027EB8">
              <w:rPr>
                <w:color w:val="CC0000"/>
              </w:rPr>
              <w:t xml:space="preserve"> </w:t>
            </w:r>
            <w:r w:rsidRPr="00027EB8">
              <w:t xml:space="preserve">serious injuries </w:t>
            </w:r>
            <w:r w:rsidRPr="00027EB8">
              <w:rPr>
                <w:color w:val="000000" w:themeColor="text1"/>
              </w:rPr>
              <w:t>to persons. Injuries may result in permanent impairment.</w:t>
            </w:r>
          </w:p>
        </w:tc>
      </w:tr>
      <w:tr w:rsidR="00001582" w:rsidRPr="00027EB8" w14:paraId="53C91E3D" w14:textId="77777777" w:rsidTr="00001582">
        <w:tc>
          <w:tcPr>
            <w:tcW w:w="846" w:type="dxa"/>
            <w:tcBorders>
              <w:top w:val="single" w:sz="4" w:space="0" w:color="auto"/>
              <w:left w:val="single" w:sz="4" w:space="0" w:color="auto"/>
              <w:bottom w:val="single" w:sz="4" w:space="0" w:color="auto"/>
              <w:right w:val="single" w:sz="4" w:space="0" w:color="auto"/>
            </w:tcBorders>
            <w:vAlign w:val="center"/>
            <w:hideMark/>
          </w:tcPr>
          <w:p w14:paraId="3C0B1401" w14:textId="77777777" w:rsidR="00001582" w:rsidRPr="00027EB8" w:rsidRDefault="00001582" w:rsidP="00001582">
            <w:pPr>
              <w:ind w:right="284"/>
              <w:jc w:val="both"/>
            </w:pPr>
            <w:r w:rsidRPr="00027EB8">
              <w:t>2C</w:t>
            </w:r>
          </w:p>
        </w:tc>
        <w:tc>
          <w:tcPr>
            <w:tcW w:w="6799" w:type="dxa"/>
            <w:tcBorders>
              <w:top w:val="single" w:sz="4" w:space="0" w:color="auto"/>
              <w:left w:val="single" w:sz="4" w:space="0" w:color="auto"/>
              <w:bottom w:val="single" w:sz="4" w:space="0" w:color="auto"/>
              <w:right w:val="single" w:sz="4" w:space="0" w:color="auto"/>
            </w:tcBorders>
          </w:tcPr>
          <w:p w14:paraId="1D43F98B" w14:textId="5BCD0D79" w:rsidR="00001582" w:rsidRPr="00027EB8" w:rsidRDefault="00001582" w:rsidP="00001582">
            <w:pPr>
              <w:jc w:val="both"/>
            </w:pPr>
            <w:r w:rsidRPr="00027EB8">
              <w:rPr>
                <w:color w:val="000000" w:themeColor="text1"/>
              </w:rPr>
              <w:t>Sub-category 2C represents a low explosion hazard.</w:t>
            </w:r>
            <w:r w:rsidRPr="00027EB8">
              <w:rPr>
                <w:color w:val="CC0000"/>
              </w:rPr>
              <w:t xml:space="preserve"> </w:t>
            </w:r>
            <w:r w:rsidRPr="00027EB8">
              <w:rPr>
                <w:color w:val="000000" w:themeColor="text1"/>
              </w:rPr>
              <w:t>An explosive in this sub-category can cause minor damage to objects and moderate injuries to persons. Injuries would not normally result in permanent impairment</w:t>
            </w:r>
            <w:r w:rsidRPr="00027EB8">
              <w:t>.</w:t>
            </w:r>
          </w:p>
        </w:tc>
      </w:tr>
    </w:tbl>
    <w:p w14:paraId="6452CE7D" w14:textId="24059371" w:rsidR="00001582" w:rsidRDefault="00001582" w:rsidP="00001582">
      <w:pPr>
        <w:spacing w:before="240" w:after="240"/>
        <w:ind w:left="1134" w:right="284"/>
        <w:jc w:val="both"/>
      </w:pPr>
      <w:r>
        <w:t>2.1.4.3</w:t>
      </w:r>
      <w:r>
        <w:tab/>
      </w:r>
      <w:r>
        <w:tab/>
        <w:t>Principles of explosives classification</w:t>
      </w:r>
    </w:p>
    <w:p w14:paraId="43CF0DFC" w14:textId="6364AD6E" w:rsidR="00001582" w:rsidRDefault="00001582" w:rsidP="00001582">
      <w:pPr>
        <w:tabs>
          <w:tab w:val="left" w:pos="2268"/>
        </w:tabs>
        <w:spacing w:after="240"/>
        <w:ind w:left="1134" w:right="284"/>
        <w:jc w:val="both"/>
      </w:pPr>
      <w:r>
        <w:t>2.1.4.3.1</w:t>
      </w:r>
      <w:r>
        <w:tab/>
      </w:r>
      <w:r>
        <w:rPr>
          <w:i/>
        </w:rPr>
        <w:t>Assigning explosives to divisions by testing</w:t>
      </w:r>
    </w:p>
    <w:p w14:paraId="7762FAA0" w14:textId="1566FC3E" w:rsidR="00091297" w:rsidRPr="00ED2AAC" w:rsidRDefault="00091297" w:rsidP="00001582">
      <w:pPr>
        <w:tabs>
          <w:tab w:val="left" w:pos="2268"/>
        </w:tabs>
        <w:spacing w:after="240"/>
        <w:ind w:left="1134" w:right="284"/>
        <w:jc w:val="both"/>
      </w:pPr>
      <w:r w:rsidRPr="00ED2AAC">
        <w:t>2.1.4.3.1.1</w:t>
      </w:r>
      <w:r w:rsidRPr="00ED2AAC">
        <w:tab/>
      </w:r>
      <w:r w:rsidR="00001582" w:rsidRPr="00ED2AAC">
        <w:t>Explosives are assigned</w:t>
      </w:r>
      <w:r w:rsidR="00F031DA">
        <w:t xml:space="preserve"> </w:t>
      </w:r>
      <w:r w:rsidR="00001582" w:rsidRPr="00ED2AAC">
        <w:t xml:space="preserve">divisions based on testing of specific configurations, which quantifies levels of blast, projections and fire. Formation of a configuration provides a level of protection from outside stimuli and fixes the sensitivity and hazard magnitude, which enables the assignment to a division. The divisions therefore describe the explosive behaviour in the particular configuration. Such descriptions reflect attenuating properties of the packaging and article, which may include spacing, or specific orientations of explosive articles to mitigate an explosive effect. The configuration is further controlled by design and packaging requirements specified in the </w:t>
      </w:r>
      <w:r w:rsidR="00001582" w:rsidRPr="00ED2AAC">
        <w:rPr>
          <w:i/>
        </w:rPr>
        <w:t>UN Model Regulations</w:t>
      </w:r>
      <w:r w:rsidR="00001582" w:rsidRPr="00ED2AAC">
        <w:t xml:space="preserve">. </w:t>
      </w:r>
    </w:p>
    <w:p w14:paraId="79585123" w14:textId="7FD915F0" w:rsidR="00001582" w:rsidRPr="00ED2AAC" w:rsidRDefault="00091297" w:rsidP="00001582">
      <w:pPr>
        <w:tabs>
          <w:tab w:val="left" w:pos="2268"/>
        </w:tabs>
        <w:spacing w:after="240"/>
        <w:ind w:left="1134" w:right="284"/>
        <w:jc w:val="both"/>
      </w:pPr>
      <w:r w:rsidRPr="00ED2AAC">
        <w:t>2.1.4.3.1.2</w:t>
      </w:r>
      <w:r w:rsidRPr="00ED2AAC">
        <w:tab/>
      </w:r>
      <w:r w:rsidR="00001582" w:rsidRPr="00ED2AAC">
        <w:t>Although divisions are not valid outside of the configurations to which they were assigned, they may still be used as a basis for regulatory measures in storage and handling when these configurations are modified. This normally presumes that additional safety measures are taken to account for the modified configurations, e.g. aggregate quantity limits and protective building designs.</w:t>
      </w:r>
    </w:p>
    <w:p w14:paraId="3219C6B2" w14:textId="43AB9850" w:rsidR="00001582" w:rsidRPr="00ED2AAC" w:rsidRDefault="00001582" w:rsidP="00001582">
      <w:pPr>
        <w:spacing w:after="240"/>
        <w:ind w:left="1134" w:right="284"/>
        <w:jc w:val="both"/>
      </w:pPr>
      <w:r w:rsidRPr="00ED2AAC">
        <w:t>2.1.4.3.2</w:t>
      </w:r>
      <w:r w:rsidRPr="00ED2AAC">
        <w:tab/>
      </w:r>
      <w:r w:rsidRPr="00ED2AAC">
        <w:rPr>
          <w:i/>
        </w:rPr>
        <w:t>Assigning explosive</w:t>
      </w:r>
      <w:r w:rsidRPr="0090349F">
        <w:rPr>
          <w:i/>
        </w:rPr>
        <w:t>s</w:t>
      </w:r>
      <w:r w:rsidRPr="00ED2AAC">
        <w:rPr>
          <w:i/>
        </w:rPr>
        <w:t xml:space="preserve"> to divisions based on analogy</w:t>
      </w:r>
    </w:p>
    <w:p w14:paraId="21E85735" w14:textId="28FF0B28" w:rsidR="00001582" w:rsidRPr="00ED2AAC" w:rsidRDefault="00001582" w:rsidP="00001582">
      <w:pPr>
        <w:tabs>
          <w:tab w:val="left" w:pos="2268"/>
        </w:tabs>
        <w:spacing w:after="240"/>
        <w:ind w:left="1134" w:right="284"/>
        <w:jc w:val="both"/>
      </w:pPr>
      <w:r w:rsidRPr="00ED2AAC">
        <w:tab/>
        <w:t xml:space="preserve">While classification in a division or a sub-category is based on testing in accordance with Part I of the </w:t>
      </w:r>
      <w:r w:rsidRPr="00ED2AAC">
        <w:rPr>
          <w:i/>
        </w:rPr>
        <w:t>Manual of Tests and Criteria</w:t>
      </w:r>
      <w:r w:rsidRPr="00ED2AAC">
        <w:t>, similar explosives configurations may be classified without testing, where appropriate, based on analogy to tested explosives. The use of analogy should take into consideration whether changes to the configuration may affect the hazard posed compared to the tested configuration, and is narrowly limited according to the quantity, packaging and design of the explosive.</w:t>
      </w:r>
    </w:p>
    <w:p w14:paraId="170E87EA" w14:textId="77777777" w:rsidR="00001582" w:rsidRPr="00ED2AAC" w:rsidRDefault="00001582" w:rsidP="00001582">
      <w:pPr>
        <w:spacing w:after="240"/>
        <w:ind w:left="1134" w:right="284"/>
        <w:jc w:val="both"/>
      </w:pPr>
      <w:bookmarkStart w:id="1" w:name="_Hlk50026273"/>
      <w:r w:rsidRPr="00ED2AAC">
        <w:t>2.1.4.3.3</w:t>
      </w:r>
      <w:bookmarkEnd w:id="1"/>
      <w:r w:rsidRPr="00ED2AAC">
        <w:tab/>
      </w:r>
      <w:r w:rsidRPr="00ED2AAC">
        <w:rPr>
          <w:i/>
        </w:rPr>
        <w:t>Assigning explosives to sub-categories</w:t>
      </w:r>
    </w:p>
    <w:p w14:paraId="1EF261BD" w14:textId="2D249FC5" w:rsidR="00001582" w:rsidRDefault="00001582" w:rsidP="00001582">
      <w:pPr>
        <w:tabs>
          <w:tab w:val="left" w:pos="2268"/>
        </w:tabs>
        <w:spacing w:after="240"/>
        <w:ind w:left="1134" w:right="284"/>
        <w:jc w:val="both"/>
      </w:pPr>
      <w:r w:rsidRPr="00ED2AAC">
        <w:t>2.1.4.3.3.1</w:t>
      </w:r>
      <w:r w:rsidRPr="00ED2AAC">
        <w:tab/>
        <w:t>Assignment to subcategories within Category 2 builds on the information provided by the division to better reflect the hazard of the explosive in its primary packaging, which is intended to be retained until use. The primary packaging is all or part of the original tested configuration. It is normally the immediate container or the innermost packaging layer and may include attenuating properties which mitigate hazardous effects. However, only flexible inner packaging such as a thin-wall plastic bag or</w:t>
      </w:r>
      <w:r>
        <w:t xml:space="preserve"> other unsubstantial material which provides negligible attenuation of explosive effects should not be considered the primary packaging. As explosives are unpackaged from their primary packaging they may present greater sensitivity or blast, projection or fire hazards. Retaining the primary packaging until use and limiting the amount of unpacked explosives are therefore generally important safety measures when handling explosives. When an explosive is installed or deployed and is later removed from use without initiation, it should be replaced in its primary packaging or an identical primary packaging.</w:t>
      </w:r>
    </w:p>
    <w:p w14:paraId="3082BC74" w14:textId="48C31BA2" w:rsidR="00001582" w:rsidRPr="00ED2AAC" w:rsidRDefault="00001582" w:rsidP="00001582">
      <w:pPr>
        <w:spacing w:after="240"/>
        <w:ind w:left="1134" w:right="284"/>
        <w:jc w:val="both"/>
      </w:pPr>
      <w:r w:rsidRPr="00ED2AAC">
        <w:t>2.1.4.3.3.2</w:t>
      </w:r>
      <w:r w:rsidRPr="00ED2AAC">
        <w:tab/>
        <w:t>Multiple explosive articles may sometimes be supplied where they are in direct contact without any intervening packaging material or spacing, or critical orientation. Provided all applicable classification evaluation occurred in this configuration, their primary packaging can be discarded without affecting the classification.</w:t>
      </w:r>
    </w:p>
    <w:p w14:paraId="4D7EE69A" w14:textId="6346A539" w:rsidR="00001582" w:rsidRPr="00ED2AAC" w:rsidRDefault="00001582" w:rsidP="00001582">
      <w:pPr>
        <w:spacing w:after="240"/>
        <w:ind w:left="1134" w:right="284"/>
        <w:jc w:val="both"/>
      </w:pPr>
      <w:r w:rsidRPr="00ED2AAC">
        <w:t>2.1.4.3.3.3</w:t>
      </w:r>
      <w:r w:rsidRPr="00ED2AAC">
        <w:tab/>
        <w:t>Occasionally, larger explosive articles are supplied without any packaging, e.g. in a handling device such as a cradle. In these cases</w:t>
      </w:r>
      <w:r w:rsidR="00027EB8">
        <w:t>,</w:t>
      </w:r>
      <w:r w:rsidRPr="00ED2AAC">
        <w:t xml:space="preserve"> there may be no primary packaging, i.e. the classification is of the article as such. Handling devices that do not affect the classification can be discarded.</w:t>
      </w:r>
    </w:p>
    <w:p w14:paraId="6FBC9558" w14:textId="50E3835E" w:rsidR="00001582" w:rsidRPr="00442382" w:rsidRDefault="00001582" w:rsidP="00001582">
      <w:pPr>
        <w:spacing w:after="240"/>
        <w:ind w:left="1134" w:right="284"/>
        <w:jc w:val="both"/>
        <w:rPr>
          <w:i/>
        </w:rPr>
      </w:pPr>
      <w:r w:rsidRPr="00ED2AAC">
        <w:t>2.1.4.3.4</w:t>
      </w:r>
      <w:r w:rsidRPr="00ED2AAC">
        <w:tab/>
      </w:r>
      <w:r w:rsidRPr="00ED2AAC">
        <w:rPr>
          <w:i/>
        </w:rPr>
        <w:t xml:space="preserve">Classification </w:t>
      </w:r>
      <w:r w:rsidRPr="00442382">
        <w:rPr>
          <w:i/>
        </w:rPr>
        <w:t>of explosives in situations where they cannot be assigned</w:t>
      </w:r>
      <w:r w:rsidR="002A4621">
        <w:rPr>
          <w:i/>
        </w:rPr>
        <w:t xml:space="preserve"> </w:t>
      </w:r>
      <w:r w:rsidRPr="00442382">
        <w:rPr>
          <w:i/>
        </w:rPr>
        <w:t>a division</w:t>
      </w:r>
    </w:p>
    <w:p w14:paraId="405C7C7E" w14:textId="57CED855" w:rsidR="00001582" w:rsidRPr="00ED2AAC" w:rsidRDefault="00001582" w:rsidP="00ED2AAC">
      <w:pPr>
        <w:spacing w:after="240"/>
        <w:ind w:left="1134" w:right="284"/>
        <w:jc w:val="both"/>
      </w:pPr>
      <w:r w:rsidRPr="00ED2AAC">
        <w:t>2.1.4.3.4.1</w:t>
      </w:r>
      <w:r w:rsidRPr="00ED2AAC">
        <w:tab/>
        <w:t>Explosives in manufacturing</w:t>
      </w:r>
      <w:r w:rsidR="007D322F" w:rsidRPr="007D322F">
        <w:t xml:space="preserve">, </w:t>
      </w:r>
      <w:r w:rsidRPr="00ED2AAC">
        <w:t xml:space="preserve">processing </w:t>
      </w:r>
      <w:r w:rsidRPr="00442382">
        <w:t>and otherwise unfinished stages</w:t>
      </w:r>
      <w:r w:rsidR="002A4621">
        <w:t xml:space="preserve"> cannot be assigned </w:t>
      </w:r>
      <w:r w:rsidRPr="00ED2AAC">
        <w:t>a division until configured for transport, and hence are assigned to Category 1.</w:t>
      </w:r>
      <w:r w:rsidR="00ED2AAC" w:rsidRPr="00ED2AAC">
        <w:t xml:space="preserve"> </w:t>
      </w:r>
      <w:r w:rsidRPr="00ED2AAC">
        <w:t>Similarly, explosives assigned to Category 2 when taken out of their primary packaging for purposes other than use, are re-assigned to Category 1 (unless their primary packaging can be discarded, see 2.1.4.3.3).</w:t>
      </w:r>
    </w:p>
    <w:p w14:paraId="00293D1E" w14:textId="1555C7B7" w:rsidR="00001582" w:rsidRDefault="00001582" w:rsidP="00001582">
      <w:pPr>
        <w:spacing w:after="240"/>
        <w:ind w:left="1134" w:right="284"/>
        <w:jc w:val="both"/>
      </w:pPr>
      <w:r w:rsidRPr="00ED2AAC">
        <w:t>2.1.4.3.4.</w:t>
      </w:r>
      <w:r w:rsidR="00B272B7" w:rsidRPr="00ED2AAC">
        <w:t>2</w:t>
      </w:r>
      <w:r w:rsidRPr="00ED2AAC">
        <w:tab/>
        <w:t>The sensitivity and hazard severity of unpackaged explosives is dependent on non-intrinsic parameters related to the methods used, including quantity, depth, confinement, initiation stimulus, composition, physical state such as particle size, etc. The hazards posed by explosives in Category 1 thus vary extensively and may also vary dynamically as they flow through a process. For these reasons, the hazard communication for Category 1 cannot provide any details regarding the explosive behaviour. Process hazards analysis and risk management principles should be applied in these cases to identify and manage the risk of processes in accordance with best practices and applicable regulations.</w:t>
      </w:r>
    </w:p>
    <w:p w14:paraId="105EC403" w14:textId="30D0E579" w:rsidR="00001582" w:rsidRDefault="00001582" w:rsidP="00001582">
      <w:pPr>
        <w:spacing w:after="240"/>
        <w:ind w:left="1134" w:right="284"/>
        <w:jc w:val="both"/>
        <w:rPr>
          <w:u w:val="single"/>
        </w:rPr>
      </w:pPr>
      <w:r>
        <w:t>2.1.4.3.5</w:t>
      </w:r>
      <w:r>
        <w:tab/>
      </w:r>
      <w:r w:rsidR="007D322F">
        <w:rPr>
          <w:i/>
        </w:rPr>
        <w:t>Safety</w:t>
      </w:r>
      <w:r w:rsidR="007D322F">
        <w:rPr>
          <w:b/>
          <w:i/>
        </w:rPr>
        <w:t xml:space="preserve"> </w:t>
      </w:r>
      <w:r w:rsidRPr="00442382">
        <w:rPr>
          <w:i/>
        </w:rPr>
        <w:t>related to explosives failing Test series 3 or 4</w:t>
      </w:r>
    </w:p>
    <w:p w14:paraId="718948BF" w14:textId="4251BA11" w:rsidR="00001582" w:rsidRDefault="00001582" w:rsidP="00001582">
      <w:pPr>
        <w:tabs>
          <w:tab w:val="left" w:pos="2268"/>
        </w:tabs>
        <w:spacing w:after="240"/>
        <w:ind w:left="1134" w:right="284"/>
        <w:jc w:val="both"/>
      </w:pPr>
      <w:r>
        <w:tab/>
        <w:t xml:space="preserve">Category 1 also includes explosives that fail Test series 3 or </w:t>
      </w:r>
      <w:r w:rsidRPr="00442382">
        <w:t>Test series</w:t>
      </w:r>
      <w:r>
        <w:t xml:space="preserve"> 4 as configured, having an unacceptable level of sensitivity to stimuli encountered during transport. </w:t>
      </w:r>
      <w:r w:rsidRPr="00426C9E">
        <w:t>The thresholds of these tests</w:t>
      </w:r>
      <w:r>
        <w:t xml:space="preserve"> may not be representative of the energy levels encountered during explosives processing and manufacturing</w:t>
      </w:r>
      <w:r w:rsidR="00027EB8">
        <w:t>.</w:t>
      </w:r>
      <w:r w:rsidR="007D322F">
        <w:rPr>
          <w:b/>
        </w:rPr>
        <w:t xml:space="preserve"> </w:t>
      </w:r>
      <w:r w:rsidRPr="00426C9E">
        <w:t>Furthermore, these tests</w:t>
      </w:r>
      <w:r>
        <w:t xml:space="preserve"> do not include all types of stimuli that may be encountered, such as electrostatic discharge.</w:t>
      </w:r>
      <w:r w:rsidR="007D322F">
        <w:t xml:space="preserve"> </w:t>
      </w:r>
      <w:r w:rsidRPr="00426C9E">
        <w:t xml:space="preserve">Additional </w:t>
      </w:r>
      <w:r>
        <w:t xml:space="preserve">investigations of the properties of the explosive at hand </w:t>
      </w:r>
      <w:r w:rsidRPr="00426C9E">
        <w:t xml:space="preserve">may thus be </w:t>
      </w:r>
      <w:r>
        <w:t>needed for safe processing and handling.</w:t>
      </w:r>
      <w:r w:rsidR="00F119C8">
        <w:t>”</w:t>
      </w:r>
    </w:p>
    <w:p w14:paraId="26CBA53F" w14:textId="3D7884CE" w:rsidR="00377FAF" w:rsidRDefault="00377FAF" w:rsidP="00001582">
      <w:pPr>
        <w:tabs>
          <w:tab w:val="left" w:pos="2268"/>
        </w:tabs>
        <w:spacing w:after="240"/>
        <w:ind w:left="1134" w:right="284"/>
        <w:jc w:val="both"/>
      </w:pPr>
    </w:p>
    <w:p w14:paraId="538BAC4D" w14:textId="29108EC9" w:rsidR="00377FAF" w:rsidRDefault="00377FAF" w:rsidP="00001582">
      <w:pPr>
        <w:tabs>
          <w:tab w:val="left" w:pos="2268"/>
        </w:tabs>
        <w:spacing w:after="240"/>
        <w:ind w:left="1134" w:right="284"/>
        <w:jc w:val="both"/>
      </w:pPr>
    </w:p>
    <w:p w14:paraId="7B42741B" w14:textId="61DE4599" w:rsidR="00377FAF" w:rsidRDefault="00377FAF">
      <w:pPr>
        <w:suppressAutoHyphens w:val="0"/>
        <w:spacing w:line="240" w:lineRule="auto"/>
      </w:pPr>
      <w:r>
        <w:br w:type="page"/>
      </w:r>
    </w:p>
    <w:p w14:paraId="22903933" w14:textId="4338304D" w:rsidR="00377FAF" w:rsidRPr="00377FAF" w:rsidRDefault="00F119C8" w:rsidP="00CE012D">
      <w:pPr>
        <w:pStyle w:val="HChG"/>
      </w:pPr>
      <w:r>
        <w:tab/>
      </w:r>
      <w:r>
        <w:tab/>
      </w:r>
      <w:r w:rsidR="00377FAF" w:rsidRPr="00377FAF">
        <w:t>Annex II</w:t>
      </w:r>
    </w:p>
    <w:p w14:paraId="6A4CD1FE" w14:textId="149460FF" w:rsidR="00377FAF" w:rsidRDefault="00377FAF" w:rsidP="00377FAF">
      <w:pPr>
        <w:ind w:left="1134"/>
        <w:rPr>
          <w:b/>
          <w:sz w:val="24"/>
        </w:rPr>
      </w:pPr>
      <w:r w:rsidRPr="00377FAF">
        <w:rPr>
          <w:b/>
          <w:sz w:val="24"/>
        </w:rPr>
        <w:t>List of amendm</w:t>
      </w:r>
      <w:r>
        <w:rPr>
          <w:b/>
          <w:sz w:val="24"/>
        </w:rPr>
        <w:t>e</w:t>
      </w:r>
      <w:r w:rsidRPr="00377FAF">
        <w:rPr>
          <w:b/>
          <w:sz w:val="24"/>
        </w:rPr>
        <w:t>nt</w:t>
      </w:r>
      <w:r>
        <w:rPr>
          <w:b/>
          <w:sz w:val="24"/>
        </w:rPr>
        <w:t>s</w:t>
      </w:r>
      <w:r w:rsidRPr="00377FAF">
        <w:rPr>
          <w:b/>
          <w:sz w:val="24"/>
        </w:rPr>
        <w:t xml:space="preserve"> to</w:t>
      </w:r>
      <w:r>
        <w:rPr>
          <w:b/>
          <w:sz w:val="24"/>
        </w:rPr>
        <w:t xml:space="preserve"> </w:t>
      </w:r>
      <w:r w:rsidR="001D1F0F">
        <w:rPr>
          <w:b/>
          <w:sz w:val="24"/>
        </w:rPr>
        <w:t>G</w:t>
      </w:r>
      <w:r>
        <w:rPr>
          <w:b/>
          <w:sz w:val="24"/>
        </w:rPr>
        <w:t xml:space="preserve">HS Chapter 2.1 </w:t>
      </w:r>
      <w:r w:rsidR="00DD5EA7">
        <w:rPr>
          <w:b/>
          <w:sz w:val="24"/>
        </w:rPr>
        <w:t xml:space="preserve">of Annex I </w:t>
      </w:r>
      <w:r>
        <w:rPr>
          <w:b/>
          <w:sz w:val="24"/>
        </w:rPr>
        <w:t>in</w:t>
      </w:r>
      <w:r w:rsidRPr="00377FAF">
        <w:rPr>
          <w:b/>
          <w:sz w:val="24"/>
        </w:rPr>
        <w:t xml:space="preserve"> </w:t>
      </w:r>
      <w:r w:rsidR="001D1F0F">
        <w:rPr>
          <w:b/>
          <w:sz w:val="24"/>
        </w:rPr>
        <w:t xml:space="preserve">relation to the version presented in </w:t>
      </w:r>
      <w:r w:rsidR="00AE5C86" w:rsidRPr="00AE5C86">
        <w:rPr>
          <w:b/>
          <w:sz w:val="24"/>
        </w:rPr>
        <w:t>ST/SG/AC.10/C.3/2020/20-ST/SG/AC.10/C.4/2020/5</w:t>
      </w:r>
    </w:p>
    <w:p w14:paraId="585505C6" w14:textId="10140E76" w:rsidR="00AE5C86" w:rsidRDefault="00AE5C86" w:rsidP="00377FAF">
      <w:pPr>
        <w:ind w:left="1134"/>
        <w:rPr>
          <w:b/>
          <w:sz w:val="24"/>
        </w:rPr>
      </w:pPr>
    </w:p>
    <w:p w14:paraId="6C7B750B" w14:textId="0AA2533F" w:rsidR="00877F94" w:rsidRPr="00877F94" w:rsidRDefault="00877F94" w:rsidP="00377FAF">
      <w:pPr>
        <w:ind w:left="1134"/>
      </w:pPr>
      <w:r w:rsidRPr="00877F94">
        <w:t>Abbreviations used:</w:t>
      </w:r>
    </w:p>
    <w:p w14:paraId="17531607" w14:textId="0321E5BE" w:rsidR="008B6073" w:rsidRPr="005078F2" w:rsidRDefault="008B6073" w:rsidP="005078F2">
      <w:pPr>
        <w:pStyle w:val="ListParagraph"/>
        <w:numPr>
          <w:ilvl w:val="0"/>
          <w:numId w:val="43"/>
        </w:numPr>
        <w:rPr>
          <w:sz w:val="20"/>
          <w:szCs w:val="20"/>
        </w:rPr>
      </w:pPr>
      <w:r w:rsidRPr="005078F2">
        <w:rPr>
          <w:sz w:val="20"/>
          <w:szCs w:val="20"/>
        </w:rPr>
        <w:t>WD</w:t>
      </w:r>
      <w:r w:rsidR="009A10F4">
        <w:rPr>
          <w:sz w:val="20"/>
          <w:szCs w:val="20"/>
        </w:rPr>
        <w:t>X</w:t>
      </w:r>
      <w:r w:rsidRPr="005078F2">
        <w:rPr>
          <w:sz w:val="20"/>
          <w:szCs w:val="20"/>
        </w:rPr>
        <w:t xml:space="preserve"> </w:t>
      </w:r>
      <w:r w:rsidR="005078F2">
        <w:rPr>
          <w:sz w:val="20"/>
          <w:szCs w:val="20"/>
        </w:rPr>
        <w:t>indicates a</w:t>
      </w:r>
      <w:r w:rsidR="009A10F4">
        <w:rPr>
          <w:sz w:val="20"/>
          <w:szCs w:val="20"/>
        </w:rPr>
        <w:t xml:space="preserve"> </w:t>
      </w:r>
      <w:r w:rsidR="002860AF">
        <w:rPr>
          <w:sz w:val="20"/>
          <w:szCs w:val="20"/>
        </w:rPr>
        <w:t xml:space="preserve">working </w:t>
      </w:r>
      <w:r w:rsidR="009A10F4">
        <w:rPr>
          <w:sz w:val="20"/>
          <w:szCs w:val="20"/>
        </w:rPr>
        <w:t xml:space="preserve">document with number X </w:t>
      </w:r>
      <w:r w:rsidRPr="005078F2">
        <w:rPr>
          <w:sz w:val="20"/>
          <w:szCs w:val="20"/>
        </w:rPr>
        <w:t>for the SCEGHS</w:t>
      </w:r>
      <w:r w:rsidR="00792863" w:rsidRPr="005078F2">
        <w:rPr>
          <w:sz w:val="20"/>
          <w:szCs w:val="20"/>
        </w:rPr>
        <w:t>, 39:th session</w:t>
      </w:r>
    </w:p>
    <w:p w14:paraId="77A17782" w14:textId="06E248B9" w:rsidR="008B6073" w:rsidRPr="005078F2" w:rsidRDefault="009A10F4" w:rsidP="005078F2">
      <w:pPr>
        <w:pStyle w:val="ListParagraph"/>
        <w:numPr>
          <w:ilvl w:val="0"/>
          <w:numId w:val="43"/>
        </w:numPr>
        <w:rPr>
          <w:sz w:val="20"/>
          <w:szCs w:val="20"/>
        </w:rPr>
      </w:pPr>
      <w:r>
        <w:rPr>
          <w:sz w:val="20"/>
          <w:szCs w:val="20"/>
        </w:rPr>
        <w:t>INF.</w:t>
      </w:r>
      <w:r w:rsidR="008B6073" w:rsidRPr="005078F2">
        <w:rPr>
          <w:sz w:val="20"/>
          <w:szCs w:val="20"/>
        </w:rPr>
        <w:t xml:space="preserve">Y indicates an informal document with </w:t>
      </w:r>
      <w:r>
        <w:rPr>
          <w:sz w:val="20"/>
          <w:szCs w:val="20"/>
        </w:rPr>
        <w:t xml:space="preserve">number </w:t>
      </w:r>
      <w:r w:rsidR="008B6073" w:rsidRPr="005078F2">
        <w:rPr>
          <w:sz w:val="20"/>
          <w:szCs w:val="20"/>
        </w:rPr>
        <w:t>Y for the SCEGHS</w:t>
      </w:r>
      <w:r w:rsidR="00792863" w:rsidRPr="005078F2">
        <w:rPr>
          <w:sz w:val="20"/>
          <w:szCs w:val="20"/>
        </w:rPr>
        <w:t>, 39:th session</w:t>
      </w:r>
    </w:p>
    <w:p w14:paraId="6AF4FB7E" w14:textId="095B073A" w:rsidR="00EF598B" w:rsidRDefault="008B6073" w:rsidP="005078F2">
      <w:pPr>
        <w:pStyle w:val="ListParagraph"/>
        <w:numPr>
          <w:ilvl w:val="0"/>
          <w:numId w:val="43"/>
        </w:numPr>
        <w:rPr>
          <w:sz w:val="20"/>
          <w:szCs w:val="20"/>
        </w:rPr>
      </w:pPr>
      <w:r w:rsidRPr="005078F2">
        <w:rPr>
          <w:sz w:val="20"/>
          <w:szCs w:val="20"/>
        </w:rPr>
        <w:t xml:space="preserve">EWG-report means </w:t>
      </w:r>
      <w:r w:rsidR="00792863" w:rsidRPr="005078F2">
        <w:rPr>
          <w:sz w:val="20"/>
          <w:szCs w:val="20"/>
        </w:rPr>
        <w:t xml:space="preserve">the report from the </w:t>
      </w:r>
      <w:r w:rsidR="005078F2">
        <w:rPr>
          <w:sz w:val="20"/>
          <w:szCs w:val="20"/>
        </w:rPr>
        <w:t xml:space="preserve">Working Group on Explosives, </w:t>
      </w:r>
      <w:r w:rsidRPr="005078F2">
        <w:rPr>
          <w:sz w:val="20"/>
          <w:szCs w:val="20"/>
        </w:rPr>
        <w:t>UN/SCETDG/57/INF.38</w:t>
      </w:r>
    </w:p>
    <w:p w14:paraId="0430FC23" w14:textId="77777777" w:rsidR="00877F94" w:rsidRPr="00877F94" w:rsidRDefault="00877F94" w:rsidP="00877F94">
      <w:pPr>
        <w:ind w:left="1134"/>
      </w:pPr>
    </w:p>
    <w:p w14:paraId="2020E1E8" w14:textId="3A6B5F20" w:rsidR="00377FAF" w:rsidRDefault="00377FAF" w:rsidP="008B6073"/>
    <w:tbl>
      <w:tblPr>
        <w:tblStyle w:val="TableGrid"/>
        <w:tblW w:w="0" w:type="auto"/>
        <w:tblInd w:w="1129" w:type="dxa"/>
        <w:tblLook w:val="04A0" w:firstRow="1" w:lastRow="0" w:firstColumn="1" w:lastColumn="0" w:noHBand="0" w:noVBand="1"/>
      </w:tblPr>
      <w:tblGrid>
        <w:gridCol w:w="1134"/>
        <w:gridCol w:w="3686"/>
        <w:gridCol w:w="3113"/>
      </w:tblGrid>
      <w:tr w:rsidR="00377FAF" w14:paraId="7649BD82" w14:textId="77777777" w:rsidTr="001F7B5D">
        <w:tc>
          <w:tcPr>
            <w:tcW w:w="1134" w:type="dxa"/>
          </w:tcPr>
          <w:p w14:paraId="28873296" w14:textId="77777777" w:rsidR="00377FAF" w:rsidRPr="00377FAF" w:rsidRDefault="00377FAF" w:rsidP="002F710F">
            <w:pPr>
              <w:ind w:left="144"/>
              <w:rPr>
                <w:b/>
              </w:rPr>
            </w:pPr>
            <w:r w:rsidRPr="00377FAF">
              <w:rPr>
                <w:b/>
              </w:rPr>
              <w:t>Section</w:t>
            </w:r>
          </w:p>
        </w:tc>
        <w:tc>
          <w:tcPr>
            <w:tcW w:w="3686" w:type="dxa"/>
          </w:tcPr>
          <w:p w14:paraId="65AC6BE6" w14:textId="71C84E76" w:rsidR="00377FAF" w:rsidRPr="00377FAF" w:rsidRDefault="00377FAF" w:rsidP="00377FAF">
            <w:pPr>
              <w:ind w:left="239"/>
              <w:rPr>
                <w:b/>
              </w:rPr>
            </w:pPr>
            <w:r w:rsidRPr="00377FAF">
              <w:rPr>
                <w:b/>
              </w:rPr>
              <w:t>Amendment</w:t>
            </w:r>
            <w:r w:rsidR="0006332D">
              <w:rPr>
                <w:b/>
              </w:rPr>
              <w:t>(s)</w:t>
            </w:r>
            <w:r w:rsidRPr="00377FAF">
              <w:rPr>
                <w:b/>
              </w:rPr>
              <w:t xml:space="preserve"> made</w:t>
            </w:r>
          </w:p>
        </w:tc>
        <w:tc>
          <w:tcPr>
            <w:tcW w:w="3113" w:type="dxa"/>
          </w:tcPr>
          <w:p w14:paraId="22B4345E" w14:textId="0912E95C" w:rsidR="00377FAF" w:rsidRPr="00377FAF" w:rsidRDefault="00377FAF" w:rsidP="00AE5C86">
            <w:pPr>
              <w:ind w:left="194"/>
              <w:rPr>
                <w:b/>
              </w:rPr>
            </w:pPr>
            <w:r w:rsidRPr="00377FAF">
              <w:rPr>
                <w:b/>
              </w:rPr>
              <w:t>Reference document</w:t>
            </w:r>
          </w:p>
        </w:tc>
      </w:tr>
      <w:tr w:rsidR="00377FAF" w14:paraId="35159C55" w14:textId="77777777" w:rsidTr="001F7B5D">
        <w:tc>
          <w:tcPr>
            <w:tcW w:w="1134" w:type="dxa"/>
          </w:tcPr>
          <w:p w14:paraId="05F80962" w14:textId="77777777" w:rsidR="00377FAF" w:rsidRDefault="00377FAF" w:rsidP="002F710F">
            <w:pPr>
              <w:ind w:left="144"/>
            </w:pPr>
            <w:r>
              <w:t>2.1.1.2.2</w:t>
            </w:r>
          </w:p>
        </w:tc>
        <w:tc>
          <w:tcPr>
            <w:tcW w:w="3686" w:type="dxa"/>
          </w:tcPr>
          <w:p w14:paraId="178CB079" w14:textId="77777777" w:rsidR="00377FAF" w:rsidRDefault="00377FAF" w:rsidP="00377FAF">
            <w:pPr>
              <w:ind w:left="239"/>
            </w:pPr>
            <w:r>
              <w:t>Point (d) removed as a whole.</w:t>
            </w:r>
          </w:p>
        </w:tc>
        <w:tc>
          <w:tcPr>
            <w:tcW w:w="3113" w:type="dxa"/>
          </w:tcPr>
          <w:p w14:paraId="0B5ACA75" w14:textId="6BFC4AFC" w:rsidR="00377FAF" w:rsidRDefault="007B5148" w:rsidP="007B5148">
            <w:pPr>
              <w:ind w:left="194"/>
            </w:pPr>
            <w:r>
              <w:t xml:space="preserve">WD5 </w:t>
            </w:r>
            <w:r w:rsidR="00377FAF">
              <w:t>Add</w:t>
            </w:r>
            <w:r>
              <w:t>.</w:t>
            </w:r>
            <w:r w:rsidR="00377FAF">
              <w:t xml:space="preserve">1 </w:t>
            </w:r>
            <w:r>
              <w:t xml:space="preserve">(see also </w:t>
            </w:r>
            <w:r w:rsidR="00377FAF">
              <w:t>INF</w:t>
            </w:r>
            <w:r w:rsidR="00011FC9">
              <w:t>.</w:t>
            </w:r>
            <w:r w:rsidR="00377FAF">
              <w:t>14</w:t>
            </w:r>
            <w:r>
              <w:t>)</w:t>
            </w:r>
          </w:p>
        </w:tc>
      </w:tr>
      <w:tr w:rsidR="00377FAF" w14:paraId="5C97C37F" w14:textId="77777777" w:rsidTr="001F7B5D">
        <w:tc>
          <w:tcPr>
            <w:tcW w:w="1134" w:type="dxa"/>
          </w:tcPr>
          <w:p w14:paraId="191B3AB4" w14:textId="77777777" w:rsidR="00377FAF" w:rsidRDefault="00377FAF" w:rsidP="002F710F">
            <w:pPr>
              <w:ind w:left="144"/>
            </w:pPr>
            <w:r>
              <w:t>2.1.1.2.2</w:t>
            </w:r>
          </w:p>
        </w:tc>
        <w:tc>
          <w:tcPr>
            <w:tcW w:w="3686" w:type="dxa"/>
          </w:tcPr>
          <w:p w14:paraId="44A7CC5A" w14:textId="1F97AF0C" w:rsidR="00377FAF" w:rsidRDefault="007F5F0F" w:rsidP="00B766BF">
            <w:pPr>
              <w:ind w:left="239"/>
            </w:pPr>
            <w:r>
              <w:t xml:space="preserve">Word </w:t>
            </w:r>
            <w:r w:rsidR="00B766BF">
              <w:t>“a</w:t>
            </w:r>
            <w:r w:rsidR="00377FAF">
              <w:t>rticles</w:t>
            </w:r>
            <w:r w:rsidR="00B766BF">
              <w:t>”</w:t>
            </w:r>
            <w:r w:rsidR="00377FAF">
              <w:t xml:space="preserve"> removed from introductory sentence as </w:t>
            </w:r>
            <w:r w:rsidR="00B766BF">
              <w:t>points</w:t>
            </w:r>
            <w:r w:rsidR="00377FAF">
              <w:t xml:space="preserve"> (a) – (</w:t>
            </w:r>
            <w:r w:rsidR="00B766BF">
              <w:t>c) do not comprise any articles.</w:t>
            </w:r>
          </w:p>
        </w:tc>
        <w:tc>
          <w:tcPr>
            <w:tcW w:w="3113" w:type="dxa"/>
          </w:tcPr>
          <w:p w14:paraId="7457850A" w14:textId="24DC9042" w:rsidR="00377FAF" w:rsidRDefault="00377FAF" w:rsidP="00377FAF">
            <w:pPr>
              <w:ind w:left="194"/>
            </w:pPr>
            <w:r>
              <w:t>EWG-report</w:t>
            </w:r>
            <w:r w:rsidR="007B5148">
              <w:t>, paragraph 13</w:t>
            </w:r>
          </w:p>
        </w:tc>
      </w:tr>
      <w:tr w:rsidR="00AE0339" w14:paraId="5501DDD0" w14:textId="77777777" w:rsidTr="001F7B5D">
        <w:tc>
          <w:tcPr>
            <w:tcW w:w="1134" w:type="dxa"/>
          </w:tcPr>
          <w:p w14:paraId="2435FA2D" w14:textId="7B765C40" w:rsidR="00AE0339" w:rsidRDefault="00AE0339" w:rsidP="002F710F">
            <w:pPr>
              <w:ind w:left="144"/>
            </w:pPr>
            <w:r>
              <w:t>2.1.1.2.3</w:t>
            </w:r>
          </w:p>
        </w:tc>
        <w:tc>
          <w:tcPr>
            <w:tcW w:w="3686" w:type="dxa"/>
          </w:tcPr>
          <w:p w14:paraId="45CB4F4A" w14:textId="6A0BA918" w:rsidR="00AE0339" w:rsidRDefault="00AE0339" w:rsidP="00B766BF">
            <w:pPr>
              <w:ind w:left="239"/>
            </w:pPr>
            <w:r>
              <w:t xml:space="preserve">Draft provisions for non-Class 1 explosive articles </w:t>
            </w:r>
            <w:r w:rsidR="00093325">
              <w:t>(</w:t>
            </w:r>
            <w:r>
              <w:t>in square brackets</w:t>
            </w:r>
            <w:r w:rsidR="00093325">
              <w:t xml:space="preserve"> and grey highlight</w:t>
            </w:r>
            <w:r>
              <w:t>, pending decision</w:t>
            </w:r>
            <w:r w:rsidR="00093325">
              <w:t>)</w:t>
            </w:r>
            <w:r>
              <w:t xml:space="preserve">. </w:t>
            </w:r>
          </w:p>
        </w:tc>
        <w:tc>
          <w:tcPr>
            <w:tcW w:w="3113" w:type="dxa"/>
          </w:tcPr>
          <w:p w14:paraId="7FCFA686" w14:textId="4C5470D2" w:rsidR="00AE0339" w:rsidRDefault="00AE0339" w:rsidP="00377FAF">
            <w:pPr>
              <w:ind w:left="194"/>
            </w:pPr>
            <w:r>
              <w:t>INF.19</w:t>
            </w:r>
          </w:p>
          <w:p w14:paraId="5E78F491" w14:textId="30A8D76C" w:rsidR="00AE0339" w:rsidRDefault="00AE0339" w:rsidP="00377FAF">
            <w:pPr>
              <w:ind w:left="194"/>
            </w:pPr>
            <w:r>
              <w:t>EWG-report, paragraph 15</w:t>
            </w:r>
          </w:p>
          <w:p w14:paraId="23AD938A" w14:textId="015C40C0" w:rsidR="00AE0339" w:rsidRDefault="00AE0339" w:rsidP="00377FAF">
            <w:pPr>
              <w:ind w:left="194"/>
            </w:pPr>
            <w:r>
              <w:t>INF.29</w:t>
            </w:r>
          </w:p>
        </w:tc>
      </w:tr>
      <w:tr w:rsidR="00377FAF" w14:paraId="0A42A505" w14:textId="77777777" w:rsidTr="001F7B5D">
        <w:tc>
          <w:tcPr>
            <w:tcW w:w="1134" w:type="dxa"/>
          </w:tcPr>
          <w:p w14:paraId="4533CA82" w14:textId="77777777" w:rsidR="00377FAF" w:rsidRDefault="00377FAF" w:rsidP="002F710F">
            <w:pPr>
              <w:ind w:left="144"/>
            </w:pPr>
            <w:r>
              <w:t>2.1.1.3.1</w:t>
            </w:r>
          </w:p>
        </w:tc>
        <w:tc>
          <w:tcPr>
            <w:tcW w:w="3686" w:type="dxa"/>
          </w:tcPr>
          <w:p w14:paraId="6EECC23A" w14:textId="0B08E738" w:rsidR="00377FAF" w:rsidRDefault="00AE0339" w:rsidP="00377FAF">
            <w:pPr>
              <w:ind w:left="239"/>
            </w:pPr>
            <w:r>
              <w:t>Insertion of two</w:t>
            </w:r>
            <w:r w:rsidR="00377FAF">
              <w:t xml:space="preserve"> sentence</w:t>
            </w:r>
            <w:r>
              <w:t>s in the middle</w:t>
            </w:r>
            <w:r w:rsidR="00377FAF">
              <w:t xml:space="preserve"> </w:t>
            </w:r>
            <w:r>
              <w:t xml:space="preserve">intended </w:t>
            </w:r>
            <w:r w:rsidR="00377FAF">
              <w:t>to avoid unnecessary testing.</w:t>
            </w:r>
          </w:p>
        </w:tc>
        <w:tc>
          <w:tcPr>
            <w:tcW w:w="3113" w:type="dxa"/>
          </w:tcPr>
          <w:p w14:paraId="0BE42595" w14:textId="1CFD27A0" w:rsidR="00377FAF" w:rsidRDefault="007B5148" w:rsidP="00377FAF">
            <w:pPr>
              <w:ind w:left="194"/>
            </w:pPr>
            <w:r>
              <w:t>WD</w:t>
            </w:r>
            <w:r w:rsidR="00377FAF">
              <w:t>5 Add.1</w:t>
            </w:r>
            <w:r>
              <w:t xml:space="preserve"> (see also INF.14)</w:t>
            </w:r>
          </w:p>
          <w:p w14:paraId="4A827801" w14:textId="37704026" w:rsidR="00377FAF" w:rsidRDefault="007B5148" w:rsidP="00377FAF">
            <w:pPr>
              <w:ind w:left="194"/>
            </w:pPr>
            <w:r>
              <w:t>EWG-report, paragraph 13</w:t>
            </w:r>
          </w:p>
        </w:tc>
      </w:tr>
      <w:tr w:rsidR="00377FAF" w14:paraId="39DF5940" w14:textId="77777777" w:rsidTr="001F7B5D">
        <w:tc>
          <w:tcPr>
            <w:tcW w:w="1134" w:type="dxa"/>
          </w:tcPr>
          <w:p w14:paraId="39C15E73" w14:textId="77777777" w:rsidR="00377FAF" w:rsidRDefault="00377FAF" w:rsidP="002F710F">
            <w:pPr>
              <w:ind w:left="144"/>
            </w:pPr>
            <w:r>
              <w:t>2.1.1.3.4</w:t>
            </w:r>
          </w:p>
        </w:tc>
        <w:tc>
          <w:tcPr>
            <w:tcW w:w="3686" w:type="dxa"/>
          </w:tcPr>
          <w:p w14:paraId="4A512D01" w14:textId="6C60A9B5" w:rsidR="00377FAF" w:rsidRDefault="003C5A5F" w:rsidP="003C5A5F">
            <w:pPr>
              <w:ind w:left="239"/>
            </w:pPr>
            <w:r>
              <w:t xml:space="preserve">Second sentence amended to read “…, </w:t>
            </w:r>
            <w:r w:rsidRPr="003C5A5F">
              <w:rPr>
                <w:b/>
                <w:u w:val="single"/>
              </w:rPr>
              <w:t>m</w:t>
            </w:r>
            <w:r w:rsidR="00377FAF" w:rsidRPr="003C5A5F">
              <w:rPr>
                <w:b/>
                <w:u w:val="single"/>
              </w:rPr>
              <w:t>ay</w:t>
            </w:r>
            <w:r w:rsidR="00377FAF">
              <w:t xml:space="preserve"> </w:t>
            </w:r>
            <w:r>
              <w:t>no longer retain</w:t>
            </w:r>
            <w:r w:rsidRPr="003C5A5F">
              <w:rPr>
                <w:b/>
                <w:strike/>
              </w:rPr>
              <w:t>s</w:t>
            </w:r>
            <w:r>
              <w:t xml:space="preserve"> that division…”</w:t>
            </w:r>
          </w:p>
        </w:tc>
        <w:tc>
          <w:tcPr>
            <w:tcW w:w="3113" w:type="dxa"/>
          </w:tcPr>
          <w:p w14:paraId="2738674A" w14:textId="18CEE04A" w:rsidR="00377FAF" w:rsidRDefault="007B5148" w:rsidP="00377FAF">
            <w:pPr>
              <w:ind w:left="194"/>
            </w:pPr>
            <w:r>
              <w:t>EWG-report, paragraph 13</w:t>
            </w:r>
          </w:p>
        </w:tc>
      </w:tr>
      <w:tr w:rsidR="00377FAF" w14:paraId="0E79DC90" w14:textId="77777777" w:rsidTr="001F7B5D">
        <w:tc>
          <w:tcPr>
            <w:tcW w:w="1134" w:type="dxa"/>
          </w:tcPr>
          <w:p w14:paraId="486FBE25" w14:textId="77777777" w:rsidR="00377FAF" w:rsidRDefault="00377FAF" w:rsidP="002F710F">
            <w:pPr>
              <w:ind w:left="144"/>
            </w:pPr>
            <w:r>
              <w:t>2.1.2.1</w:t>
            </w:r>
          </w:p>
        </w:tc>
        <w:tc>
          <w:tcPr>
            <w:tcW w:w="3686" w:type="dxa"/>
          </w:tcPr>
          <w:p w14:paraId="01DE7FBD" w14:textId="77777777" w:rsidR="00377FAF" w:rsidRDefault="00377FAF" w:rsidP="00377FAF">
            <w:pPr>
              <w:ind w:left="239"/>
            </w:pPr>
            <w:r>
              <w:t>Merge of the criteria tables into a single table, and consequential amendment to introductory sentence.</w:t>
            </w:r>
          </w:p>
        </w:tc>
        <w:tc>
          <w:tcPr>
            <w:tcW w:w="3113" w:type="dxa"/>
          </w:tcPr>
          <w:p w14:paraId="6AEDABCC" w14:textId="77777777" w:rsidR="002A44B5" w:rsidRDefault="002A44B5" w:rsidP="002A44B5">
            <w:pPr>
              <w:ind w:left="194"/>
            </w:pPr>
            <w:r>
              <w:t>WD5 Add.1 (see also INF.14)</w:t>
            </w:r>
          </w:p>
          <w:p w14:paraId="4FD73786" w14:textId="2CFCA6E0" w:rsidR="00377FAF" w:rsidRDefault="00377FAF" w:rsidP="00377FAF">
            <w:pPr>
              <w:ind w:left="194"/>
            </w:pPr>
          </w:p>
        </w:tc>
      </w:tr>
      <w:tr w:rsidR="002A44B5" w14:paraId="6DB47D94" w14:textId="77777777" w:rsidTr="001F7B5D">
        <w:tc>
          <w:tcPr>
            <w:tcW w:w="1134" w:type="dxa"/>
          </w:tcPr>
          <w:p w14:paraId="374588ED" w14:textId="496F7327" w:rsidR="002A44B5" w:rsidRDefault="002A44B5" w:rsidP="002F710F">
            <w:pPr>
              <w:ind w:left="144"/>
            </w:pPr>
            <w:r>
              <w:t>2.1.2.3</w:t>
            </w:r>
          </w:p>
        </w:tc>
        <w:tc>
          <w:tcPr>
            <w:tcW w:w="3686" w:type="dxa"/>
          </w:tcPr>
          <w:p w14:paraId="01A2C7D0" w14:textId="04AD22BC" w:rsidR="002A44B5" w:rsidRDefault="002A44B5" w:rsidP="00377FAF">
            <w:pPr>
              <w:ind w:left="239"/>
            </w:pPr>
            <w:r>
              <w:t>Section deleted as a whole consequential to merging of the criteria table.</w:t>
            </w:r>
          </w:p>
        </w:tc>
        <w:tc>
          <w:tcPr>
            <w:tcW w:w="3113" w:type="dxa"/>
          </w:tcPr>
          <w:p w14:paraId="3E6D9620" w14:textId="77777777" w:rsidR="002A44B5" w:rsidRDefault="002A44B5" w:rsidP="002A44B5">
            <w:pPr>
              <w:ind w:left="194"/>
            </w:pPr>
            <w:r>
              <w:t>WD5 Add.1 (see also INF.14)</w:t>
            </w:r>
          </w:p>
          <w:p w14:paraId="5CD836A0" w14:textId="77777777" w:rsidR="002A44B5" w:rsidRDefault="002A44B5" w:rsidP="007B5148">
            <w:pPr>
              <w:ind w:left="194"/>
            </w:pPr>
          </w:p>
        </w:tc>
      </w:tr>
      <w:tr w:rsidR="00377FAF" w14:paraId="63C5FA90" w14:textId="77777777" w:rsidTr="001F7B5D">
        <w:tc>
          <w:tcPr>
            <w:tcW w:w="1134" w:type="dxa"/>
          </w:tcPr>
          <w:p w14:paraId="740F325D" w14:textId="77777777" w:rsidR="00377FAF" w:rsidRDefault="00377FAF" w:rsidP="002F710F">
            <w:pPr>
              <w:ind w:left="144"/>
            </w:pPr>
            <w:r>
              <w:t>2.1.2.1</w:t>
            </w:r>
          </w:p>
        </w:tc>
        <w:tc>
          <w:tcPr>
            <w:tcW w:w="3686" w:type="dxa"/>
          </w:tcPr>
          <w:p w14:paraId="060C0084" w14:textId="2F187F7A" w:rsidR="00377FAF" w:rsidRDefault="00377FAF" w:rsidP="00377FAF">
            <w:pPr>
              <w:ind w:left="239"/>
            </w:pPr>
            <w:r>
              <w:t>Wording in critera (a</w:t>
            </w:r>
            <w:r w:rsidR="002F710F">
              <w:t>) (ii) for Category 1 changed:</w:t>
            </w:r>
            <w:r>
              <w:t xml:space="preserve"> “…which show positive </w:t>
            </w:r>
            <w:r w:rsidR="002F710F" w:rsidRPr="002F710F">
              <w:rPr>
                <w:b/>
                <w:strike/>
              </w:rPr>
              <w:t>effects</w:t>
            </w:r>
            <w:r w:rsidR="002F710F">
              <w:t xml:space="preserve"> </w:t>
            </w:r>
            <w:r w:rsidRPr="00754B3A">
              <w:rPr>
                <w:b/>
                <w:u w:val="single"/>
              </w:rPr>
              <w:t>results</w:t>
            </w:r>
            <w:r>
              <w:t xml:space="preserve"> when tested in Test series 2 …”</w:t>
            </w:r>
          </w:p>
        </w:tc>
        <w:tc>
          <w:tcPr>
            <w:tcW w:w="3113" w:type="dxa"/>
          </w:tcPr>
          <w:p w14:paraId="157C7CA1" w14:textId="332CC93E" w:rsidR="00377FAF" w:rsidRDefault="007B5148" w:rsidP="00377FAF">
            <w:pPr>
              <w:ind w:left="194"/>
            </w:pPr>
            <w:r>
              <w:t>EWG-report, paragraph 13</w:t>
            </w:r>
          </w:p>
        </w:tc>
      </w:tr>
      <w:tr w:rsidR="00377FAF" w14:paraId="05673059" w14:textId="77777777" w:rsidTr="001F7B5D">
        <w:tc>
          <w:tcPr>
            <w:tcW w:w="1134" w:type="dxa"/>
          </w:tcPr>
          <w:p w14:paraId="3D2A4A7E" w14:textId="77777777" w:rsidR="00377FAF" w:rsidRDefault="00377FAF" w:rsidP="002F710F">
            <w:pPr>
              <w:ind w:left="144"/>
            </w:pPr>
            <w:r>
              <w:t>2.1.3</w:t>
            </w:r>
          </w:p>
        </w:tc>
        <w:tc>
          <w:tcPr>
            <w:tcW w:w="3686" w:type="dxa"/>
          </w:tcPr>
          <w:p w14:paraId="1A7897FF" w14:textId="321A2828" w:rsidR="00377FAF" w:rsidRDefault="00377FAF" w:rsidP="00B766BF">
            <w:pPr>
              <w:ind w:left="239"/>
            </w:pPr>
            <w:r>
              <w:t>Last sentence of the note removed as 2.1.1.2.2 (d)</w:t>
            </w:r>
            <w:r w:rsidR="00B766BF">
              <w:t xml:space="preserve"> has been deleted</w:t>
            </w:r>
            <w:r>
              <w:t>.</w:t>
            </w:r>
          </w:p>
        </w:tc>
        <w:tc>
          <w:tcPr>
            <w:tcW w:w="3113" w:type="dxa"/>
          </w:tcPr>
          <w:p w14:paraId="1F6BCB69" w14:textId="79A55948" w:rsidR="00377FAF" w:rsidRDefault="00377FAF" w:rsidP="00377FAF">
            <w:pPr>
              <w:ind w:left="194"/>
            </w:pPr>
            <w:r>
              <w:t>W</w:t>
            </w:r>
            <w:r w:rsidR="007B5148">
              <w:t>D5</w:t>
            </w:r>
            <w:r>
              <w:t xml:space="preserve"> Add</w:t>
            </w:r>
            <w:r w:rsidR="007B5148">
              <w:t>.</w:t>
            </w:r>
            <w:r>
              <w:t>1</w:t>
            </w:r>
            <w:r w:rsidR="007B5148">
              <w:t xml:space="preserve"> (see also INF.14)</w:t>
            </w:r>
          </w:p>
        </w:tc>
      </w:tr>
      <w:tr w:rsidR="00377FAF" w14:paraId="04400954" w14:textId="77777777" w:rsidTr="001F7B5D">
        <w:tc>
          <w:tcPr>
            <w:tcW w:w="1134" w:type="dxa"/>
          </w:tcPr>
          <w:p w14:paraId="62B67875" w14:textId="77777777" w:rsidR="00377FAF" w:rsidRDefault="00377FAF" w:rsidP="002F710F">
            <w:pPr>
              <w:ind w:left="144"/>
            </w:pPr>
            <w:r>
              <w:t>2.1.4.1</w:t>
            </w:r>
          </w:p>
        </w:tc>
        <w:tc>
          <w:tcPr>
            <w:tcW w:w="3686" w:type="dxa"/>
          </w:tcPr>
          <w:p w14:paraId="30706CCD" w14:textId="77777777" w:rsidR="001F7B5D" w:rsidRDefault="00377FAF" w:rsidP="001F7B5D">
            <w:pPr>
              <w:ind w:left="239"/>
            </w:pPr>
            <w:r>
              <w:t>Decision logic</w:t>
            </w:r>
            <w:r w:rsidR="00B766BF">
              <w:t>s</w:t>
            </w:r>
            <w:r>
              <w:t xml:space="preserve"> </w:t>
            </w:r>
            <w:r w:rsidR="00D62F59">
              <w:t xml:space="preserve">2.1 (a) and 2.1 (b) </w:t>
            </w:r>
            <w:r>
              <w:t>inserted.</w:t>
            </w:r>
          </w:p>
          <w:p w14:paraId="41AA20C8" w14:textId="77777777" w:rsidR="005D0490" w:rsidRDefault="005D0490" w:rsidP="001F7B5D">
            <w:pPr>
              <w:ind w:left="239"/>
            </w:pPr>
          </w:p>
          <w:p w14:paraId="0D380E34" w14:textId="33368849" w:rsidR="005D0490" w:rsidRDefault="005D0490" w:rsidP="005D0490">
            <w:pPr>
              <w:ind w:left="239"/>
            </w:pPr>
            <w:r>
              <w:t>(Numbering of the boxes is to facilitate discussions and are not to remain in the final chapter.)</w:t>
            </w:r>
          </w:p>
        </w:tc>
        <w:tc>
          <w:tcPr>
            <w:tcW w:w="3113" w:type="dxa"/>
          </w:tcPr>
          <w:p w14:paraId="3A85915F" w14:textId="4E9C7DCC" w:rsidR="00377FAF" w:rsidRDefault="00377FAF" w:rsidP="00377FAF">
            <w:pPr>
              <w:ind w:left="194"/>
            </w:pPr>
            <w:r>
              <w:t>INF.22 for decision logic 2.1 (a)</w:t>
            </w:r>
            <w:r w:rsidR="00A3245A">
              <w:t>, amended by “results” instead of “effects” in box 5A consequential to changed wording in 2.1.2.1.</w:t>
            </w:r>
          </w:p>
          <w:p w14:paraId="3126B0FF" w14:textId="77777777" w:rsidR="00377FAF" w:rsidRDefault="00377FAF" w:rsidP="00377FAF">
            <w:pPr>
              <w:ind w:left="194"/>
            </w:pPr>
          </w:p>
          <w:p w14:paraId="3460E50E" w14:textId="19BE0A03" w:rsidR="00377FAF" w:rsidRDefault="00377FAF" w:rsidP="00377FAF">
            <w:pPr>
              <w:ind w:left="194"/>
            </w:pPr>
            <w:r>
              <w:t xml:space="preserve">WD18 for decision logic 2.1 (b), with </w:t>
            </w:r>
            <w:r w:rsidR="001F7B5D">
              <w:t xml:space="preserve">expanded </w:t>
            </w:r>
            <w:r>
              <w:t>note as proposed in INF.</w:t>
            </w:r>
            <w:r w:rsidR="001F7B5D">
              <w:t>25 and amended as in EWG-report, paragraph 13.</w:t>
            </w:r>
          </w:p>
        </w:tc>
      </w:tr>
      <w:tr w:rsidR="00377FAF" w14:paraId="623B5631" w14:textId="77777777" w:rsidTr="001F7B5D">
        <w:tc>
          <w:tcPr>
            <w:tcW w:w="1134" w:type="dxa"/>
          </w:tcPr>
          <w:p w14:paraId="0D95F183" w14:textId="77777777" w:rsidR="00D83E46" w:rsidRDefault="00377FAF" w:rsidP="00D83E46">
            <w:pPr>
              <w:ind w:left="144"/>
            </w:pPr>
            <w:r>
              <w:t>2.1.4.3.4</w:t>
            </w:r>
          </w:p>
          <w:p w14:paraId="27B29AAF" w14:textId="0D979602" w:rsidR="00D83E46" w:rsidRDefault="00D83E46" w:rsidP="00D83E46">
            <w:pPr>
              <w:ind w:left="144"/>
            </w:pPr>
          </w:p>
        </w:tc>
        <w:tc>
          <w:tcPr>
            <w:tcW w:w="3686" w:type="dxa"/>
          </w:tcPr>
          <w:p w14:paraId="09E4E3C6" w14:textId="49CF1E58" w:rsidR="00377FAF" w:rsidRDefault="00D83E46" w:rsidP="007C1ACD">
            <w:pPr>
              <w:ind w:left="239"/>
            </w:pPr>
            <w:r>
              <w:t xml:space="preserve">Wording amended to include </w:t>
            </w:r>
            <w:r w:rsidR="007C1ACD">
              <w:t>all</w:t>
            </w:r>
            <w:r>
              <w:t xml:space="preserve"> situations where a division cannot be assigned.</w:t>
            </w:r>
          </w:p>
        </w:tc>
        <w:tc>
          <w:tcPr>
            <w:tcW w:w="3113" w:type="dxa"/>
          </w:tcPr>
          <w:p w14:paraId="60C76DB4" w14:textId="77777777" w:rsidR="00011FC9" w:rsidRDefault="00011FC9" w:rsidP="00011FC9">
            <w:pPr>
              <w:ind w:left="194"/>
            </w:pPr>
            <w:r>
              <w:t>WD5 Add.1 (see also INF.14)</w:t>
            </w:r>
          </w:p>
          <w:p w14:paraId="2D02DF40" w14:textId="77777777" w:rsidR="00377FAF" w:rsidRDefault="00377FAF" w:rsidP="00377FAF">
            <w:pPr>
              <w:ind w:left="194"/>
            </w:pPr>
          </w:p>
        </w:tc>
      </w:tr>
      <w:tr w:rsidR="007C1ACD" w14:paraId="16FF3C32" w14:textId="77777777" w:rsidTr="001F7B5D">
        <w:tc>
          <w:tcPr>
            <w:tcW w:w="1134" w:type="dxa"/>
          </w:tcPr>
          <w:p w14:paraId="34E14DEA" w14:textId="1A3A4D2D" w:rsidR="007C1ACD" w:rsidRDefault="007C1ACD" w:rsidP="00D83E46">
            <w:pPr>
              <w:ind w:left="144"/>
            </w:pPr>
            <w:r>
              <w:t>2.1.4.3.5</w:t>
            </w:r>
          </w:p>
        </w:tc>
        <w:tc>
          <w:tcPr>
            <w:tcW w:w="3686" w:type="dxa"/>
          </w:tcPr>
          <w:p w14:paraId="4276E5F2" w14:textId="4188350D" w:rsidR="007C1ACD" w:rsidRDefault="007C1ACD" w:rsidP="007C1ACD">
            <w:pPr>
              <w:ind w:left="239"/>
            </w:pPr>
            <w:r>
              <w:t>Wording amended to all explosives failing Test series 3 or 4.</w:t>
            </w:r>
          </w:p>
        </w:tc>
        <w:tc>
          <w:tcPr>
            <w:tcW w:w="3113" w:type="dxa"/>
          </w:tcPr>
          <w:p w14:paraId="666049E1" w14:textId="2B69ED8E" w:rsidR="007C1ACD" w:rsidRDefault="007C1ACD" w:rsidP="007C1ACD">
            <w:pPr>
              <w:ind w:left="194"/>
            </w:pPr>
            <w:r>
              <w:t>WD5 Add.1 (see also INF.14)</w:t>
            </w:r>
          </w:p>
        </w:tc>
      </w:tr>
    </w:tbl>
    <w:p w14:paraId="5EE70AA0" w14:textId="77777777" w:rsidR="00377FAF" w:rsidRPr="00754B3A" w:rsidRDefault="00377FAF" w:rsidP="000443D2">
      <w:pPr>
        <w:ind w:left="1134" w:right="425"/>
      </w:pPr>
    </w:p>
    <w:p w14:paraId="13394649" w14:textId="5F1CF5C7" w:rsidR="00377FAF" w:rsidRDefault="000443D2" w:rsidP="00AE0339">
      <w:pPr>
        <w:ind w:left="1134" w:right="425"/>
      </w:pPr>
      <w:r>
        <w:t xml:space="preserve">In addition, the wording has been changed from “assigned to a division” to “assigned a division” in sections 2.1.1.1 (definition of primary packaging), 2.1.1.3.3 (third sentence), </w:t>
      </w:r>
      <w:r w:rsidRPr="00B50F7A">
        <w:t>2.1.1.3.4</w:t>
      </w:r>
      <w:r>
        <w:t xml:space="preserve"> (</w:t>
      </w:r>
      <w:r w:rsidRPr="00B50F7A">
        <w:t>second and third sentence</w:t>
      </w:r>
      <w:r>
        <w:t xml:space="preserve">s), 2.1.1.3.5 (first sentence), 2.1.2.1 (first sentence </w:t>
      </w:r>
      <w:r w:rsidR="00366A88">
        <w:t>in the</w:t>
      </w:r>
      <w:r>
        <w:t xml:space="preserve"> criteria (b) for Category</w:t>
      </w:r>
      <w:r w:rsidR="00366A88">
        <w:t xml:space="preserve"> 1)</w:t>
      </w:r>
      <w:r>
        <w:t>, 2.1.4.3.1.1 (first sentence), 2.1.4.3.4 and 2.1.4.3.4.1 (first sentence).</w:t>
      </w:r>
      <w:r w:rsidR="00D42BC2">
        <w:t xml:space="preserve"> Similarly, the wording “assigned to Division 1.4” has been changed to “assigned Division 1.4” in the first sentence of the criteria </w:t>
      </w:r>
      <w:r w:rsidR="00366A88">
        <w:t>for</w:t>
      </w:r>
      <w:r w:rsidR="00D42BC2">
        <w:t xml:space="preserve"> Sub-categories 2B and 2C in section 2.1.2.1.</w:t>
      </w:r>
    </w:p>
    <w:p w14:paraId="35E662B5" w14:textId="18EC0883" w:rsidR="00747C8C" w:rsidRPr="00FB0359" w:rsidRDefault="00FB0359" w:rsidP="00FB0359">
      <w:pPr>
        <w:pStyle w:val="SingleTxtG"/>
        <w:jc w:val="center"/>
        <w:rPr>
          <w:lang w:val="fr-CH"/>
        </w:rPr>
      </w:pPr>
      <w:r w:rsidRPr="00FB0359">
        <w:rPr>
          <w:lang w:val="fr-CH"/>
        </w:rPr>
        <w:t>__________________</w:t>
      </w:r>
    </w:p>
    <w:sectPr w:rsidR="00747C8C" w:rsidRPr="00FB0359" w:rsidSect="00B07F3F">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1701" w:right="1134" w:bottom="1134" w:left="1134" w:header="964" w:footer="11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8F734" w14:textId="77777777" w:rsidR="00E7585B" w:rsidRDefault="00E7585B"/>
  </w:endnote>
  <w:endnote w:type="continuationSeparator" w:id="0">
    <w:p w14:paraId="5B2DE569" w14:textId="77777777" w:rsidR="00E7585B" w:rsidRDefault="00E7585B"/>
  </w:endnote>
  <w:endnote w:type="continuationNotice" w:id="1">
    <w:p w14:paraId="09EE7F24" w14:textId="77777777" w:rsidR="00E7585B" w:rsidRDefault="00E758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A9CCB" w14:textId="74E15AF2" w:rsidR="003C5A5F" w:rsidRPr="000216CC" w:rsidRDefault="003C5A5F"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093325">
      <w:rPr>
        <w:b/>
        <w:noProof/>
        <w:sz w:val="18"/>
      </w:rPr>
      <w:t>10</w:t>
    </w:r>
    <w:r w:rsidRPr="000216CC">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213" w14:textId="172B862B" w:rsidR="003C5A5F" w:rsidRPr="000216CC" w:rsidRDefault="003C5A5F"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093325">
      <w:rPr>
        <w:b/>
        <w:noProof/>
        <w:sz w:val="18"/>
      </w:rPr>
      <w:t>11</w:t>
    </w:r>
    <w:r w:rsidRPr="000216C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FC355" w14:textId="77777777" w:rsidR="003C5A5F" w:rsidRDefault="003C5A5F" w:rsidP="0097639C">
    <w:pPr>
      <w:pStyle w:val="Footer"/>
      <w:tabs>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14320F" w14:textId="77777777" w:rsidR="00E7585B" w:rsidRPr="000B175B" w:rsidRDefault="00E7585B" w:rsidP="000B175B">
      <w:pPr>
        <w:tabs>
          <w:tab w:val="right" w:pos="2155"/>
        </w:tabs>
        <w:spacing w:after="80"/>
        <w:ind w:left="680"/>
        <w:rPr>
          <w:u w:val="single"/>
        </w:rPr>
      </w:pPr>
      <w:r>
        <w:rPr>
          <w:u w:val="single"/>
        </w:rPr>
        <w:tab/>
      </w:r>
    </w:p>
  </w:footnote>
  <w:footnote w:type="continuationSeparator" w:id="0">
    <w:p w14:paraId="469E1F8A" w14:textId="77777777" w:rsidR="00E7585B" w:rsidRPr="00FC68B7" w:rsidRDefault="00E7585B" w:rsidP="00FC68B7">
      <w:pPr>
        <w:tabs>
          <w:tab w:val="left" w:pos="2155"/>
        </w:tabs>
        <w:spacing w:after="80"/>
        <w:ind w:left="680"/>
        <w:rPr>
          <w:u w:val="single"/>
        </w:rPr>
      </w:pPr>
      <w:r>
        <w:rPr>
          <w:u w:val="single"/>
        </w:rPr>
        <w:tab/>
      </w:r>
    </w:p>
  </w:footnote>
  <w:footnote w:type="continuationNotice" w:id="1">
    <w:p w14:paraId="3F62706A" w14:textId="77777777" w:rsidR="00E7585B" w:rsidRDefault="00E7585B"/>
  </w:footnote>
  <w:footnote w:id="2">
    <w:p w14:paraId="4FD548C7" w14:textId="0EC48237" w:rsidR="003C5A5F" w:rsidRPr="00530762" w:rsidRDefault="003C5A5F" w:rsidP="00CE012D">
      <w:pPr>
        <w:pStyle w:val="FootnoteText"/>
        <w:ind w:firstLine="0"/>
      </w:pPr>
      <w:r>
        <w:rPr>
          <w:rStyle w:val="FootnoteReference"/>
        </w:rPr>
        <w:footnoteRef/>
      </w:r>
      <w:r>
        <w:t xml:space="preserve"> ST/SG/AC.10/C.3/2020/20-ST/SG/AC.10/C.4/2020/5</w:t>
      </w:r>
      <w:r w:rsidRPr="00312082">
        <w:rPr>
          <w:lang w:val="en-GB"/>
        </w:rPr>
        <w:t xml:space="preserve"> </w:t>
      </w:r>
      <w:r>
        <w:rPr>
          <w:lang w:val="en-GB"/>
        </w:rPr>
        <w:t xml:space="preserve">and Add.1 have already been consolidated in </w:t>
      </w:r>
      <w:r>
        <w:t>UN/SCETDG/57/INF.17 - UN/SCEGHS/39/INF.14</w:t>
      </w:r>
      <w:r w:rsidRPr="00860D7E">
        <w:rPr>
          <w:lang w:val="en-GB"/>
        </w:rPr>
        <w:t>.</w:t>
      </w:r>
    </w:p>
  </w:footnote>
  <w:footnote w:id="3">
    <w:p w14:paraId="279FB357" w14:textId="53240687" w:rsidR="00EE792A" w:rsidRPr="00EE792A" w:rsidRDefault="00EE792A" w:rsidP="00CE012D">
      <w:pPr>
        <w:pStyle w:val="FootnoteText"/>
        <w:ind w:firstLine="0"/>
        <w:rPr>
          <w:lang w:val="en-GB"/>
        </w:rPr>
      </w:pPr>
      <w:r>
        <w:rPr>
          <w:rStyle w:val="FootnoteReference"/>
        </w:rPr>
        <w:footnoteRef/>
      </w:r>
      <w:r>
        <w:t xml:space="preserve"> </w:t>
      </w:r>
      <w:r w:rsidRPr="00EE792A">
        <w:rPr>
          <w:lang w:val="en-GB"/>
        </w:rPr>
        <w:t xml:space="preserve">See proposals made in </w:t>
      </w:r>
      <w:r>
        <w:t>ST/SG/AC.10/C.3/2020/60-ST/SG/AC.10/C.4/2020/</w:t>
      </w:r>
      <w:r w:rsidRPr="00EE792A">
        <w:rPr>
          <w:lang w:val="en-GB"/>
        </w:rPr>
        <w:t>1</w:t>
      </w:r>
      <w:r>
        <w:rPr>
          <w:lang w:val="en-GB"/>
        </w:rPr>
        <w:t>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59B4F" w14:textId="1DDAA9CC" w:rsidR="003C5A5F" w:rsidRPr="001E5919" w:rsidRDefault="00972B45" w:rsidP="001E5919">
    <w:pPr>
      <w:pStyle w:val="Header"/>
      <w:rPr>
        <w:lang w:val="fr-FR"/>
      </w:rPr>
    </w:pPr>
    <w:r>
      <w:rPr>
        <w:lang w:val="fr-FR"/>
      </w:rPr>
      <w:t>UN/SCETDG/57/INF.</w:t>
    </w:r>
    <w:r w:rsidR="00CE012D">
      <w:rPr>
        <w:lang w:val="fr-FR"/>
      </w:rPr>
      <w:t>56</w:t>
    </w:r>
    <w:r w:rsidR="003C5A5F">
      <w:rPr>
        <w:lang w:val="fr-FR"/>
      </w:rPr>
      <w:br/>
      <w:t>UN/SCEGHS/39/INF.</w:t>
    </w:r>
    <w:r w:rsidR="00CE012D">
      <w:rPr>
        <w:lang w:val="fr-FR"/>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941F6" w14:textId="15E74ADE" w:rsidR="003C5A5F" w:rsidRPr="001E5919" w:rsidRDefault="003C5A5F" w:rsidP="001E5919">
    <w:pPr>
      <w:pStyle w:val="Header"/>
      <w:jc w:val="right"/>
      <w:rPr>
        <w:lang w:val="fr-FR"/>
      </w:rPr>
    </w:pPr>
    <w:r>
      <w:rPr>
        <w:lang w:val="fr-FR"/>
      </w:rPr>
      <w:t>UN/SCETDG/57/INF.</w:t>
    </w:r>
    <w:r w:rsidR="00A209D8">
      <w:rPr>
        <w:lang w:val="fr-FR"/>
      </w:rPr>
      <w:t>56</w:t>
    </w:r>
    <w:r>
      <w:rPr>
        <w:lang w:val="fr-FR"/>
      </w:rPr>
      <w:br/>
      <w:t>UN/SCEGHS/39/INF.</w:t>
    </w:r>
    <w:r w:rsidR="00A209D8">
      <w:rPr>
        <w:lang w:val="fr-FR"/>
      </w:rPr>
      <w:t>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B615" w14:textId="03EBFBB7" w:rsidR="003C5A5F" w:rsidRPr="00542C8D" w:rsidRDefault="003C5A5F" w:rsidP="00542C8D">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E4158"/>
    <w:multiLevelType w:val="hybridMultilevel"/>
    <w:tmpl w:val="60948D56"/>
    <w:lvl w:ilvl="0" w:tplc="EA7C2B66">
      <w:start w:val="1"/>
      <w:numFmt w:val="decimal"/>
      <w:lvlText w:val="%1."/>
      <w:lvlJc w:val="left"/>
      <w:pPr>
        <w:ind w:left="2629" w:hanging="360"/>
      </w:pPr>
      <w:rPr>
        <w:rFonts w:hint="default"/>
      </w:r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02214C83"/>
    <w:multiLevelType w:val="hybridMultilevel"/>
    <w:tmpl w:val="F1946D12"/>
    <w:lvl w:ilvl="0" w:tplc="D566617A">
      <w:numFmt w:val="bullet"/>
      <w:lvlText w:val="-"/>
      <w:lvlJc w:val="left"/>
      <w:pPr>
        <w:ind w:left="1494" w:hanging="360"/>
      </w:pPr>
      <w:rPr>
        <w:rFonts w:ascii="Times New Roman" w:eastAsia="Times New Roman" w:hAnsi="Times New Roman" w:cs="Times New Roman" w:hint="default"/>
      </w:rPr>
    </w:lvl>
    <w:lvl w:ilvl="1" w:tplc="041D0003">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9A524A6"/>
    <w:multiLevelType w:val="hybridMultilevel"/>
    <w:tmpl w:val="83F823A8"/>
    <w:lvl w:ilvl="0" w:tplc="288256CE">
      <w:start w:val="4"/>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4" w15:restartNumberingAfterBreak="0">
    <w:nsid w:val="0C40124B"/>
    <w:multiLevelType w:val="hybridMultilevel"/>
    <w:tmpl w:val="CBEA5AEC"/>
    <w:lvl w:ilvl="0" w:tplc="04090001">
      <w:start w:val="1"/>
      <w:numFmt w:val="bullet"/>
      <w:lvlText w:val=""/>
      <w:lvlJc w:val="left"/>
      <w:pPr>
        <w:ind w:left="1854" w:hanging="360"/>
      </w:pPr>
      <w:rPr>
        <w:rFonts w:ascii="Symbol" w:hAnsi="Symbol" w:hint="default"/>
      </w:rPr>
    </w:lvl>
    <w:lvl w:ilvl="1" w:tplc="08090019">
      <w:start w:val="1"/>
      <w:numFmt w:val="lowerLetter"/>
      <w:lvlText w:val="%2."/>
      <w:lvlJc w:val="left"/>
      <w:pPr>
        <w:ind w:left="2574" w:hanging="360"/>
      </w:pPr>
    </w:lvl>
    <w:lvl w:ilvl="2" w:tplc="0809001B">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15:restartNumberingAfterBreak="0">
    <w:nsid w:val="10553F4E"/>
    <w:multiLevelType w:val="hybridMultilevel"/>
    <w:tmpl w:val="AB242CCA"/>
    <w:lvl w:ilvl="0" w:tplc="4A3A0E9E">
      <w:start w:val="1"/>
      <w:numFmt w:val="lowerLetter"/>
      <w:lvlText w:val="(%1)"/>
      <w:lvlJc w:val="left"/>
      <w:pPr>
        <w:ind w:left="1854"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C022983"/>
    <w:multiLevelType w:val="hybridMultilevel"/>
    <w:tmpl w:val="897004BE"/>
    <w:lvl w:ilvl="0" w:tplc="EA7C2B66">
      <w:start w:val="1"/>
      <w:numFmt w:val="decimal"/>
      <w:lvlText w:val="%1."/>
      <w:lvlJc w:val="left"/>
      <w:pPr>
        <w:ind w:left="6750" w:hanging="360"/>
      </w:pPr>
      <w:rPr>
        <w:rFonts w:hint="default"/>
      </w:rPr>
    </w:lvl>
    <w:lvl w:ilvl="1" w:tplc="510E1498">
      <w:start w:val="1"/>
      <w:numFmt w:val="lowerRoman"/>
      <w:lvlText w:val="(%2)"/>
      <w:lvlJc w:val="right"/>
      <w:pPr>
        <w:ind w:left="2214" w:hanging="360"/>
      </w:pPr>
      <w:rPr>
        <w:rFonts w:hint="default"/>
      </w:rPr>
    </w:lvl>
    <w:lvl w:ilvl="2" w:tplc="0809001B">
      <w:start w:val="1"/>
      <w:numFmt w:val="lowerRoman"/>
      <w:lvlText w:val="%3."/>
      <w:lvlJc w:val="right"/>
      <w:pPr>
        <w:ind w:left="2934" w:hanging="180"/>
      </w:pPr>
    </w:lvl>
    <w:lvl w:ilvl="3" w:tplc="9DDC7C60">
      <w:numFmt w:val="bullet"/>
      <w:lvlText w:val="•"/>
      <w:lvlJc w:val="left"/>
      <w:pPr>
        <w:ind w:left="3734" w:hanging="440"/>
      </w:pPr>
      <w:rPr>
        <w:rFonts w:ascii="Times New Roman" w:eastAsia="Times New Roman" w:hAnsi="Times New Roman" w:cs="Times New Roman" w:hint="default"/>
      </w:r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1C256B62"/>
    <w:multiLevelType w:val="hybridMultilevel"/>
    <w:tmpl w:val="A9943C50"/>
    <w:lvl w:ilvl="0" w:tplc="4A3A0E9E">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19" w15:restartNumberingAfterBreak="0">
    <w:nsid w:val="1D6C6FEE"/>
    <w:multiLevelType w:val="hybridMultilevel"/>
    <w:tmpl w:val="89A89CC2"/>
    <w:lvl w:ilvl="0" w:tplc="04090017">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0" w15:restartNumberingAfterBreak="0">
    <w:nsid w:val="1D7C46FE"/>
    <w:multiLevelType w:val="hybridMultilevel"/>
    <w:tmpl w:val="5484C730"/>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15:restartNumberingAfterBreak="0">
    <w:nsid w:val="21B37988"/>
    <w:multiLevelType w:val="hybridMultilevel"/>
    <w:tmpl w:val="6C14A746"/>
    <w:lvl w:ilvl="0" w:tplc="EA7C2B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3315929"/>
    <w:multiLevelType w:val="hybridMultilevel"/>
    <w:tmpl w:val="5DBA275E"/>
    <w:lvl w:ilvl="0" w:tplc="600C31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3" w15:restartNumberingAfterBreak="0">
    <w:nsid w:val="234841E6"/>
    <w:multiLevelType w:val="hybridMultilevel"/>
    <w:tmpl w:val="6C4E81CA"/>
    <w:lvl w:ilvl="0" w:tplc="15723C3E">
      <w:start w:val="3"/>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4" w15:restartNumberingAfterBreak="0">
    <w:nsid w:val="2CF14259"/>
    <w:multiLevelType w:val="hybridMultilevel"/>
    <w:tmpl w:val="75EE8C66"/>
    <w:lvl w:ilvl="0" w:tplc="1BE8D614">
      <w:start w:val="13"/>
      <w:numFmt w:val="decimal"/>
      <w:lvlText w:val="%1."/>
      <w:lvlJc w:val="left"/>
      <w:pPr>
        <w:ind w:left="1440" w:hanging="360"/>
      </w:pPr>
      <w:rPr>
        <w:rFonts w:ascii="Times New Roman" w:eastAsia="Times New Roman" w:hAnsi="Times New Roman" w:cs="Times New Roman"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83F09AE"/>
    <w:multiLevelType w:val="hybridMultilevel"/>
    <w:tmpl w:val="10F86E76"/>
    <w:lvl w:ilvl="0" w:tplc="D758D3B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6" w15:restartNumberingAfterBreak="0">
    <w:nsid w:val="3AED4FA3"/>
    <w:multiLevelType w:val="hybridMultilevel"/>
    <w:tmpl w:val="4D08BC0A"/>
    <w:lvl w:ilvl="0" w:tplc="5E74DA9C">
      <w:start w:val="3"/>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7" w15:restartNumberingAfterBreak="0">
    <w:nsid w:val="42114740"/>
    <w:multiLevelType w:val="hybridMultilevel"/>
    <w:tmpl w:val="180A7554"/>
    <w:lvl w:ilvl="0" w:tplc="E132DF24">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8" w15:restartNumberingAfterBreak="0">
    <w:nsid w:val="4F5F3E37"/>
    <w:multiLevelType w:val="hybridMultilevel"/>
    <w:tmpl w:val="68448278"/>
    <w:lvl w:ilvl="0" w:tplc="0EBEDEE4">
      <w:start w:val="2"/>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29" w15:restartNumberingAfterBreak="0">
    <w:nsid w:val="5407653F"/>
    <w:multiLevelType w:val="hybridMultilevel"/>
    <w:tmpl w:val="72AEF3F6"/>
    <w:lvl w:ilvl="0" w:tplc="9E3E1D2C">
      <w:start w:val="3"/>
      <w:numFmt w:val="bullet"/>
      <w:lvlText w:val=""/>
      <w:lvlJc w:val="left"/>
      <w:pPr>
        <w:ind w:left="1494" w:hanging="360"/>
      </w:pPr>
      <w:rPr>
        <w:rFonts w:ascii="Symbol" w:eastAsia="Times New Roman" w:hAnsi="Symbol"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30" w15:restartNumberingAfterBreak="0">
    <w:nsid w:val="54A45AA8"/>
    <w:multiLevelType w:val="hybridMultilevel"/>
    <w:tmpl w:val="729A026E"/>
    <w:lvl w:ilvl="0" w:tplc="6A9EA270">
      <w:start w:val="1"/>
      <w:numFmt w:val="decimal"/>
      <w:lvlText w:val="%1."/>
      <w:lvlJc w:val="left"/>
      <w:pPr>
        <w:ind w:left="1494" w:hanging="360"/>
      </w:pPr>
      <w:rPr>
        <w:rFonts w:ascii="Times New Roman" w:eastAsia="Times New Roman" w:hAnsi="Times New Roman" w:cs="Times New Roman"/>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56B10292"/>
    <w:multiLevelType w:val="hybridMultilevel"/>
    <w:tmpl w:val="B9EADF18"/>
    <w:lvl w:ilvl="0" w:tplc="80524A1A">
      <w:start w:val="1"/>
      <w:numFmt w:val="lowerLetter"/>
      <w:lvlText w:val="(%1)"/>
      <w:lvlJc w:val="left"/>
      <w:pPr>
        <w:ind w:left="1854" w:hanging="360"/>
      </w:pPr>
    </w:lvl>
    <w:lvl w:ilvl="1" w:tplc="041D0019">
      <w:start w:val="1"/>
      <w:numFmt w:val="lowerLetter"/>
      <w:lvlText w:val="%2."/>
      <w:lvlJc w:val="left"/>
      <w:pPr>
        <w:ind w:left="2574" w:hanging="360"/>
      </w:pPr>
    </w:lvl>
    <w:lvl w:ilvl="2" w:tplc="041D001B">
      <w:start w:val="1"/>
      <w:numFmt w:val="lowerRoman"/>
      <w:lvlText w:val="%3."/>
      <w:lvlJc w:val="right"/>
      <w:pPr>
        <w:ind w:left="3294" w:hanging="180"/>
      </w:pPr>
    </w:lvl>
    <w:lvl w:ilvl="3" w:tplc="041D000F">
      <w:start w:val="1"/>
      <w:numFmt w:val="decimal"/>
      <w:lvlText w:val="%4."/>
      <w:lvlJc w:val="left"/>
      <w:pPr>
        <w:ind w:left="4014" w:hanging="360"/>
      </w:pPr>
    </w:lvl>
    <w:lvl w:ilvl="4" w:tplc="041D0019">
      <w:start w:val="1"/>
      <w:numFmt w:val="lowerLetter"/>
      <w:lvlText w:val="%5."/>
      <w:lvlJc w:val="left"/>
      <w:pPr>
        <w:ind w:left="4734" w:hanging="360"/>
      </w:pPr>
    </w:lvl>
    <w:lvl w:ilvl="5" w:tplc="041D001B">
      <w:start w:val="1"/>
      <w:numFmt w:val="lowerRoman"/>
      <w:lvlText w:val="%6."/>
      <w:lvlJc w:val="right"/>
      <w:pPr>
        <w:ind w:left="5454" w:hanging="180"/>
      </w:pPr>
    </w:lvl>
    <w:lvl w:ilvl="6" w:tplc="041D000F">
      <w:start w:val="1"/>
      <w:numFmt w:val="decimal"/>
      <w:lvlText w:val="%7."/>
      <w:lvlJc w:val="left"/>
      <w:pPr>
        <w:ind w:left="6174" w:hanging="360"/>
      </w:pPr>
    </w:lvl>
    <w:lvl w:ilvl="7" w:tplc="041D0019">
      <w:start w:val="1"/>
      <w:numFmt w:val="lowerLetter"/>
      <w:lvlText w:val="%8."/>
      <w:lvlJc w:val="left"/>
      <w:pPr>
        <w:ind w:left="6894" w:hanging="360"/>
      </w:pPr>
    </w:lvl>
    <w:lvl w:ilvl="8" w:tplc="041D001B">
      <w:start w:val="1"/>
      <w:numFmt w:val="lowerRoman"/>
      <w:lvlText w:val="%9."/>
      <w:lvlJc w:val="right"/>
      <w:pPr>
        <w:ind w:left="7614" w:hanging="180"/>
      </w:pPr>
    </w:lvl>
  </w:abstractNum>
  <w:abstractNum w:abstractNumId="32" w15:restartNumberingAfterBreak="0">
    <w:nsid w:val="57517526"/>
    <w:multiLevelType w:val="hybridMultilevel"/>
    <w:tmpl w:val="23689C8E"/>
    <w:lvl w:ilvl="0" w:tplc="3A2AE33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3" w15:restartNumberingAfterBreak="0">
    <w:nsid w:val="5E1639F7"/>
    <w:multiLevelType w:val="multilevel"/>
    <w:tmpl w:val="CBB43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5" w15:restartNumberingAfterBreak="0">
    <w:nsid w:val="62553055"/>
    <w:multiLevelType w:val="hybridMultilevel"/>
    <w:tmpl w:val="10B4218C"/>
    <w:lvl w:ilvl="0" w:tplc="B9BCD836">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B04C44"/>
    <w:multiLevelType w:val="hybridMultilevel"/>
    <w:tmpl w:val="28DCCBEC"/>
    <w:lvl w:ilvl="0" w:tplc="04090001">
      <w:start w:val="1"/>
      <w:numFmt w:val="bullet"/>
      <w:lvlText w:val=""/>
      <w:lvlJc w:val="left"/>
      <w:pPr>
        <w:ind w:left="1494" w:hanging="360"/>
      </w:pPr>
      <w:rPr>
        <w:rFonts w:ascii="Symbol" w:hAnsi="Symbol" w:hint="default"/>
      </w:rPr>
    </w:lvl>
    <w:lvl w:ilvl="1" w:tplc="08090019">
      <w:start w:val="1"/>
      <w:numFmt w:val="lowerLetter"/>
      <w:lvlText w:val="%2."/>
      <w:lvlJc w:val="left"/>
      <w:pPr>
        <w:ind w:left="558" w:hanging="360"/>
      </w:pPr>
    </w:lvl>
    <w:lvl w:ilvl="2" w:tplc="0809001B">
      <w:start w:val="1"/>
      <w:numFmt w:val="lowerRoman"/>
      <w:lvlText w:val="%3."/>
      <w:lvlJc w:val="right"/>
      <w:pPr>
        <w:ind w:left="1278" w:hanging="180"/>
      </w:pPr>
    </w:lvl>
    <w:lvl w:ilvl="3" w:tplc="0809000F" w:tentative="1">
      <w:start w:val="1"/>
      <w:numFmt w:val="decimal"/>
      <w:lvlText w:val="%4."/>
      <w:lvlJc w:val="left"/>
      <w:pPr>
        <w:ind w:left="1998" w:hanging="360"/>
      </w:pPr>
    </w:lvl>
    <w:lvl w:ilvl="4" w:tplc="08090019" w:tentative="1">
      <w:start w:val="1"/>
      <w:numFmt w:val="lowerLetter"/>
      <w:lvlText w:val="%5."/>
      <w:lvlJc w:val="left"/>
      <w:pPr>
        <w:ind w:left="2718" w:hanging="360"/>
      </w:pPr>
    </w:lvl>
    <w:lvl w:ilvl="5" w:tplc="0809001B" w:tentative="1">
      <w:start w:val="1"/>
      <w:numFmt w:val="lowerRoman"/>
      <w:lvlText w:val="%6."/>
      <w:lvlJc w:val="right"/>
      <w:pPr>
        <w:ind w:left="3438" w:hanging="180"/>
      </w:pPr>
    </w:lvl>
    <w:lvl w:ilvl="6" w:tplc="0809000F" w:tentative="1">
      <w:start w:val="1"/>
      <w:numFmt w:val="decimal"/>
      <w:lvlText w:val="%7."/>
      <w:lvlJc w:val="left"/>
      <w:pPr>
        <w:ind w:left="4158" w:hanging="360"/>
      </w:pPr>
    </w:lvl>
    <w:lvl w:ilvl="7" w:tplc="08090019" w:tentative="1">
      <w:start w:val="1"/>
      <w:numFmt w:val="lowerLetter"/>
      <w:lvlText w:val="%8."/>
      <w:lvlJc w:val="left"/>
      <w:pPr>
        <w:ind w:left="4878" w:hanging="360"/>
      </w:pPr>
    </w:lvl>
    <w:lvl w:ilvl="8" w:tplc="0809001B" w:tentative="1">
      <w:start w:val="1"/>
      <w:numFmt w:val="lowerRoman"/>
      <w:lvlText w:val="%9."/>
      <w:lvlJc w:val="right"/>
      <w:pPr>
        <w:ind w:left="5598" w:hanging="180"/>
      </w:pPr>
    </w:lvl>
  </w:abstractNum>
  <w:abstractNum w:abstractNumId="38" w15:restartNumberingAfterBreak="0">
    <w:nsid w:val="66D70565"/>
    <w:multiLevelType w:val="hybridMultilevel"/>
    <w:tmpl w:val="688E9B42"/>
    <w:lvl w:ilvl="0" w:tplc="04090001">
      <w:start w:val="1"/>
      <w:numFmt w:val="bullet"/>
      <w:lvlText w:val=""/>
      <w:lvlJc w:val="left"/>
      <w:pPr>
        <w:ind w:left="2061" w:hanging="360"/>
      </w:pPr>
      <w:rPr>
        <w:rFonts w:ascii="Symbol" w:hAnsi="Symbol"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15:restartNumberingAfterBreak="0">
    <w:nsid w:val="6C303A07"/>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0" w15:restartNumberingAfterBreak="0">
    <w:nsid w:val="71947C28"/>
    <w:multiLevelType w:val="hybridMultilevel"/>
    <w:tmpl w:val="9F1682B2"/>
    <w:lvl w:ilvl="0" w:tplc="B9BCD836">
      <w:start w:val="1"/>
      <w:numFmt w:val="lowerLetter"/>
      <w:lvlText w:val="(%1)"/>
      <w:lvlJc w:val="left"/>
      <w:pPr>
        <w:ind w:left="2061" w:hanging="360"/>
      </w:pPr>
      <w:rPr>
        <w:rFonts w:hint="default"/>
      </w:rPr>
    </w:lvl>
    <w:lvl w:ilvl="1" w:tplc="04090019">
      <w:start w:val="1"/>
      <w:numFmt w:val="lowerLetter"/>
      <w:lvlText w:val="%2."/>
      <w:lvlJc w:val="left"/>
      <w:pPr>
        <w:ind w:left="2781" w:hanging="360"/>
      </w:pPr>
    </w:lvl>
    <w:lvl w:ilvl="2" w:tplc="0409001B">
      <w:start w:val="1"/>
      <w:numFmt w:val="lowerRoman"/>
      <w:lvlText w:val="%3."/>
      <w:lvlJc w:val="right"/>
      <w:pPr>
        <w:ind w:left="3501" w:hanging="180"/>
      </w:pPr>
    </w:lvl>
    <w:lvl w:ilvl="3" w:tplc="0409000F">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41" w15:restartNumberingAfterBreak="0">
    <w:nsid w:val="71D66456"/>
    <w:multiLevelType w:val="hybridMultilevel"/>
    <w:tmpl w:val="F390A090"/>
    <w:lvl w:ilvl="0" w:tplc="3C1EB666">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4"/>
  </w:num>
  <w:num w:numId="12">
    <w:abstractNumId w:val="16"/>
  </w:num>
  <w:num w:numId="13">
    <w:abstractNumId w:val="12"/>
  </w:num>
  <w:num w:numId="14">
    <w:abstractNumId w:val="36"/>
  </w:num>
  <w:num w:numId="15">
    <w:abstractNumId w:val="42"/>
  </w:num>
  <w:num w:numId="16">
    <w:abstractNumId w:val="30"/>
  </w:num>
  <w:num w:numId="17">
    <w:abstractNumId w:val="24"/>
  </w:num>
  <w:num w:numId="18">
    <w:abstractNumId w:val="10"/>
  </w:num>
  <w:num w:numId="19">
    <w:abstractNumId w:val="27"/>
  </w:num>
  <w:num w:numId="20">
    <w:abstractNumId w:val="35"/>
  </w:num>
  <w:num w:numId="21">
    <w:abstractNumId w:val="41"/>
  </w:num>
  <w:num w:numId="22">
    <w:abstractNumId w:val="22"/>
  </w:num>
  <w:num w:numId="23">
    <w:abstractNumId w:val="25"/>
  </w:num>
  <w:num w:numId="24">
    <w:abstractNumId w:val="32"/>
  </w:num>
  <w:num w:numId="25">
    <w:abstractNumId w:val="21"/>
  </w:num>
  <w:num w:numId="26">
    <w:abstractNumId w:val="14"/>
  </w:num>
  <w:num w:numId="27">
    <w:abstractNumId w:val="37"/>
  </w:num>
  <w:num w:numId="28">
    <w:abstractNumId w:val="39"/>
  </w:num>
  <w:num w:numId="29">
    <w:abstractNumId w:val="40"/>
  </w:num>
  <w:num w:numId="30">
    <w:abstractNumId w:val="20"/>
  </w:num>
  <w:num w:numId="31">
    <w:abstractNumId w:val="33"/>
  </w:num>
  <w:num w:numId="32">
    <w:abstractNumId w:val="38"/>
  </w:num>
  <w:num w:numId="33">
    <w:abstractNumId w:val="19"/>
  </w:num>
  <w:num w:numId="34">
    <w:abstractNumId w:val="11"/>
  </w:num>
  <w:num w:numId="35">
    <w:abstractNumId w:val="17"/>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3"/>
  </w:num>
  <w:num w:numId="39">
    <w:abstractNumId w:val="26"/>
  </w:num>
  <w:num w:numId="40">
    <w:abstractNumId w:val="28"/>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de-CH" w:vendorID="64" w:dllVersion="6"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nl-NL" w:vendorID="64" w:dllVersion="0" w:nlCheck="1" w:checkStyle="0"/>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fr-CH"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US" w:vendorID="64" w:dllVersion="409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rawingGridVerticalSpacing w:val="136"/>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6CC"/>
    <w:rsid w:val="00001582"/>
    <w:rsid w:val="000019B8"/>
    <w:rsid w:val="00002751"/>
    <w:rsid w:val="00003DB5"/>
    <w:rsid w:val="00006C69"/>
    <w:rsid w:val="00006FAE"/>
    <w:rsid w:val="00007A94"/>
    <w:rsid w:val="00011FC9"/>
    <w:rsid w:val="000133C5"/>
    <w:rsid w:val="00017D24"/>
    <w:rsid w:val="000216CC"/>
    <w:rsid w:val="00022088"/>
    <w:rsid w:val="000223ED"/>
    <w:rsid w:val="00026B64"/>
    <w:rsid w:val="00027EB8"/>
    <w:rsid w:val="0003042A"/>
    <w:rsid w:val="00031437"/>
    <w:rsid w:val="0003375D"/>
    <w:rsid w:val="00040776"/>
    <w:rsid w:val="000426A1"/>
    <w:rsid w:val="00043180"/>
    <w:rsid w:val="00044081"/>
    <w:rsid w:val="000441CC"/>
    <w:rsid w:val="000443D2"/>
    <w:rsid w:val="000504CE"/>
    <w:rsid w:val="00050922"/>
    <w:rsid w:val="00050F6B"/>
    <w:rsid w:val="00052256"/>
    <w:rsid w:val="0005258D"/>
    <w:rsid w:val="00053492"/>
    <w:rsid w:val="00055FF2"/>
    <w:rsid w:val="0005710C"/>
    <w:rsid w:val="0006332D"/>
    <w:rsid w:val="00063DAC"/>
    <w:rsid w:val="00064402"/>
    <w:rsid w:val="00067E6D"/>
    <w:rsid w:val="00070FF0"/>
    <w:rsid w:val="00072C8C"/>
    <w:rsid w:val="00073129"/>
    <w:rsid w:val="00073FC6"/>
    <w:rsid w:val="00075F99"/>
    <w:rsid w:val="00076579"/>
    <w:rsid w:val="00076A0A"/>
    <w:rsid w:val="00077A9B"/>
    <w:rsid w:val="00080B38"/>
    <w:rsid w:val="00082CE1"/>
    <w:rsid w:val="00083598"/>
    <w:rsid w:val="00084632"/>
    <w:rsid w:val="000847C2"/>
    <w:rsid w:val="00084AE1"/>
    <w:rsid w:val="000863FA"/>
    <w:rsid w:val="00086918"/>
    <w:rsid w:val="00090F8D"/>
    <w:rsid w:val="00091046"/>
    <w:rsid w:val="00091297"/>
    <w:rsid w:val="00091419"/>
    <w:rsid w:val="00091CB3"/>
    <w:rsid w:val="000931C0"/>
    <w:rsid w:val="00093325"/>
    <w:rsid w:val="000939AE"/>
    <w:rsid w:val="000A1FD1"/>
    <w:rsid w:val="000A2236"/>
    <w:rsid w:val="000A35F2"/>
    <w:rsid w:val="000A3A48"/>
    <w:rsid w:val="000A4046"/>
    <w:rsid w:val="000A4C38"/>
    <w:rsid w:val="000B0EA7"/>
    <w:rsid w:val="000B175B"/>
    <w:rsid w:val="000B382F"/>
    <w:rsid w:val="000B3A0F"/>
    <w:rsid w:val="000B3C2B"/>
    <w:rsid w:val="000B4919"/>
    <w:rsid w:val="000B4D72"/>
    <w:rsid w:val="000B7AF2"/>
    <w:rsid w:val="000C1ED8"/>
    <w:rsid w:val="000C28CA"/>
    <w:rsid w:val="000C5D4B"/>
    <w:rsid w:val="000C6D96"/>
    <w:rsid w:val="000C717F"/>
    <w:rsid w:val="000D0B8F"/>
    <w:rsid w:val="000D14B6"/>
    <w:rsid w:val="000D379B"/>
    <w:rsid w:val="000D481F"/>
    <w:rsid w:val="000D6D97"/>
    <w:rsid w:val="000D7830"/>
    <w:rsid w:val="000E0415"/>
    <w:rsid w:val="000E1285"/>
    <w:rsid w:val="000E2E11"/>
    <w:rsid w:val="000E5E99"/>
    <w:rsid w:val="000E7628"/>
    <w:rsid w:val="000E7E74"/>
    <w:rsid w:val="000F0087"/>
    <w:rsid w:val="000F1747"/>
    <w:rsid w:val="000F52D6"/>
    <w:rsid w:val="000F6A20"/>
    <w:rsid w:val="00103A90"/>
    <w:rsid w:val="00103A91"/>
    <w:rsid w:val="0010461A"/>
    <w:rsid w:val="001054A3"/>
    <w:rsid w:val="001057AB"/>
    <w:rsid w:val="001058DD"/>
    <w:rsid w:val="00110915"/>
    <w:rsid w:val="00112EAE"/>
    <w:rsid w:val="00113F87"/>
    <w:rsid w:val="001149AA"/>
    <w:rsid w:val="00115303"/>
    <w:rsid w:val="00115931"/>
    <w:rsid w:val="00115FA4"/>
    <w:rsid w:val="00117787"/>
    <w:rsid w:val="00117D0D"/>
    <w:rsid w:val="00117FD5"/>
    <w:rsid w:val="00120D9A"/>
    <w:rsid w:val="00120E7B"/>
    <w:rsid w:val="00121EB7"/>
    <w:rsid w:val="0012241F"/>
    <w:rsid w:val="00124B3F"/>
    <w:rsid w:val="00130307"/>
    <w:rsid w:val="00131B10"/>
    <w:rsid w:val="00131D42"/>
    <w:rsid w:val="00133C50"/>
    <w:rsid w:val="0013537A"/>
    <w:rsid w:val="001367DF"/>
    <w:rsid w:val="00136F78"/>
    <w:rsid w:val="001377BD"/>
    <w:rsid w:val="001406F4"/>
    <w:rsid w:val="00140844"/>
    <w:rsid w:val="001467C3"/>
    <w:rsid w:val="001470D6"/>
    <w:rsid w:val="00153A5D"/>
    <w:rsid w:val="001561A8"/>
    <w:rsid w:val="00156FF1"/>
    <w:rsid w:val="001621AD"/>
    <w:rsid w:val="001633FB"/>
    <w:rsid w:val="00163A1B"/>
    <w:rsid w:val="001640DF"/>
    <w:rsid w:val="00165735"/>
    <w:rsid w:val="00167786"/>
    <w:rsid w:val="00170C34"/>
    <w:rsid w:val="00181019"/>
    <w:rsid w:val="001835BF"/>
    <w:rsid w:val="00184B86"/>
    <w:rsid w:val="00191F73"/>
    <w:rsid w:val="00195084"/>
    <w:rsid w:val="00195BC9"/>
    <w:rsid w:val="0019637E"/>
    <w:rsid w:val="001A02A4"/>
    <w:rsid w:val="001A11CB"/>
    <w:rsid w:val="001A1CDC"/>
    <w:rsid w:val="001A3FC1"/>
    <w:rsid w:val="001A4639"/>
    <w:rsid w:val="001A5DDE"/>
    <w:rsid w:val="001B0361"/>
    <w:rsid w:val="001B0B4E"/>
    <w:rsid w:val="001B35EE"/>
    <w:rsid w:val="001B4B04"/>
    <w:rsid w:val="001B6B72"/>
    <w:rsid w:val="001C08F5"/>
    <w:rsid w:val="001C429D"/>
    <w:rsid w:val="001C6663"/>
    <w:rsid w:val="001C7895"/>
    <w:rsid w:val="001D0B0A"/>
    <w:rsid w:val="001D1F0F"/>
    <w:rsid w:val="001D25B8"/>
    <w:rsid w:val="001D26DF"/>
    <w:rsid w:val="001D2FDC"/>
    <w:rsid w:val="001D3123"/>
    <w:rsid w:val="001D3A88"/>
    <w:rsid w:val="001D4B2D"/>
    <w:rsid w:val="001D4E70"/>
    <w:rsid w:val="001D55A4"/>
    <w:rsid w:val="001D5B61"/>
    <w:rsid w:val="001D7926"/>
    <w:rsid w:val="001D7B26"/>
    <w:rsid w:val="001E5919"/>
    <w:rsid w:val="001E66BE"/>
    <w:rsid w:val="001E797C"/>
    <w:rsid w:val="001F3FDB"/>
    <w:rsid w:val="001F7B5D"/>
    <w:rsid w:val="00200389"/>
    <w:rsid w:val="00202673"/>
    <w:rsid w:val="0020301C"/>
    <w:rsid w:val="00207C86"/>
    <w:rsid w:val="00211B12"/>
    <w:rsid w:val="00211E0B"/>
    <w:rsid w:val="0021481D"/>
    <w:rsid w:val="00215259"/>
    <w:rsid w:val="00221589"/>
    <w:rsid w:val="00221AC2"/>
    <w:rsid w:val="00223316"/>
    <w:rsid w:val="00223F20"/>
    <w:rsid w:val="00224CD9"/>
    <w:rsid w:val="002254D7"/>
    <w:rsid w:val="002277D8"/>
    <w:rsid w:val="0023025D"/>
    <w:rsid w:val="002309A7"/>
    <w:rsid w:val="002335AA"/>
    <w:rsid w:val="00234B1B"/>
    <w:rsid w:val="00235381"/>
    <w:rsid w:val="00237785"/>
    <w:rsid w:val="00240052"/>
    <w:rsid w:val="00241178"/>
    <w:rsid w:val="00241439"/>
    <w:rsid w:val="00241466"/>
    <w:rsid w:val="002440E7"/>
    <w:rsid w:val="002451FB"/>
    <w:rsid w:val="00247570"/>
    <w:rsid w:val="00247764"/>
    <w:rsid w:val="002511B3"/>
    <w:rsid w:val="00253547"/>
    <w:rsid w:val="0025623A"/>
    <w:rsid w:val="00257C1E"/>
    <w:rsid w:val="00257DD7"/>
    <w:rsid w:val="00261B71"/>
    <w:rsid w:val="00262099"/>
    <w:rsid w:val="002621F5"/>
    <w:rsid w:val="00264A62"/>
    <w:rsid w:val="0026745A"/>
    <w:rsid w:val="002708B5"/>
    <w:rsid w:val="00270A21"/>
    <w:rsid w:val="002725CA"/>
    <w:rsid w:val="00273A92"/>
    <w:rsid w:val="002752C3"/>
    <w:rsid w:val="00276E3C"/>
    <w:rsid w:val="00277535"/>
    <w:rsid w:val="00277896"/>
    <w:rsid w:val="00280EB7"/>
    <w:rsid w:val="0028116C"/>
    <w:rsid w:val="002860AF"/>
    <w:rsid w:val="00291E61"/>
    <w:rsid w:val="002976CF"/>
    <w:rsid w:val="002A09A8"/>
    <w:rsid w:val="002A0BD2"/>
    <w:rsid w:val="002A12B1"/>
    <w:rsid w:val="002A2A95"/>
    <w:rsid w:val="002A3510"/>
    <w:rsid w:val="002A3C44"/>
    <w:rsid w:val="002A44B5"/>
    <w:rsid w:val="002A4621"/>
    <w:rsid w:val="002A5B17"/>
    <w:rsid w:val="002A76D3"/>
    <w:rsid w:val="002A7C9F"/>
    <w:rsid w:val="002B067A"/>
    <w:rsid w:val="002B1514"/>
    <w:rsid w:val="002B1CDA"/>
    <w:rsid w:val="002B3254"/>
    <w:rsid w:val="002B46B9"/>
    <w:rsid w:val="002C2163"/>
    <w:rsid w:val="002C25CC"/>
    <w:rsid w:val="002C5293"/>
    <w:rsid w:val="002C7F25"/>
    <w:rsid w:val="002D1C67"/>
    <w:rsid w:val="002D3912"/>
    <w:rsid w:val="002D4DB6"/>
    <w:rsid w:val="002D5029"/>
    <w:rsid w:val="002D5A85"/>
    <w:rsid w:val="002D5C7D"/>
    <w:rsid w:val="002E35BB"/>
    <w:rsid w:val="002E4639"/>
    <w:rsid w:val="002E4D44"/>
    <w:rsid w:val="002E5CF2"/>
    <w:rsid w:val="002F1726"/>
    <w:rsid w:val="002F1915"/>
    <w:rsid w:val="002F363A"/>
    <w:rsid w:val="002F3957"/>
    <w:rsid w:val="002F68FD"/>
    <w:rsid w:val="002F6F3B"/>
    <w:rsid w:val="002F710F"/>
    <w:rsid w:val="002F7332"/>
    <w:rsid w:val="003003A7"/>
    <w:rsid w:val="00302A3D"/>
    <w:rsid w:val="00305943"/>
    <w:rsid w:val="00305A08"/>
    <w:rsid w:val="003107D0"/>
    <w:rsid w:val="003107FA"/>
    <w:rsid w:val="00312082"/>
    <w:rsid w:val="00313F20"/>
    <w:rsid w:val="00314790"/>
    <w:rsid w:val="00314AD2"/>
    <w:rsid w:val="00315D73"/>
    <w:rsid w:val="00316FF9"/>
    <w:rsid w:val="00321716"/>
    <w:rsid w:val="003225F2"/>
    <w:rsid w:val="003229D8"/>
    <w:rsid w:val="003240F3"/>
    <w:rsid w:val="0032549A"/>
    <w:rsid w:val="00325F1A"/>
    <w:rsid w:val="00327D0A"/>
    <w:rsid w:val="003311D1"/>
    <w:rsid w:val="00336D2F"/>
    <w:rsid w:val="00340BB2"/>
    <w:rsid w:val="00342660"/>
    <w:rsid w:val="003428B0"/>
    <w:rsid w:val="003517C3"/>
    <w:rsid w:val="00353B8E"/>
    <w:rsid w:val="00355502"/>
    <w:rsid w:val="0035575A"/>
    <w:rsid w:val="00356BC7"/>
    <w:rsid w:val="00357A20"/>
    <w:rsid w:val="00357A8F"/>
    <w:rsid w:val="003623D1"/>
    <w:rsid w:val="003633B5"/>
    <w:rsid w:val="00363530"/>
    <w:rsid w:val="003651D0"/>
    <w:rsid w:val="00366A88"/>
    <w:rsid w:val="00372F06"/>
    <w:rsid w:val="0037522C"/>
    <w:rsid w:val="00377CC7"/>
    <w:rsid w:val="00377FAF"/>
    <w:rsid w:val="003823F2"/>
    <w:rsid w:val="00382FAF"/>
    <w:rsid w:val="00390F0E"/>
    <w:rsid w:val="0039115F"/>
    <w:rsid w:val="00391647"/>
    <w:rsid w:val="003923FB"/>
    <w:rsid w:val="0039277A"/>
    <w:rsid w:val="00393127"/>
    <w:rsid w:val="003940EF"/>
    <w:rsid w:val="003954E2"/>
    <w:rsid w:val="00396F6A"/>
    <w:rsid w:val="003972E0"/>
    <w:rsid w:val="003A1EC2"/>
    <w:rsid w:val="003A2972"/>
    <w:rsid w:val="003A52D7"/>
    <w:rsid w:val="003A59C7"/>
    <w:rsid w:val="003A5A16"/>
    <w:rsid w:val="003A5FED"/>
    <w:rsid w:val="003B3BB5"/>
    <w:rsid w:val="003B5B38"/>
    <w:rsid w:val="003B72E8"/>
    <w:rsid w:val="003C0275"/>
    <w:rsid w:val="003C0657"/>
    <w:rsid w:val="003C0D65"/>
    <w:rsid w:val="003C17C1"/>
    <w:rsid w:val="003C18C9"/>
    <w:rsid w:val="003C2819"/>
    <w:rsid w:val="003C2CC4"/>
    <w:rsid w:val="003C45DF"/>
    <w:rsid w:val="003C5A5F"/>
    <w:rsid w:val="003C655D"/>
    <w:rsid w:val="003C7F9C"/>
    <w:rsid w:val="003D4B23"/>
    <w:rsid w:val="003D6FE1"/>
    <w:rsid w:val="003E5F65"/>
    <w:rsid w:val="003F23A4"/>
    <w:rsid w:val="003F3F2E"/>
    <w:rsid w:val="003F5900"/>
    <w:rsid w:val="003F5B52"/>
    <w:rsid w:val="003F5E99"/>
    <w:rsid w:val="003F66F3"/>
    <w:rsid w:val="003F772A"/>
    <w:rsid w:val="004030C5"/>
    <w:rsid w:val="00403EC6"/>
    <w:rsid w:val="00406CD4"/>
    <w:rsid w:val="00407CED"/>
    <w:rsid w:val="00424201"/>
    <w:rsid w:val="004264D7"/>
    <w:rsid w:val="00426C9E"/>
    <w:rsid w:val="00430086"/>
    <w:rsid w:val="00430918"/>
    <w:rsid w:val="004325CB"/>
    <w:rsid w:val="00433B74"/>
    <w:rsid w:val="004351F9"/>
    <w:rsid w:val="00437F3F"/>
    <w:rsid w:val="00442382"/>
    <w:rsid w:val="004434E1"/>
    <w:rsid w:val="00445C9D"/>
    <w:rsid w:val="00446DE4"/>
    <w:rsid w:val="00447440"/>
    <w:rsid w:val="00447900"/>
    <w:rsid w:val="00452D10"/>
    <w:rsid w:val="00454036"/>
    <w:rsid w:val="004562AA"/>
    <w:rsid w:val="00460917"/>
    <w:rsid w:val="00460B22"/>
    <w:rsid w:val="00464236"/>
    <w:rsid w:val="0046443A"/>
    <w:rsid w:val="00464A6E"/>
    <w:rsid w:val="004653B3"/>
    <w:rsid w:val="004654C4"/>
    <w:rsid w:val="0046668F"/>
    <w:rsid w:val="0046773D"/>
    <w:rsid w:val="0046788D"/>
    <w:rsid w:val="00471F2A"/>
    <w:rsid w:val="00473DC8"/>
    <w:rsid w:val="00475CD0"/>
    <w:rsid w:val="0048028B"/>
    <w:rsid w:val="00480BD4"/>
    <w:rsid w:val="0048304D"/>
    <w:rsid w:val="00484A9B"/>
    <w:rsid w:val="0048522B"/>
    <w:rsid w:val="00486DA4"/>
    <w:rsid w:val="00492AF9"/>
    <w:rsid w:val="00492C5D"/>
    <w:rsid w:val="0049304E"/>
    <w:rsid w:val="00494C77"/>
    <w:rsid w:val="00497711"/>
    <w:rsid w:val="004A1710"/>
    <w:rsid w:val="004B2C9D"/>
    <w:rsid w:val="004B33C4"/>
    <w:rsid w:val="004B5939"/>
    <w:rsid w:val="004B692E"/>
    <w:rsid w:val="004B73D6"/>
    <w:rsid w:val="004C277A"/>
    <w:rsid w:val="004C39D0"/>
    <w:rsid w:val="004C43DB"/>
    <w:rsid w:val="004C4F1A"/>
    <w:rsid w:val="004C6D6D"/>
    <w:rsid w:val="004C7974"/>
    <w:rsid w:val="004D0012"/>
    <w:rsid w:val="004D4779"/>
    <w:rsid w:val="004D597B"/>
    <w:rsid w:val="004D5FB6"/>
    <w:rsid w:val="004E0C5D"/>
    <w:rsid w:val="004E3603"/>
    <w:rsid w:val="004E55A3"/>
    <w:rsid w:val="004E5A7D"/>
    <w:rsid w:val="004F4240"/>
    <w:rsid w:val="004F52AA"/>
    <w:rsid w:val="004F5854"/>
    <w:rsid w:val="004F77CD"/>
    <w:rsid w:val="00502365"/>
    <w:rsid w:val="005042BC"/>
    <w:rsid w:val="00504FEC"/>
    <w:rsid w:val="005078F2"/>
    <w:rsid w:val="00507CF1"/>
    <w:rsid w:val="00515057"/>
    <w:rsid w:val="0051771C"/>
    <w:rsid w:val="00520156"/>
    <w:rsid w:val="00522177"/>
    <w:rsid w:val="005223CB"/>
    <w:rsid w:val="00524D87"/>
    <w:rsid w:val="005258D4"/>
    <w:rsid w:val="00527910"/>
    <w:rsid w:val="00530360"/>
    <w:rsid w:val="00530762"/>
    <w:rsid w:val="00534655"/>
    <w:rsid w:val="0053653D"/>
    <w:rsid w:val="00536DFA"/>
    <w:rsid w:val="005371B2"/>
    <w:rsid w:val="00541A44"/>
    <w:rsid w:val="00542001"/>
    <w:rsid w:val="005420F2"/>
    <w:rsid w:val="00542505"/>
    <w:rsid w:val="00542C8D"/>
    <w:rsid w:val="005434EF"/>
    <w:rsid w:val="0054641F"/>
    <w:rsid w:val="005475D4"/>
    <w:rsid w:val="00550CA7"/>
    <w:rsid w:val="00552179"/>
    <w:rsid w:val="00555CDB"/>
    <w:rsid w:val="005603DA"/>
    <w:rsid w:val="00561B6D"/>
    <w:rsid w:val="00562D45"/>
    <w:rsid w:val="005655A7"/>
    <w:rsid w:val="0056615B"/>
    <w:rsid w:val="00567DFB"/>
    <w:rsid w:val="005704BE"/>
    <w:rsid w:val="00571DAA"/>
    <w:rsid w:val="005739EC"/>
    <w:rsid w:val="00576F7D"/>
    <w:rsid w:val="0058129D"/>
    <w:rsid w:val="00584066"/>
    <w:rsid w:val="00590144"/>
    <w:rsid w:val="005904DA"/>
    <w:rsid w:val="0059680B"/>
    <w:rsid w:val="0059682C"/>
    <w:rsid w:val="005A2489"/>
    <w:rsid w:val="005A64DD"/>
    <w:rsid w:val="005A72B2"/>
    <w:rsid w:val="005B07CF"/>
    <w:rsid w:val="005B0899"/>
    <w:rsid w:val="005B09F0"/>
    <w:rsid w:val="005B0C59"/>
    <w:rsid w:val="005B0CED"/>
    <w:rsid w:val="005B1BA3"/>
    <w:rsid w:val="005B3DB3"/>
    <w:rsid w:val="005B4B57"/>
    <w:rsid w:val="005B528A"/>
    <w:rsid w:val="005B6541"/>
    <w:rsid w:val="005C3E89"/>
    <w:rsid w:val="005C4CB5"/>
    <w:rsid w:val="005C6B5A"/>
    <w:rsid w:val="005D0490"/>
    <w:rsid w:val="005D0C6C"/>
    <w:rsid w:val="005D1BB4"/>
    <w:rsid w:val="005D27F0"/>
    <w:rsid w:val="005D68BD"/>
    <w:rsid w:val="005E0752"/>
    <w:rsid w:val="005E3D28"/>
    <w:rsid w:val="005E415C"/>
    <w:rsid w:val="005E53FE"/>
    <w:rsid w:val="005E5946"/>
    <w:rsid w:val="005E6758"/>
    <w:rsid w:val="005F3A39"/>
    <w:rsid w:val="005F3D99"/>
    <w:rsid w:val="005F5C2F"/>
    <w:rsid w:val="005F7BB1"/>
    <w:rsid w:val="00602490"/>
    <w:rsid w:val="00603E3C"/>
    <w:rsid w:val="0061166C"/>
    <w:rsid w:val="00611FC4"/>
    <w:rsid w:val="00612812"/>
    <w:rsid w:val="0061549F"/>
    <w:rsid w:val="006176FB"/>
    <w:rsid w:val="00622307"/>
    <w:rsid w:val="006260F3"/>
    <w:rsid w:val="00626B06"/>
    <w:rsid w:val="00626E5B"/>
    <w:rsid w:val="006276BE"/>
    <w:rsid w:val="006279AC"/>
    <w:rsid w:val="006314B1"/>
    <w:rsid w:val="00632200"/>
    <w:rsid w:val="00632969"/>
    <w:rsid w:val="00632EAA"/>
    <w:rsid w:val="0063419C"/>
    <w:rsid w:val="00635381"/>
    <w:rsid w:val="00636986"/>
    <w:rsid w:val="00637542"/>
    <w:rsid w:val="00637558"/>
    <w:rsid w:val="00640B26"/>
    <w:rsid w:val="00641194"/>
    <w:rsid w:val="00645A0B"/>
    <w:rsid w:val="00645DED"/>
    <w:rsid w:val="006471F6"/>
    <w:rsid w:val="006500BA"/>
    <w:rsid w:val="006506DB"/>
    <w:rsid w:val="00653E36"/>
    <w:rsid w:val="00661016"/>
    <w:rsid w:val="0066179D"/>
    <w:rsid w:val="00662121"/>
    <w:rsid w:val="00662E09"/>
    <w:rsid w:val="006632F5"/>
    <w:rsid w:val="00667B26"/>
    <w:rsid w:val="00670CF0"/>
    <w:rsid w:val="00673C50"/>
    <w:rsid w:val="00675F87"/>
    <w:rsid w:val="00684954"/>
    <w:rsid w:val="00685AD0"/>
    <w:rsid w:val="00687AF0"/>
    <w:rsid w:val="00690CD6"/>
    <w:rsid w:val="00695F8E"/>
    <w:rsid w:val="006A3932"/>
    <w:rsid w:val="006A63E3"/>
    <w:rsid w:val="006A7392"/>
    <w:rsid w:val="006A7921"/>
    <w:rsid w:val="006B1C55"/>
    <w:rsid w:val="006B4518"/>
    <w:rsid w:val="006C0D34"/>
    <w:rsid w:val="006C1D8F"/>
    <w:rsid w:val="006C251B"/>
    <w:rsid w:val="006C2F7E"/>
    <w:rsid w:val="006C57FD"/>
    <w:rsid w:val="006C6F93"/>
    <w:rsid w:val="006D2A3E"/>
    <w:rsid w:val="006D3560"/>
    <w:rsid w:val="006D7700"/>
    <w:rsid w:val="006D7714"/>
    <w:rsid w:val="006E3B65"/>
    <w:rsid w:val="006E4BFC"/>
    <w:rsid w:val="006E564B"/>
    <w:rsid w:val="007025C0"/>
    <w:rsid w:val="00706813"/>
    <w:rsid w:val="0070691D"/>
    <w:rsid w:val="00707A9B"/>
    <w:rsid w:val="00707E5C"/>
    <w:rsid w:val="00707F04"/>
    <w:rsid w:val="00711637"/>
    <w:rsid w:val="007134CF"/>
    <w:rsid w:val="00714F4F"/>
    <w:rsid w:val="00723978"/>
    <w:rsid w:val="00724964"/>
    <w:rsid w:val="0072632A"/>
    <w:rsid w:val="00736A6E"/>
    <w:rsid w:val="00736E6A"/>
    <w:rsid w:val="00737407"/>
    <w:rsid w:val="007416F3"/>
    <w:rsid w:val="00741F59"/>
    <w:rsid w:val="00742129"/>
    <w:rsid w:val="0074697D"/>
    <w:rsid w:val="00747C8C"/>
    <w:rsid w:val="007528EF"/>
    <w:rsid w:val="00753344"/>
    <w:rsid w:val="007553EC"/>
    <w:rsid w:val="00755A0C"/>
    <w:rsid w:val="00755E6A"/>
    <w:rsid w:val="00755EBE"/>
    <w:rsid w:val="0076047E"/>
    <w:rsid w:val="00760C16"/>
    <w:rsid w:val="00761619"/>
    <w:rsid w:val="0076177C"/>
    <w:rsid w:val="00763C33"/>
    <w:rsid w:val="00763F5B"/>
    <w:rsid w:val="00764D34"/>
    <w:rsid w:val="00766322"/>
    <w:rsid w:val="00770BCD"/>
    <w:rsid w:val="00771904"/>
    <w:rsid w:val="00773353"/>
    <w:rsid w:val="00774129"/>
    <w:rsid w:val="00774E8F"/>
    <w:rsid w:val="00774EAA"/>
    <w:rsid w:val="00777C27"/>
    <w:rsid w:val="0078123B"/>
    <w:rsid w:val="0078333D"/>
    <w:rsid w:val="00786434"/>
    <w:rsid w:val="00790689"/>
    <w:rsid w:val="00790791"/>
    <w:rsid w:val="00792863"/>
    <w:rsid w:val="007932E3"/>
    <w:rsid w:val="007944A3"/>
    <w:rsid w:val="007959DD"/>
    <w:rsid w:val="00796F36"/>
    <w:rsid w:val="007A2CDB"/>
    <w:rsid w:val="007A62EC"/>
    <w:rsid w:val="007A6D76"/>
    <w:rsid w:val="007B1A7E"/>
    <w:rsid w:val="007B2BA8"/>
    <w:rsid w:val="007B3C6D"/>
    <w:rsid w:val="007B5148"/>
    <w:rsid w:val="007B5E15"/>
    <w:rsid w:val="007B6BA5"/>
    <w:rsid w:val="007C1ACD"/>
    <w:rsid w:val="007C2C0D"/>
    <w:rsid w:val="007C3075"/>
    <w:rsid w:val="007C3162"/>
    <w:rsid w:val="007C3390"/>
    <w:rsid w:val="007C3FFE"/>
    <w:rsid w:val="007C4F4B"/>
    <w:rsid w:val="007C644D"/>
    <w:rsid w:val="007C71BC"/>
    <w:rsid w:val="007D1339"/>
    <w:rsid w:val="007D322F"/>
    <w:rsid w:val="007D4EF3"/>
    <w:rsid w:val="007D722E"/>
    <w:rsid w:val="007D7BC6"/>
    <w:rsid w:val="007E1BE6"/>
    <w:rsid w:val="007E3DAB"/>
    <w:rsid w:val="007E4BD3"/>
    <w:rsid w:val="007E5B14"/>
    <w:rsid w:val="007E5D7C"/>
    <w:rsid w:val="007F0471"/>
    <w:rsid w:val="007F2A54"/>
    <w:rsid w:val="007F4FEF"/>
    <w:rsid w:val="007F5104"/>
    <w:rsid w:val="007F5F0F"/>
    <w:rsid w:val="007F6611"/>
    <w:rsid w:val="007F6D17"/>
    <w:rsid w:val="007F7D82"/>
    <w:rsid w:val="00800024"/>
    <w:rsid w:val="008005A8"/>
    <w:rsid w:val="00800875"/>
    <w:rsid w:val="00801952"/>
    <w:rsid w:val="008026CA"/>
    <w:rsid w:val="00803236"/>
    <w:rsid w:val="008037A2"/>
    <w:rsid w:val="00803FD4"/>
    <w:rsid w:val="008112B1"/>
    <w:rsid w:val="00816341"/>
    <w:rsid w:val="00816370"/>
    <w:rsid w:val="00816582"/>
    <w:rsid w:val="00817599"/>
    <w:rsid w:val="008175E9"/>
    <w:rsid w:val="00820A2D"/>
    <w:rsid w:val="00820C8B"/>
    <w:rsid w:val="00822FCE"/>
    <w:rsid w:val="008242D7"/>
    <w:rsid w:val="00825B97"/>
    <w:rsid w:val="00826410"/>
    <w:rsid w:val="00826C09"/>
    <w:rsid w:val="00827AA6"/>
    <w:rsid w:val="0083043E"/>
    <w:rsid w:val="0083069A"/>
    <w:rsid w:val="00832A1D"/>
    <w:rsid w:val="00834479"/>
    <w:rsid w:val="00843AB2"/>
    <w:rsid w:val="00846809"/>
    <w:rsid w:val="00851D4F"/>
    <w:rsid w:val="00852C3A"/>
    <w:rsid w:val="00854873"/>
    <w:rsid w:val="00856BCC"/>
    <w:rsid w:val="00860D7E"/>
    <w:rsid w:val="0086107D"/>
    <w:rsid w:val="00864251"/>
    <w:rsid w:val="00871B13"/>
    <w:rsid w:val="00871FD5"/>
    <w:rsid w:val="0087259D"/>
    <w:rsid w:val="0087351D"/>
    <w:rsid w:val="008754FF"/>
    <w:rsid w:val="00877071"/>
    <w:rsid w:val="00877F94"/>
    <w:rsid w:val="00881213"/>
    <w:rsid w:val="00886C92"/>
    <w:rsid w:val="008903D9"/>
    <w:rsid w:val="008979B1"/>
    <w:rsid w:val="008A0B75"/>
    <w:rsid w:val="008A1542"/>
    <w:rsid w:val="008A1C4B"/>
    <w:rsid w:val="008A6B25"/>
    <w:rsid w:val="008A6C4F"/>
    <w:rsid w:val="008A7679"/>
    <w:rsid w:val="008A7AB3"/>
    <w:rsid w:val="008B2DB8"/>
    <w:rsid w:val="008B3244"/>
    <w:rsid w:val="008B6073"/>
    <w:rsid w:val="008B65FB"/>
    <w:rsid w:val="008C04F5"/>
    <w:rsid w:val="008C1A0E"/>
    <w:rsid w:val="008C24CC"/>
    <w:rsid w:val="008C3B3C"/>
    <w:rsid w:val="008C4283"/>
    <w:rsid w:val="008C45B1"/>
    <w:rsid w:val="008C4E36"/>
    <w:rsid w:val="008C6D16"/>
    <w:rsid w:val="008C74C3"/>
    <w:rsid w:val="008C7BF7"/>
    <w:rsid w:val="008D134F"/>
    <w:rsid w:val="008D3C75"/>
    <w:rsid w:val="008D5D05"/>
    <w:rsid w:val="008D6942"/>
    <w:rsid w:val="008E0E46"/>
    <w:rsid w:val="008E1DAE"/>
    <w:rsid w:val="008E295A"/>
    <w:rsid w:val="008E3BB8"/>
    <w:rsid w:val="008F0214"/>
    <w:rsid w:val="008F2D9A"/>
    <w:rsid w:val="008F44B8"/>
    <w:rsid w:val="008F504A"/>
    <w:rsid w:val="008F6413"/>
    <w:rsid w:val="008F6F93"/>
    <w:rsid w:val="0090349F"/>
    <w:rsid w:val="0090380B"/>
    <w:rsid w:val="00904EBC"/>
    <w:rsid w:val="00910F87"/>
    <w:rsid w:val="00912BA7"/>
    <w:rsid w:val="0091320D"/>
    <w:rsid w:val="00915C41"/>
    <w:rsid w:val="0091645B"/>
    <w:rsid w:val="00923019"/>
    <w:rsid w:val="00923AA2"/>
    <w:rsid w:val="00924B63"/>
    <w:rsid w:val="00931D1B"/>
    <w:rsid w:val="00933FAB"/>
    <w:rsid w:val="009363B6"/>
    <w:rsid w:val="00940F46"/>
    <w:rsid w:val="00941ECC"/>
    <w:rsid w:val="009437D4"/>
    <w:rsid w:val="00945A5D"/>
    <w:rsid w:val="00946A0D"/>
    <w:rsid w:val="0094762B"/>
    <w:rsid w:val="00954F3C"/>
    <w:rsid w:val="00955109"/>
    <w:rsid w:val="00963B67"/>
    <w:rsid w:val="00963CBA"/>
    <w:rsid w:val="009701ED"/>
    <w:rsid w:val="00971710"/>
    <w:rsid w:val="00972B45"/>
    <w:rsid w:val="00973E59"/>
    <w:rsid w:val="0097431F"/>
    <w:rsid w:val="0097639C"/>
    <w:rsid w:val="0097685F"/>
    <w:rsid w:val="00982A54"/>
    <w:rsid w:val="00984471"/>
    <w:rsid w:val="00985F37"/>
    <w:rsid w:val="009879EA"/>
    <w:rsid w:val="009903C1"/>
    <w:rsid w:val="009908A5"/>
    <w:rsid w:val="0099124E"/>
    <w:rsid w:val="00991261"/>
    <w:rsid w:val="009953D5"/>
    <w:rsid w:val="0099545C"/>
    <w:rsid w:val="009A10F4"/>
    <w:rsid w:val="009A12C6"/>
    <w:rsid w:val="009A16BE"/>
    <w:rsid w:val="009A1D29"/>
    <w:rsid w:val="009A2A69"/>
    <w:rsid w:val="009A3212"/>
    <w:rsid w:val="009B26D0"/>
    <w:rsid w:val="009B4C77"/>
    <w:rsid w:val="009B5F0D"/>
    <w:rsid w:val="009C0FA4"/>
    <w:rsid w:val="009C6058"/>
    <w:rsid w:val="009C6168"/>
    <w:rsid w:val="009C61B6"/>
    <w:rsid w:val="009C6394"/>
    <w:rsid w:val="009C6939"/>
    <w:rsid w:val="009D0E2A"/>
    <w:rsid w:val="009D0F0E"/>
    <w:rsid w:val="009D1AAE"/>
    <w:rsid w:val="009D1C63"/>
    <w:rsid w:val="009D1F7D"/>
    <w:rsid w:val="009D634E"/>
    <w:rsid w:val="009E1560"/>
    <w:rsid w:val="009E7EDE"/>
    <w:rsid w:val="009F0F06"/>
    <w:rsid w:val="009F2482"/>
    <w:rsid w:val="009F35DB"/>
    <w:rsid w:val="009F4FC5"/>
    <w:rsid w:val="009F6570"/>
    <w:rsid w:val="009F7CD7"/>
    <w:rsid w:val="00A00697"/>
    <w:rsid w:val="00A02C71"/>
    <w:rsid w:val="00A068B8"/>
    <w:rsid w:val="00A10D41"/>
    <w:rsid w:val="00A1427D"/>
    <w:rsid w:val="00A14A9B"/>
    <w:rsid w:val="00A1716E"/>
    <w:rsid w:val="00A201E8"/>
    <w:rsid w:val="00A209D8"/>
    <w:rsid w:val="00A218A0"/>
    <w:rsid w:val="00A235F1"/>
    <w:rsid w:val="00A3245A"/>
    <w:rsid w:val="00A34B00"/>
    <w:rsid w:val="00A36464"/>
    <w:rsid w:val="00A3777A"/>
    <w:rsid w:val="00A4428B"/>
    <w:rsid w:val="00A45A37"/>
    <w:rsid w:val="00A50077"/>
    <w:rsid w:val="00A52922"/>
    <w:rsid w:val="00A538E5"/>
    <w:rsid w:val="00A5422A"/>
    <w:rsid w:val="00A54CA8"/>
    <w:rsid w:val="00A60196"/>
    <w:rsid w:val="00A60B3E"/>
    <w:rsid w:val="00A6199C"/>
    <w:rsid w:val="00A62147"/>
    <w:rsid w:val="00A622AF"/>
    <w:rsid w:val="00A6236D"/>
    <w:rsid w:val="00A63423"/>
    <w:rsid w:val="00A65F4A"/>
    <w:rsid w:val="00A66636"/>
    <w:rsid w:val="00A6730E"/>
    <w:rsid w:val="00A71B77"/>
    <w:rsid w:val="00A72F22"/>
    <w:rsid w:val="00A744D7"/>
    <w:rsid w:val="00A748A6"/>
    <w:rsid w:val="00A74A46"/>
    <w:rsid w:val="00A753A9"/>
    <w:rsid w:val="00A75D0E"/>
    <w:rsid w:val="00A75EC9"/>
    <w:rsid w:val="00A801F9"/>
    <w:rsid w:val="00A810D4"/>
    <w:rsid w:val="00A83451"/>
    <w:rsid w:val="00A83538"/>
    <w:rsid w:val="00A841F8"/>
    <w:rsid w:val="00A8523D"/>
    <w:rsid w:val="00A865E5"/>
    <w:rsid w:val="00A879A4"/>
    <w:rsid w:val="00A9244A"/>
    <w:rsid w:val="00AA128F"/>
    <w:rsid w:val="00AA1D9A"/>
    <w:rsid w:val="00AA32EB"/>
    <w:rsid w:val="00AA5C8A"/>
    <w:rsid w:val="00AA6307"/>
    <w:rsid w:val="00AA6AEB"/>
    <w:rsid w:val="00AA6E2C"/>
    <w:rsid w:val="00AA7616"/>
    <w:rsid w:val="00AB2189"/>
    <w:rsid w:val="00AB382F"/>
    <w:rsid w:val="00AB3FD7"/>
    <w:rsid w:val="00AB4CF1"/>
    <w:rsid w:val="00AB547D"/>
    <w:rsid w:val="00AB5E15"/>
    <w:rsid w:val="00AC0069"/>
    <w:rsid w:val="00AC7F82"/>
    <w:rsid w:val="00AD34EE"/>
    <w:rsid w:val="00AD5498"/>
    <w:rsid w:val="00AD564C"/>
    <w:rsid w:val="00AD7C88"/>
    <w:rsid w:val="00AE0339"/>
    <w:rsid w:val="00AE45DE"/>
    <w:rsid w:val="00AE5C86"/>
    <w:rsid w:val="00AF0878"/>
    <w:rsid w:val="00AF2F9D"/>
    <w:rsid w:val="00AF5853"/>
    <w:rsid w:val="00AF6033"/>
    <w:rsid w:val="00AF6710"/>
    <w:rsid w:val="00B013E6"/>
    <w:rsid w:val="00B04D66"/>
    <w:rsid w:val="00B07F3F"/>
    <w:rsid w:val="00B10C19"/>
    <w:rsid w:val="00B1157C"/>
    <w:rsid w:val="00B13914"/>
    <w:rsid w:val="00B1501F"/>
    <w:rsid w:val="00B2578B"/>
    <w:rsid w:val="00B26710"/>
    <w:rsid w:val="00B26B3C"/>
    <w:rsid w:val="00B272B7"/>
    <w:rsid w:val="00B27AA9"/>
    <w:rsid w:val="00B30179"/>
    <w:rsid w:val="00B3291A"/>
    <w:rsid w:val="00B3317B"/>
    <w:rsid w:val="00B366AB"/>
    <w:rsid w:val="00B36913"/>
    <w:rsid w:val="00B41384"/>
    <w:rsid w:val="00B41F75"/>
    <w:rsid w:val="00B43422"/>
    <w:rsid w:val="00B4398E"/>
    <w:rsid w:val="00B52157"/>
    <w:rsid w:val="00B5392B"/>
    <w:rsid w:val="00B54670"/>
    <w:rsid w:val="00B560D2"/>
    <w:rsid w:val="00B56C20"/>
    <w:rsid w:val="00B61827"/>
    <w:rsid w:val="00B64FDB"/>
    <w:rsid w:val="00B65238"/>
    <w:rsid w:val="00B7048E"/>
    <w:rsid w:val="00B71B78"/>
    <w:rsid w:val="00B71E2B"/>
    <w:rsid w:val="00B73DA8"/>
    <w:rsid w:val="00B74F7C"/>
    <w:rsid w:val="00B75CA5"/>
    <w:rsid w:val="00B75E05"/>
    <w:rsid w:val="00B766BF"/>
    <w:rsid w:val="00B81E12"/>
    <w:rsid w:val="00B822E7"/>
    <w:rsid w:val="00B84AAC"/>
    <w:rsid w:val="00B87012"/>
    <w:rsid w:val="00B879B1"/>
    <w:rsid w:val="00B90F54"/>
    <w:rsid w:val="00B91CC3"/>
    <w:rsid w:val="00B92A0C"/>
    <w:rsid w:val="00B92A3D"/>
    <w:rsid w:val="00B93068"/>
    <w:rsid w:val="00B9536E"/>
    <w:rsid w:val="00B9560E"/>
    <w:rsid w:val="00BA1DA3"/>
    <w:rsid w:val="00BA413B"/>
    <w:rsid w:val="00BA52D9"/>
    <w:rsid w:val="00BA7096"/>
    <w:rsid w:val="00BA7462"/>
    <w:rsid w:val="00BA758C"/>
    <w:rsid w:val="00BB1452"/>
    <w:rsid w:val="00BB176D"/>
    <w:rsid w:val="00BB183E"/>
    <w:rsid w:val="00BB3B28"/>
    <w:rsid w:val="00BB7BCE"/>
    <w:rsid w:val="00BC46B3"/>
    <w:rsid w:val="00BC4CB4"/>
    <w:rsid w:val="00BC5E58"/>
    <w:rsid w:val="00BC5FC4"/>
    <w:rsid w:val="00BC74E9"/>
    <w:rsid w:val="00BD05FB"/>
    <w:rsid w:val="00BD41F8"/>
    <w:rsid w:val="00BD7EBA"/>
    <w:rsid w:val="00BE050B"/>
    <w:rsid w:val="00BE14E7"/>
    <w:rsid w:val="00BE1FF8"/>
    <w:rsid w:val="00BE47B0"/>
    <w:rsid w:val="00BE50CA"/>
    <w:rsid w:val="00BE618E"/>
    <w:rsid w:val="00BE6311"/>
    <w:rsid w:val="00BF1E50"/>
    <w:rsid w:val="00BF5205"/>
    <w:rsid w:val="00BF68D9"/>
    <w:rsid w:val="00C001C2"/>
    <w:rsid w:val="00C0263F"/>
    <w:rsid w:val="00C031AD"/>
    <w:rsid w:val="00C03B44"/>
    <w:rsid w:val="00C060D3"/>
    <w:rsid w:val="00C10B00"/>
    <w:rsid w:val="00C13A85"/>
    <w:rsid w:val="00C14E41"/>
    <w:rsid w:val="00C20CF6"/>
    <w:rsid w:val="00C218A4"/>
    <w:rsid w:val="00C21A4B"/>
    <w:rsid w:val="00C23E4F"/>
    <w:rsid w:val="00C252A7"/>
    <w:rsid w:val="00C31A32"/>
    <w:rsid w:val="00C36188"/>
    <w:rsid w:val="00C3627B"/>
    <w:rsid w:val="00C36D37"/>
    <w:rsid w:val="00C37C37"/>
    <w:rsid w:val="00C37E31"/>
    <w:rsid w:val="00C463DD"/>
    <w:rsid w:val="00C46D5B"/>
    <w:rsid w:val="00C519E2"/>
    <w:rsid w:val="00C5283C"/>
    <w:rsid w:val="00C537D5"/>
    <w:rsid w:val="00C539D8"/>
    <w:rsid w:val="00C53FAC"/>
    <w:rsid w:val="00C550FE"/>
    <w:rsid w:val="00C602E5"/>
    <w:rsid w:val="00C610EB"/>
    <w:rsid w:val="00C62F76"/>
    <w:rsid w:val="00C66D78"/>
    <w:rsid w:val="00C71A92"/>
    <w:rsid w:val="00C745C3"/>
    <w:rsid w:val="00C81212"/>
    <w:rsid w:val="00C81810"/>
    <w:rsid w:val="00C8235A"/>
    <w:rsid w:val="00C84FF1"/>
    <w:rsid w:val="00C86E64"/>
    <w:rsid w:val="00C90019"/>
    <w:rsid w:val="00C91180"/>
    <w:rsid w:val="00C933A9"/>
    <w:rsid w:val="00C93C11"/>
    <w:rsid w:val="00C94F7A"/>
    <w:rsid w:val="00C971F6"/>
    <w:rsid w:val="00CA049C"/>
    <w:rsid w:val="00CA272B"/>
    <w:rsid w:val="00CA381C"/>
    <w:rsid w:val="00CA3F9E"/>
    <w:rsid w:val="00CA74D3"/>
    <w:rsid w:val="00CB2158"/>
    <w:rsid w:val="00CB6380"/>
    <w:rsid w:val="00CB7364"/>
    <w:rsid w:val="00CC43C1"/>
    <w:rsid w:val="00CC4CA6"/>
    <w:rsid w:val="00CC5DB9"/>
    <w:rsid w:val="00CD0009"/>
    <w:rsid w:val="00CD30EE"/>
    <w:rsid w:val="00CD3225"/>
    <w:rsid w:val="00CD38FE"/>
    <w:rsid w:val="00CD7F97"/>
    <w:rsid w:val="00CE012D"/>
    <w:rsid w:val="00CE0D77"/>
    <w:rsid w:val="00CE4083"/>
    <w:rsid w:val="00CE46BA"/>
    <w:rsid w:val="00CE4A8F"/>
    <w:rsid w:val="00CE4A94"/>
    <w:rsid w:val="00CE4B82"/>
    <w:rsid w:val="00CE74ED"/>
    <w:rsid w:val="00CE7626"/>
    <w:rsid w:val="00CE7F8D"/>
    <w:rsid w:val="00CF12F6"/>
    <w:rsid w:val="00CF4EB4"/>
    <w:rsid w:val="00CF5865"/>
    <w:rsid w:val="00CF6F32"/>
    <w:rsid w:val="00CF778D"/>
    <w:rsid w:val="00D01C20"/>
    <w:rsid w:val="00D04B74"/>
    <w:rsid w:val="00D05BE2"/>
    <w:rsid w:val="00D0631B"/>
    <w:rsid w:val="00D06C3A"/>
    <w:rsid w:val="00D124FE"/>
    <w:rsid w:val="00D15452"/>
    <w:rsid w:val="00D164BA"/>
    <w:rsid w:val="00D17C89"/>
    <w:rsid w:val="00D2031B"/>
    <w:rsid w:val="00D23126"/>
    <w:rsid w:val="00D25E8C"/>
    <w:rsid w:val="00D25FE2"/>
    <w:rsid w:val="00D26B2C"/>
    <w:rsid w:val="00D27461"/>
    <w:rsid w:val="00D27E89"/>
    <w:rsid w:val="00D352FD"/>
    <w:rsid w:val="00D366A7"/>
    <w:rsid w:val="00D37E80"/>
    <w:rsid w:val="00D41C8A"/>
    <w:rsid w:val="00D42BC2"/>
    <w:rsid w:val="00D42C29"/>
    <w:rsid w:val="00D43252"/>
    <w:rsid w:val="00D43FE6"/>
    <w:rsid w:val="00D46231"/>
    <w:rsid w:val="00D477C4"/>
    <w:rsid w:val="00D52CD5"/>
    <w:rsid w:val="00D5409C"/>
    <w:rsid w:val="00D558E3"/>
    <w:rsid w:val="00D55A6B"/>
    <w:rsid w:val="00D57C13"/>
    <w:rsid w:val="00D57FD9"/>
    <w:rsid w:val="00D610C1"/>
    <w:rsid w:val="00D62F59"/>
    <w:rsid w:val="00D657F6"/>
    <w:rsid w:val="00D658FA"/>
    <w:rsid w:val="00D679C6"/>
    <w:rsid w:val="00D7217B"/>
    <w:rsid w:val="00D730E3"/>
    <w:rsid w:val="00D73CBA"/>
    <w:rsid w:val="00D753D8"/>
    <w:rsid w:val="00D83AF1"/>
    <w:rsid w:val="00D83E46"/>
    <w:rsid w:val="00D853A9"/>
    <w:rsid w:val="00D90A62"/>
    <w:rsid w:val="00D9274F"/>
    <w:rsid w:val="00D935FA"/>
    <w:rsid w:val="00D96248"/>
    <w:rsid w:val="00D96CC5"/>
    <w:rsid w:val="00D978C6"/>
    <w:rsid w:val="00D97B77"/>
    <w:rsid w:val="00DA0A3A"/>
    <w:rsid w:val="00DA1EB9"/>
    <w:rsid w:val="00DA6620"/>
    <w:rsid w:val="00DA67AD"/>
    <w:rsid w:val="00DA7F19"/>
    <w:rsid w:val="00DB0645"/>
    <w:rsid w:val="00DB108D"/>
    <w:rsid w:val="00DB1C61"/>
    <w:rsid w:val="00DB604E"/>
    <w:rsid w:val="00DB72BC"/>
    <w:rsid w:val="00DC487B"/>
    <w:rsid w:val="00DC5BF4"/>
    <w:rsid w:val="00DC5EF6"/>
    <w:rsid w:val="00DD42A0"/>
    <w:rsid w:val="00DD5DA2"/>
    <w:rsid w:val="00DD5EA7"/>
    <w:rsid w:val="00DD63AE"/>
    <w:rsid w:val="00DE11A6"/>
    <w:rsid w:val="00DE236F"/>
    <w:rsid w:val="00DE3ECB"/>
    <w:rsid w:val="00DE4785"/>
    <w:rsid w:val="00DE7267"/>
    <w:rsid w:val="00DF0A4D"/>
    <w:rsid w:val="00DF1EE9"/>
    <w:rsid w:val="00DF3039"/>
    <w:rsid w:val="00DF3A04"/>
    <w:rsid w:val="00DF4518"/>
    <w:rsid w:val="00DF6055"/>
    <w:rsid w:val="00E03DE5"/>
    <w:rsid w:val="00E04C0F"/>
    <w:rsid w:val="00E07C46"/>
    <w:rsid w:val="00E07D9D"/>
    <w:rsid w:val="00E10201"/>
    <w:rsid w:val="00E10F84"/>
    <w:rsid w:val="00E11659"/>
    <w:rsid w:val="00E12018"/>
    <w:rsid w:val="00E130AB"/>
    <w:rsid w:val="00E1679E"/>
    <w:rsid w:val="00E16F5C"/>
    <w:rsid w:val="00E21C1B"/>
    <w:rsid w:val="00E239A0"/>
    <w:rsid w:val="00E2581C"/>
    <w:rsid w:val="00E26269"/>
    <w:rsid w:val="00E269BB"/>
    <w:rsid w:val="00E277EF"/>
    <w:rsid w:val="00E27E7C"/>
    <w:rsid w:val="00E308AF"/>
    <w:rsid w:val="00E34E58"/>
    <w:rsid w:val="00E36838"/>
    <w:rsid w:val="00E36C10"/>
    <w:rsid w:val="00E36EC1"/>
    <w:rsid w:val="00E40B76"/>
    <w:rsid w:val="00E412EA"/>
    <w:rsid w:val="00E4138E"/>
    <w:rsid w:val="00E42461"/>
    <w:rsid w:val="00E4443D"/>
    <w:rsid w:val="00E502D7"/>
    <w:rsid w:val="00E52EB0"/>
    <w:rsid w:val="00E53477"/>
    <w:rsid w:val="00E54352"/>
    <w:rsid w:val="00E54410"/>
    <w:rsid w:val="00E54645"/>
    <w:rsid w:val="00E54BD4"/>
    <w:rsid w:val="00E550DC"/>
    <w:rsid w:val="00E555F5"/>
    <w:rsid w:val="00E5644E"/>
    <w:rsid w:val="00E5691C"/>
    <w:rsid w:val="00E62068"/>
    <w:rsid w:val="00E631BA"/>
    <w:rsid w:val="00E63DE8"/>
    <w:rsid w:val="00E659B3"/>
    <w:rsid w:val="00E65A76"/>
    <w:rsid w:val="00E6613A"/>
    <w:rsid w:val="00E66E4F"/>
    <w:rsid w:val="00E7260F"/>
    <w:rsid w:val="00E730D8"/>
    <w:rsid w:val="00E74EC4"/>
    <w:rsid w:val="00E7585B"/>
    <w:rsid w:val="00E81230"/>
    <w:rsid w:val="00E851D2"/>
    <w:rsid w:val="00E8535A"/>
    <w:rsid w:val="00E864BE"/>
    <w:rsid w:val="00E87CAD"/>
    <w:rsid w:val="00E90424"/>
    <w:rsid w:val="00E90647"/>
    <w:rsid w:val="00E9352B"/>
    <w:rsid w:val="00E95438"/>
    <w:rsid w:val="00E96630"/>
    <w:rsid w:val="00E9731A"/>
    <w:rsid w:val="00EA0364"/>
    <w:rsid w:val="00EA064B"/>
    <w:rsid w:val="00EA2938"/>
    <w:rsid w:val="00EA48C4"/>
    <w:rsid w:val="00EA587E"/>
    <w:rsid w:val="00EA72F6"/>
    <w:rsid w:val="00EA772F"/>
    <w:rsid w:val="00EA7D5A"/>
    <w:rsid w:val="00EB08BA"/>
    <w:rsid w:val="00EB0CF2"/>
    <w:rsid w:val="00EB224B"/>
    <w:rsid w:val="00EB2AE3"/>
    <w:rsid w:val="00EB4C06"/>
    <w:rsid w:val="00EB51D5"/>
    <w:rsid w:val="00EB65EF"/>
    <w:rsid w:val="00EB6832"/>
    <w:rsid w:val="00EB71BA"/>
    <w:rsid w:val="00EB798F"/>
    <w:rsid w:val="00EC14E9"/>
    <w:rsid w:val="00EC271A"/>
    <w:rsid w:val="00EC2937"/>
    <w:rsid w:val="00EC4AA3"/>
    <w:rsid w:val="00EC755A"/>
    <w:rsid w:val="00EC7637"/>
    <w:rsid w:val="00ED066A"/>
    <w:rsid w:val="00ED0C83"/>
    <w:rsid w:val="00ED0F6B"/>
    <w:rsid w:val="00ED15C1"/>
    <w:rsid w:val="00ED1F13"/>
    <w:rsid w:val="00ED2AAC"/>
    <w:rsid w:val="00ED34CE"/>
    <w:rsid w:val="00ED3508"/>
    <w:rsid w:val="00ED3A92"/>
    <w:rsid w:val="00ED3F6F"/>
    <w:rsid w:val="00ED6586"/>
    <w:rsid w:val="00ED6B4E"/>
    <w:rsid w:val="00ED773C"/>
    <w:rsid w:val="00ED7A2A"/>
    <w:rsid w:val="00EE15B0"/>
    <w:rsid w:val="00EE4D59"/>
    <w:rsid w:val="00EE5FBF"/>
    <w:rsid w:val="00EE73C3"/>
    <w:rsid w:val="00EE73F9"/>
    <w:rsid w:val="00EE792A"/>
    <w:rsid w:val="00EF1407"/>
    <w:rsid w:val="00EF1D7F"/>
    <w:rsid w:val="00EF4AAC"/>
    <w:rsid w:val="00EF598B"/>
    <w:rsid w:val="00EF6478"/>
    <w:rsid w:val="00EF71D8"/>
    <w:rsid w:val="00F017EF"/>
    <w:rsid w:val="00F01C57"/>
    <w:rsid w:val="00F031DA"/>
    <w:rsid w:val="00F03E0A"/>
    <w:rsid w:val="00F03FA2"/>
    <w:rsid w:val="00F0400D"/>
    <w:rsid w:val="00F05283"/>
    <w:rsid w:val="00F07537"/>
    <w:rsid w:val="00F07619"/>
    <w:rsid w:val="00F07E12"/>
    <w:rsid w:val="00F119C8"/>
    <w:rsid w:val="00F1200D"/>
    <w:rsid w:val="00F12FE4"/>
    <w:rsid w:val="00F157D8"/>
    <w:rsid w:val="00F22B03"/>
    <w:rsid w:val="00F30469"/>
    <w:rsid w:val="00F30A8A"/>
    <w:rsid w:val="00F319C7"/>
    <w:rsid w:val="00F34267"/>
    <w:rsid w:val="00F34282"/>
    <w:rsid w:val="00F3574D"/>
    <w:rsid w:val="00F40295"/>
    <w:rsid w:val="00F40E75"/>
    <w:rsid w:val="00F412D3"/>
    <w:rsid w:val="00F4268E"/>
    <w:rsid w:val="00F43D4D"/>
    <w:rsid w:val="00F444E3"/>
    <w:rsid w:val="00F4509A"/>
    <w:rsid w:val="00F4509F"/>
    <w:rsid w:val="00F4727D"/>
    <w:rsid w:val="00F5087E"/>
    <w:rsid w:val="00F51BAB"/>
    <w:rsid w:val="00F535BE"/>
    <w:rsid w:val="00F545B1"/>
    <w:rsid w:val="00F54674"/>
    <w:rsid w:val="00F54BAB"/>
    <w:rsid w:val="00F554A1"/>
    <w:rsid w:val="00F5723F"/>
    <w:rsid w:val="00F6148D"/>
    <w:rsid w:val="00F64C95"/>
    <w:rsid w:val="00F669F0"/>
    <w:rsid w:val="00F707B7"/>
    <w:rsid w:val="00F73D28"/>
    <w:rsid w:val="00F7542B"/>
    <w:rsid w:val="00F75E96"/>
    <w:rsid w:val="00F82AD7"/>
    <w:rsid w:val="00F86BE9"/>
    <w:rsid w:val="00FA00A0"/>
    <w:rsid w:val="00FA211A"/>
    <w:rsid w:val="00FA3FB7"/>
    <w:rsid w:val="00FA7EDD"/>
    <w:rsid w:val="00FB0359"/>
    <w:rsid w:val="00FB172A"/>
    <w:rsid w:val="00FB5A37"/>
    <w:rsid w:val="00FB7793"/>
    <w:rsid w:val="00FC18AA"/>
    <w:rsid w:val="00FC215C"/>
    <w:rsid w:val="00FC3D3C"/>
    <w:rsid w:val="00FC68B7"/>
    <w:rsid w:val="00FC7A90"/>
    <w:rsid w:val="00FD0F6C"/>
    <w:rsid w:val="00FD1698"/>
    <w:rsid w:val="00FD3C5D"/>
    <w:rsid w:val="00FD3E70"/>
    <w:rsid w:val="00FD5349"/>
    <w:rsid w:val="00FD6B2B"/>
    <w:rsid w:val="00FE3552"/>
    <w:rsid w:val="00FE3EEA"/>
    <w:rsid w:val="00FE54C1"/>
    <w:rsid w:val="00FE681E"/>
    <w:rsid w:val="00FF03BB"/>
    <w:rsid w:val="00FF071A"/>
    <w:rsid w:val="00FF3E35"/>
    <w:rsid w:val="00FF51FB"/>
    <w:rsid w:val="00FF6241"/>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F66B04"/>
  <w15:docId w15:val="{EE42D38A-3D78-49B4-A772-4D72FC96C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6F3"/>
    <w:pPr>
      <w:suppressAutoHyphens/>
      <w:spacing w:line="240" w:lineRule="atLeast"/>
    </w:pPr>
    <w:rPr>
      <w:lang w:val="en-GB"/>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link w:val="H1GChar"/>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qFormat/>
    <w:locked/>
    <w:rsid w:val="00E34E58"/>
    <w:rPr>
      <w:lang w:eastAsia="en-US"/>
    </w:rPr>
  </w:style>
  <w:style w:type="character" w:customStyle="1" w:styleId="FootnoteTextChar">
    <w:name w:val="Footnote Text Char"/>
    <w:aliases w:val="5_G Char"/>
    <w:link w:val="FootnoteText"/>
    <w:uiPriority w:val="99"/>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character" w:customStyle="1" w:styleId="H1GChar">
    <w:name w:val="_ H_1_G Char"/>
    <w:link w:val="H1G"/>
    <w:rsid w:val="00A83451"/>
    <w:rPr>
      <w:b/>
      <w:sz w:val="24"/>
      <w:lang w:eastAsia="en-US"/>
    </w:rPr>
  </w:style>
  <w:style w:type="paragraph" w:customStyle="1" w:styleId="ManualBodyText">
    <w:name w:val="Manual Body Text"/>
    <w:basedOn w:val="BodyText"/>
    <w:link w:val="ManualBodyTextChar"/>
    <w:rsid w:val="00CE7626"/>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CE7626"/>
    <w:pPr>
      <w:keepNext/>
      <w:keepLines/>
      <w:tabs>
        <w:tab w:val="clear" w:pos="1418"/>
      </w:tabs>
      <w:jc w:val="center"/>
    </w:pPr>
    <w:rPr>
      <w:b/>
      <w:sz w:val="26"/>
      <w:szCs w:val="26"/>
    </w:rPr>
  </w:style>
  <w:style w:type="paragraph" w:customStyle="1" w:styleId="ManualHeading2">
    <w:name w:val="Manual Heading 2"/>
    <w:basedOn w:val="ManualBodyText"/>
    <w:next w:val="ManualBodyText"/>
    <w:rsid w:val="00CE7626"/>
    <w:pPr>
      <w:keepNext/>
      <w:keepLines/>
    </w:pPr>
    <w:rPr>
      <w:b/>
    </w:rPr>
  </w:style>
  <w:style w:type="paragraph" w:customStyle="1" w:styleId="ManualHeading3">
    <w:name w:val="Manual Heading 3"/>
    <w:basedOn w:val="ManualBodyText"/>
    <w:next w:val="ManualBodyText"/>
    <w:rsid w:val="00CE7626"/>
    <w:pPr>
      <w:keepNext/>
      <w:keepLines/>
    </w:pPr>
    <w:rPr>
      <w:b/>
    </w:rPr>
  </w:style>
  <w:style w:type="paragraph" w:customStyle="1" w:styleId="ManualHeading4">
    <w:name w:val="Manual Heading 4"/>
    <w:basedOn w:val="ManualBodyText"/>
    <w:next w:val="ManualBodyText"/>
    <w:rsid w:val="00CE7626"/>
    <w:pPr>
      <w:keepNext/>
      <w:keepLines/>
    </w:pPr>
  </w:style>
  <w:style w:type="paragraph" w:customStyle="1" w:styleId="ManualHeading5">
    <w:name w:val="Manual Heading 5"/>
    <w:basedOn w:val="ManualBodyText"/>
    <w:next w:val="ManualBodyText"/>
    <w:rsid w:val="00CE7626"/>
    <w:pPr>
      <w:keepNext/>
      <w:keepLines/>
    </w:pPr>
  </w:style>
  <w:style w:type="paragraph" w:customStyle="1" w:styleId="ManualHeading6">
    <w:name w:val="Manual Heading 6"/>
    <w:basedOn w:val="ManualBodyText"/>
    <w:next w:val="ManualBodyText"/>
    <w:rsid w:val="00CE7626"/>
    <w:pPr>
      <w:keepNext/>
      <w:keepLines/>
    </w:pPr>
  </w:style>
  <w:style w:type="paragraph" w:customStyle="1" w:styleId="ManualPartEN">
    <w:name w:val="Manual Part EN"/>
    <w:basedOn w:val="ManualHeading1"/>
    <w:next w:val="ManualHeading1"/>
    <w:rsid w:val="00CE7626"/>
    <w:rPr>
      <w:bCs/>
      <w:sz w:val="56"/>
      <w:szCs w:val="44"/>
    </w:rPr>
  </w:style>
  <w:style w:type="character" w:customStyle="1" w:styleId="HTMLPreformattedChar">
    <w:name w:val="HTML Preformatted Char"/>
    <w:link w:val="HTMLPreformatted"/>
    <w:uiPriority w:val="99"/>
    <w:rsid w:val="00CE7626"/>
    <w:rPr>
      <w:rFonts w:ascii="Courier New" w:hAnsi="Courier New" w:cs="Courier New"/>
      <w:lang w:eastAsia="en-US"/>
    </w:rPr>
  </w:style>
  <w:style w:type="character" w:customStyle="1" w:styleId="FooterChar">
    <w:name w:val="Footer Char"/>
    <w:aliases w:val="3_G Char"/>
    <w:link w:val="Footer"/>
    <w:uiPriority w:val="99"/>
    <w:rsid w:val="00CE7626"/>
    <w:rPr>
      <w:sz w:val="16"/>
      <w:lang w:eastAsia="en-US"/>
    </w:rPr>
  </w:style>
  <w:style w:type="character" w:customStyle="1" w:styleId="BodyTextIndentChar">
    <w:name w:val="Body Text Indent Char"/>
    <w:link w:val="BodyTextIndent"/>
    <w:semiHidden/>
    <w:rsid w:val="00CE7626"/>
    <w:rPr>
      <w:lang w:eastAsia="en-US"/>
    </w:rPr>
  </w:style>
  <w:style w:type="character" w:customStyle="1" w:styleId="BodyTextIndent2Char">
    <w:name w:val="Body Text Indent 2 Char"/>
    <w:link w:val="BodyTextIndent2"/>
    <w:semiHidden/>
    <w:rsid w:val="00CE7626"/>
    <w:rPr>
      <w:lang w:eastAsia="en-US"/>
    </w:rPr>
  </w:style>
  <w:style w:type="character" w:customStyle="1" w:styleId="BodyTextChar">
    <w:name w:val="Body Text Char"/>
    <w:link w:val="BodyText"/>
    <w:semiHidden/>
    <w:rsid w:val="00CE7626"/>
    <w:rPr>
      <w:lang w:eastAsia="en-US"/>
    </w:rPr>
  </w:style>
  <w:style w:type="character" w:customStyle="1" w:styleId="HeaderChar">
    <w:name w:val="Header Char"/>
    <w:aliases w:val="6_G Char"/>
    <w:link w:val="Header"/>
    <w:uiPriority w:val="99"/>
    <w:rsid w:val="00CE7626"/>
    <w:rPr>
      <w:b/>
      <w:sz w:val="18"/>
      <w:lang w:eastAsia="en-US"/>
    </w:rPr>
  </w:style>
  <w:style w:type="character" w:customStyle="1" w:styleId="BodyTextIndent3Char">
    <w:name w:val="Body Text Indent 3 Char"/>
    <w:link w:val="BodyTextIndent3"/>
    <w:semiHidden/>
    <w:rsid w:val="00CE7626"/>
    <w:rPr>
      <w:sz w:val="16"/>
      <w:szCs w:val="16"/>
      <w:lang w:eastAsia="en-US"/>
    </w:rPr>
  </w:style>
  <w:style w:type="character" w:customStyle="1" w:styleId="TitleChar">
    <w:name w:val="Title Char"/>
    <w:link w:val="Title"/>
    <w:rsid w:val="00CE7626"/>
    <w:rPr>
      <w:rFonts w:ascii="Arial" w:hAnsi="Arial" w:cs="Arial"/>
      <w:b/>
      <w:bCs/>
      <w:kern w:val="28"/>
      <w:sz w:val="32"/>
      <w:szCs w:val="32"/>
      <w:lang w:eastAsia="en-US"/>
    </w:rPr>
  </w:style>
  <w:style w:type="character" w:customStyle="1" w:styleId="Heading5Char">
    <w:name w:val="Heading 5 Char"/>
    <w:link w:val="Heading5"/>
    <w:rsid w:val="00CE7626"/>
    <w:rPr>
      <w:lang w:eastAsia="en-US"/>
    </w:rPr>
  </w:style>
  <w:style w:type="character" w:customStyle="1" w:styleId="EndnoteTextChar">
    <w:name w:val="Endnote Text Char"/>
    <w:aliases w:val="2_G Char"/>
    <w:link w:val="EndnoteText"/>
    <w:rsid w:val="00CE7626"/>
    <w:rPr>
      <w:sz w:val="18"/>
      <w:lang w:val="x-none" w:eastAsia="en-US"/>
    </w:rPr>
  </w:style>
  <w:style w:type="paragraph" w:customStyle="1" w:styleId="a">
    <w:name w:val="–"/>
    <w:semiHidden/>
    <w:rsid w:val="00CE7626"/>
    <w:pPr>
      <w:autoSpaceDE w:val="0"/>
      <w:autoSpaceDN w:val="0"/>
      <w:adjustRightInd w:val="0"/>
      <w:jc w:val="both"/>
    </w:pPr>
    <w:rPr>
      <w:rFonts w:ascii="Arial" w:hAnsi="Arial"/>
      <w:sz w:val="24"/>
      <w:szCs w:val="24"/>
    </w:rPr>
  </w:style>
  <w:style w:type="paragraph" w:customStyle="1" w:styleId="font5">
    <w:name w:val="font5"/>
    <w:basedOn w:val="Normal"/>
    <w:semiHidden/>
    <w:rsid w:val="00CE7626"/>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CE7626"/>
    <w:pPr>
      <w:keepNext/>
      <w:keepLines/>
      <w:tabs>
        <w:tab w:val="left" w:pos="-720"/>
      </w:tabs>
      <w:suppressAutoHyphens/>
    </w:pPr>
    <w:rPr>
      <w:rFonts w:ascii="Times Roman" w:hAnsi="Times Roman"/>
      <w:sz w:val="22"/>
    </w:rPr>
  </w:style>
  <w:style w:type="paragraph" w:customStyle="1" w:styleId="Num-DocParagraph">
    <w:name w:val="Num-Doc Paragraph"/>
    <w:basedOn w:val="BodyText"/>
    <w:rsid w:val="00CE7626"/>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CE7626"/>
    <w:rPr>
      <w:lang w:eastAsia="en-US"/>
    </w:rPr>
  </w:style>
  <w:style w:type="character" w:customStyle="1" w:styleId="ManualBodyTextChar">
    <w:name w:val="Manual Body Text Char"/>
    <w:link w:val="ManualBodyText"/>
    <w:rsid w:val="00CE7626"/>
    <w:rPr>
      <w:sz w:val="22"/>
      <w:szCs w:val="22"/>
      <w:lang w:eastAsia="fr-FR"/>
    </w:rPr>
  </w:style>
  <w:style w:type="character" w:styleId="PlaceholderText">
    <w:name w:val="Placeholder Text"/>
    <w:uiPriority w:val="99"/>
    <w:semiHidden/>
    <w:rsid w:val="00CE7626"/>
    <w:rPr>
      <w:color w:val="808080"/>
    </w:rPr>
  </w:style>
  <w:style w:type="paragraph" w:customStyle="1" w:styleId="p1">
    <w:name w:val="p1"/>
    <w:basedOn w:val="Normal"/>
    <w:rsid w:val="00BB183E"/>
    <w:pPr>
      <w:suppressAutoHyphens w:val="0"/>
      <w:spacing w:line="240" w:lineRule="auto"/>
    </w:pPr>
    <w:rPr>
      <w:sz w:val="15"/>
      <w:szCs w:val="15"/>
      <w:lang w:val="en-US"/>
    </w:rPr>
  </w:style>
  <w:style w:type="character" w:customStyle="1" w:styleId="s1">
    <w:name w:val="s1"/>
    <w:basedOn w:val="DefaultParagraphFont"/>
    <w:rsid w:val="00BB183E"/>
    <w:rPr>
      <w:rFonts w:ascii="Times New Roman" w:hAnsi="Times New Roman" w:cs="Times New Roman" w:hint="default"/>
      <w:sz w:val="9"/>
      <w:szCs w:val="9"/>
    </w:rPr>
  </w:style>
  <w:style w:type="character" w:customStyle="1" w:styleId="apple-converted-space">
    <w:name w:val="apple-converted-space"/>
    <w:basedOn w:val="DefaultParagraphFont"/>
    <w:rsid w:val="00BB183E"/>
  </w:style>
  <w:style w:type="paragraph" w:styleId="Revision">
    <w:name w:val="Revision"/>
    <w:hidden/>
    <w:uiPriority w:val="99"/>
    <w:semiHidden/>
    <w:rsid w:val="008C1A0E"/>
    <w:rPr>
      <w:lang w:val="en-GB"/>
    </w:rPr>
  </w:style>
  <w:style w:type="character" w:customStyle="1" w:styleId="xapple-tab-span">
    <w:name w:val="xapple-tab-span"/>
    <w:basedOn w:val="DefaultParagraphFont"/>
    <w:rsid w:val="007C3FFE"/>
  </w:style>
  <w:style w:type="table" w:customStyle="1" w:styleId="Tabellrutnt1">
    <w:name w:val="Tabellrutnät1"/>
    <w:basedOn w:val="TableNormal"/>
    <w:uiPriority w:val="39"/>
    <w:rsid w:val="00001582"/>
    <w:pPr>
      <w:spacing w:line="256" w:lineRule="auto"/>
    </w:pPr>
    <w:rPr>
      <w:rFonts w:ascii="Arial" w:eastAsia="Garamond" w:hAnsi="Arial"/>
      <w:sz w:val="18"/>
      <w:szCs w:val="23"/>
      <w:lang w:val="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9650">
      <w:bodyDiv w:val="1"/>
      <w:marLeft w:val="0"/>
      <w:marRight w:val="0"/>
      <w:marTop w:val="0"/>
      <w:marBottom w:val="0"/>
      <w:divBdr>
        <w:top w:val="none" w:sz="0" w:space="0" w:color="auto"/>
        <w:left w:val="none" w:sz="0" w:space="0" w:color="auto"/>
        <w:bottom w:val="none" w:sz="0" w:space="0" w:color="auto"/>
        <w:right w:val="none" w:sz="0" w:space="0" w:color="auto"/>
      </w:divBdr>
    </w:div>
    <w:div w:id="97606648">
      <w:bodyDiv w:val="1"/>
      <w:marLeft w:val="0"/>
      <w:marRight w:val="0"/>
      <w:marTop w:val="0"/>
      <w:marBottom w:val="0"/>
      <w:divBdr>
        <w:top w:val="none" w:sz="0" w:space="0" w:color="auto"/>
        <w:left w:val="none" w:sz="0" w:space="0" w:color="auto"/>
        <w:bottom w:val="none" w:sz="0" w:space="0" w:color="auto"/>
        <w:right w:val="none" w:sz="0" w:space="0" w:color="auto"/>
      </w:divBdr>
    </w:div>
    <w:div w:id="119540262">
      <w:bodyDiv w:val="1"/>
      <w:marLeft w:val="0"/>
      <w:marRight w:val="0"/>
      <w:marTop w:val="0"/>
      <w:marBottom w:val="0"/>
      <w:divBdr>
        <w:top w:val="none" w:sz="0" w:space="0" w:color="auto"/>
        <w:left w:val="none" w:sz="0" w:space="0" w:color="auto"/>
        <w:bottom w:val="none" w:sz="0" w:space="0" w:color="auto"/>
        <w:right w:val="none" w:sz="0" w:space="0" w:color="auto"/>
      </w:divBdr>
    </w:div>
    <w:div w:id="124659690">
      <w:bodyDiv w:val="1"/>
      <w:marLeft w:val="0"/>
      <w:marRight w:val="0"/>
      <w:marTop w:val="0"/>
      <w:marBottom w:val="0"/>
      <w:divBdr>
        <w:top w:val="none" w:sz="0" w:space="0" w:color="auto"/>
        <w:left w:val="none" w:sz="0" w:space="0" w:color="auto"/>
        <w:bottom w:val="none" w:sz="0" w:space="0" w:color="auto"/>
        <w:right w:val="none" w:sz="0" w:space="0" w:color="auto"/>
      </w:divBdr>
    </w:div>
    <w:div w:id="204147640">
      <w:bodyDiv w:val="1"/>
      <w:marLeft w:val="0"/>
      <w:marRight w:val="0"/>
      <w:marTop w:val="0"/>
      <w:marBottom w:val="0"/>
      <w:divBdr>
        <w:top w:val="none" w:sz="0" w:space="0" w:color="auto"/>
        <w:left w:val="none" w:sz="0" w:space="0" w:color="auto"/>
        <w:bottom w:val="none" w:sz="0" w:space="0" w:color="auto"/>
        <w:right w:val="none" w:sz="0" w:space="0" w:color="auto"/>
      </w:divBdr>
    </w:div>
    <w:div w:id="285043823">
      <w:bodyDiv w:val="1"/>
      <w:marLeft w:val="0"/>
      <w:marRight w:val="0"/>
      <w:marTop w:val="0"/>
      <w:marBottom w:val="0"/>
      <w:divBdr>
        <w:top w:val="none" w:sz="0" w:space="0" w:color="auto"/>
        <w:left w:val="none" w:sz="0" w:space="0" w:color="auto"/>
        <w:bottom w:val="none" w:sz="0" w:space="0" w:color="auto"/>
        <w:right w:val="none" w:sz="0" w:space="0" w:color="auto"/>
      </w:divBdr>
    </w:div>
    <w:div w:id="296450101">
      <w:bodyDiv w:val="1"/>
      <w:marLeft w:val="0"/>
      <w:marRight w:val="0"/>
      <w:marTop w:val="0"/>
      <w:marBottom w:val="0"/>
      <w:divBdr>
        <w:top w:val="none" w:sz="0" w:space="0" w:color="auto"/>
        <w:left w:val="none" w:sz="0" w:space="0" w:color="auto"/>
        <w:bottom w:val="none" w:sz="0" w:space="0" w:color="auto"/>
        <w:right w:val="none" w:sz="0" w:space="0" w:color="auto"/>
      </w:divBdr>
    </w:div>
    <w:div w:id="331492111">
      <w:bodyDiv w:val="1"/>
      <w:marLeft w:val="0"/>
      <w:marRight w:val="0"/>
      <w:marTop w:val="0"/>
      <w:marBottom w:val="0"/>
      <w:divBdr>
        <w:top w:val="none" w:sz="0" w:space="0" w:color="auto"/>
        <w:left w:val="none" w:sz="0" w:space="0" w:color="auto"/>
        <w:bottom w:val="none" w:sz="0" w:space="0" w:color="auto"/>
        <w:right w:val="none" w:sz="0" w:space="0" w:color="auto"/>
      </w:divBdr>
    </w:div>
    <w:div w:id="376783722">
      <w:bodyDiv w:val="1"/>
      <w:marLeft w:val="0"/>
      <w:marRight w:val="0"/>
      <w:marTop w:val="0"/>
      <w:marBottom w:val="0"/>
      <w:divBdr>
        <w:top w:val="none" w:sz="0" w:space="0" w:color="auto"/>
        <w:left w:val="none" w:sz="0" w:space="0" w:color="auto"/>
        <w:bottom w:val="none" w:sz="0" w:space="0" w:color="auto"/>
        <w:right w:val="none" w:sz="0" w:space="0" w:color="auto"/>
      </w:divBdr>
    </w:div>
    <w:div w:id="544678366">
      <w:bodyDiv w:val="1"/>
      <w:marLeft w:val="0"/>
      <w:marRight w:val="0"/>
      <w:marTop w:val="0"/>
      <w:marBottom w:val="0"/>
      <w:divBdr>
        <w:top w:val="none" w:sz="0" w:space="0" w:color="auto"/>
        <w:left w:val="none" w:sz="0" w:space="0" w:color="auto"/>
        <w:bottom w:val="none" w:sz="0" w:space="0" w:color="auto"/>
        <w:right w:val="none" w:sz="0" w:space="0" w:color="auto"/>
      </w:divBdr>
    </w:div>
    <w:div w:id="659315019">
      <w:bodyDiv w:val="1"/>
      <w:marLeft w:val="0"/>
      <w:marRight w:val="0"/>
      <w:marTop w:val="0"/>
      <w:marBottom w:val="0"/>
      <w:divBdr>
        <w:top w:val="none" w:sz="0" w:space="0" w:color="auto"/>
        <w:left w:val="none" w:sz="0" w:space="0" w:color="auto"/>
        <w:bottom w:val="none" w:sz="0" w:space="0" w:color="auto"/>
        <w:right w:val="none" w:sz="0" w:space="0" w:color="auto"/>
      </w:divBdr>
    </w:div>
    <w:div w:id="684787884">
      <w:bodyDiv w:val="1"/>
      <w:marLeft w:val="0"/>
      <w:marRight w:val="0"/>
      <w:marTop w:val="0"/>
      <w:marBottom w:val="0"/>
      <w:divBdr>
        <w:top w:val="none" w:sz="0" w:space="0" w:color="auto"/>
        <w:left w:val="none" w:sz="0" w:space="0" w:color="auto"/>
        <w:bottom w:val="none" w:sz="0" w:space="0" w:color="auto"/>
        <w:right w:val="none" w:sz="0" w:space="0" w:color="auto"/>
      </w:divBdr>
    </w:div>
    <w:div w:id="698436777">
      <w:bodyDiv w:val="1"/>
      <w:marLeft w:val="0"/>
      <w:marRight w:val="0"/>
      <w:marTop w:val="0"/>
      <w:marBottom w:val="0"/>
      <w:divBdr>
        <w:top w:val="none" w:sz="0" w:space="0" w:color="auto"/>
        <w:left w:val="none" w:sz="0" w:space="0" w:color="auto"/>
        <w:bottom w:val="none" w:sz="0" w:space="0" w:color="auto"/>
        <w:right w:val="none" w:sz="0" w:space="0" w:color="auto"/>
      </w:divBdr>
    </w:div>
    <w:div w:id="719522225">
      <w:bodyDiv w:val="1"/>
      <w:marLeft w:val="0"/>
      <w:marRight w:val="0"/>
      <w:marTop w:val="0"/>
      <w:marBottom w:val="0"/>
      <w:divBdr>
        <w:top w:val="none" w:sz="0" w:space="0" w:color="auto"/>
        <w:left w:val="none" w:sz="0" w:space="0" w:color="auto"/>
        <w:bottom w:val="none" w:sz="0" w:space="0" w:color="auto"/>
        <w:right w:val="none" w:sz="0" w:space="0" w:color="auto"/>
      </w:divBdr>
    </w:div>
    <w:div w:id="736904757">
      <w:bodyDiv w:val="1"/>
      <w:marLeft w:val="0"/>
      <w:marRight w:val="0"/>
      <w:marTop w:val="0"/>
      <w:marBottom w:val="0"/>
      <w:divBdr>
        <w:top w:val="none" w:sz="0" w:space="0" w:color="auto"/>
        <w:left w:val="none" w:sz="0" w:space="0" w:color="auto"/>
        <w:bottom w:val="none" w:sz="0" w:space="0" w:color="auto"/>
        <w:right w:val="none" w:sz="0" w:space="0" w:color="auto"/>
      </w:divBdr>
      <w:divsChild>
        <w:div w:id="1222206940">
          <w:marLeft w:val="0"/>
          <w:marRight w:val="0"/>
          <w:marTop w:val="0"/>
          <w:marBottom w:val="0"/>
          <w:divBdr>
            <w:top w:val="none" w:sz="0" w:space="0" w:color="auto"/>
            <w:left w:val="none" w:sz="0" w:space="0" w:color="auto"/>
            <w:bottom w:val="none" w:sz="0" w:space="0" w:color="auto"/>
            <w:right w:val="none" w:sz="0" w:space="0" w:color="auto"/>
          </w:divBdr>
        </w:div>
        <w:div w:id="1345784708">
          <w:marLeft w:val="0"/>
          <w:marRight w:val="0"/>
          <w:marTop w:val="0"/>
          <w:marBottom w:val="0"/>
          <w:divBdr>
            <w:top w:val="none" w:sz="0" w:space="0" w:color="auto"/>
            <w:left w:val="none" w:sz="0" w:space="0" w:color="auto"/>
            <w:bottom w:val="none" w:sz="0" w:space="0" w:color="auto"/>
            <w:right w:val="none" w:sz="0" w:space="0" w:color="auto"/>
          </w:divBdr>
        </w:div>
        <w:div w:id="1671253006">
          <w:marLeft w:val="0"/>
          <w:marRight w:val="0"/>
          <w:marTop w:val="0"/>
          <w:marBottom w:val="0"/>
          <w:divBdr>
            <w:top w:val="none" w:sz="0" w:space="0" w:color="auto"/>
            <w:left w:val="none" w:sz="0" w:space="0" w:color="auto"/>
            <w:bottom w:val="none" w:sz="0" w:space="0" w:color="auto"/>
            <w:right w:val="none" w:sz="0" w:space="0" w:color="auto"/>
          </w:divBdr>
        </w:div>
        <w:div w:id="1479375662">
          <w:marLeft w:val="0"/>
          <w:marRight w:val="0"/>
          <w:marTop w:val="0"/>
          <w:marBottom w:val="0"/>
          <w:divBdr>
            <w:top w:val="none" w:sz="0" w:space="0" w:color="auto"/>
            <w:left w:val="none" w:sz="0" w:space="0" w:color="auto"/>
            <w:bottom w:val="none" w:sz="0" w:space="0" w:color="auto"/>
            <w:right w:val="none" w:sz="0" w:space="0" w:color="auto"/>
          </w:divBdr>
        </w:div>
        <w:div w:id="1032074588">
          <w:marLeft w:val="0"/>
          <w:marRight w:val="0"/>
          <w:marTop w:val="0"/>
          <w:marBottom w:val="0"/>
          <w:divBdr>
            <w:top w:val="none" w:sz="0" w:space="0" w:color="auto"/>
            <w:left w:val="none" w:sz="0" w:space="0" w:color="auto"/>
            <w:bottom w:val="none" w:sz="0" w:space="0" w:color="auto"/>
            <w:right w:val="none" w:sz="0" w:space="0" w:color="auto"/>
          </w:divBdr>
        </w:div>
      </w:divsChild>
    </w:div>
    <w:div w:id="860894681">
      <w:bodyDiv w:val="1"/>
      <w:marLeft w:val="0"/>
      <w:marRight w:val="0"/>
      <w:marTop w:val="0"/>
      <w:marBottom w:val="0"/>
      <w:divBdr>
        <w:top w:val="none" w:sz="0" w:space="0" w:color="auto"/>
        <w:left w:val="none" w:sz="0" w:space="0" w:color="auto"/>
        <w:bottom w:val="none" w:sz="0" w:space="0" w:color="auto"/>
        <w:right w:val="none" w:sz="0" w:space="0" w:color="auto"/>
      </w:divBdr>
    </w:div>
    <w:div w:id="933980335">
      <w:bodyDiv w:val="1"/>
      <w:marLeft w:val="0"/>
      <w:marRight w:val="0"/>
      <w:marTop w:val="0"/>
      <w:marBottom w:val="0"/>
      <w:divBdr>
        <w:top w:val="none" w:sz="0" w:space="0" w:color="auto"/>
        <w:left w:val="none" w:sz="0" w:space="0" w:color="auto"/>
        <w:bottom w:val="none" w:sz="0" w:space="0" w:color="auto"/>
        <w:right w:val="none" w:sz="0" w:space="0" w:color="auto"/>
      </w:divBdr>
    </w:div>
    <w:div w:id="1005403268">
      <w:bodyDiv w:val="1"/>
      <w:marLeft w:val="0"/>
      <w:marRight w:val="0"/>
      <w:marTop w:val="0"/>
      <w:marBottom w:val="0"/>
      <w:divBdr>
        <w:top w:val="none" w:sz="0" w:space="0" w:color="auto"/>
        <w:left w:val="none" w:sz="0" w:space="0" w:color="auto"/>
        <w:bottom w:val="none" w:sz="0" w:space="0" w:color="auto"/>
        <w:right w:val="none" w:sz="0" w:space="0" w:color="auto"/>
      </w:divBdr>
    </w:div>
    <w:div w:id="1164710557">
      <w:bodyDiv w:val="1"/>
      <w:marLeft w:val="0"/>
      <w:marRight w:val="0"/>
      <w:marTop w:val="0"/>
      <w:marBottom w:val="0"/>
      <w:divBdr>
        <w:top w:val="none" w:sz="0" w:space="0" w:color="auto"/>
        <w:left w:val="none" w:sz="0" w:space="0" w:color="auto"/>
        <w:bottom w:val="none" w:sz="0" w:space="0" w:color="auto"/>
        <w:right w:val="none" w:sz="0" w:space="0" w:color="auto"/>
      </w:divBdr>
    </w:div>
    <w:div w:id="1207719102">
      <w:bodyDiv w:val="1"/>
      <w:marLeft w:val="0"/>
      <w:marRight w:val="0"/>
      <w:marTop w:val="0"/>
      <w:marBottom w:val="0"/>
      <w:divBdr>
        <w:top w:val="none" w:sz="0" w:space="0" w:color="auto"/>
        <w:left w:val="none" w:sz="0" w:space="0" w:color="auto"/>
        <w:bottom w:val="none" w:sz="0" w:space="0" w:color="auto"/>
        <w:right w:val="none" w:sz="0" w:space="0" w:color="auto"/>
      </w:divBdr>
    </w:div>
    <w:div w:id="1403017436">
      <w:bodyDiv w:val="1"/>
      <w:marLeft w:val="0"/>
      <w:marRight w:val="0"/>
      <w:marTop w:val="0"/>
      <w:marBottom w:val="0"/>
      <w:divBdr>
        <w:top w:val="none" w:sz="0" w:space="0" w:color="auto"/>
        <w:left w:val="none" w:sz="0" w:space="0" w:color="auto"/>
        <w:bottom w:val="none" w:sz="0" w:space="0" w:color="auto"/>
        <w:right w:val="none" w:sz="0" w:space="0" w:color="auto"/>
      </w:divBdr>
    </w:div>
    <w:div w:id="1414006323">
      <w:bodyDiv w:val="1"/>
      <w:marLeft w:val="0"/>
      <w:marRight w:val="0"/>
      <w:marTop w:val="0"/>
      <w:marBottom w:val="0"/>
      <w:divBdr>
        <w:top w:val="none" w:sz="0" w:space="0" w:color="auto"/>
        <w:left w:val="none" w:sz="0" w:space="0" w:color="auto"/>
        <w:bottom w:val="none" w:sz="0" w:space="0" w:color="auto"/>
        <w:right w:val="none" w:sz="0" w:space="0" w:color="auto"/>
      </w:divBdr>
    </w:div>
    <w:div w:id="1421488237">
      <w:bodyDiv w:val="1"/>
      <w:marLeft w:val="0"/>
      <w:marRight w:val="0"/>
      <w:marTop w:val="0"/>
      <w:marBottom w:val="0"/>
      <w:divBdr>
        <w:top w:val="none" w:sz="0" w:space="0" w:color="auto"/>
        <w:left w:val="none" w:sz="0" w:space="0" w:color="auto"/>
        <w:bottom w:val="none" w:sz="0" w:space="0" w:color="auto"/>
        <w:right w:val="none" w:sz="0" w:space="0" w:color="auto"/>
      </w:divBdr>
    </w:div>
    <w:div w:id="1425103111">
      <w:bodyDiv w:val="1"/>
      <w:marLeft w:val="0"/>
      <w:marRight w:val="0"/>
      <w:marTop w:val="0"/>
      <w:marBottom w:val="0"/>
      <w:divBdr>
        <w:top w:val="none" w:sz="0" w:space="0" w:color="auto"/>
        <w:left w:val="none" w:sz="0" w:space="0" w:color="auto"/>
        <w:bottom w:val="none" w:sz="0" w:space="0" w:color="auto"/>
        <w:right w:val="none" w:sz="0" w:space="0" w:color="auto"/>
      </w:divBdr>
    </w:div>
    <w:div w:id="1498418724">
      <w:bodyDiv w:val="1"/>
      <w:marLeft w:val="0"/>
      <w:marRight w:val="0"/>
      <w:marTop w:val="0"/>
      <w:marBottom w:val="0"/>
      <w:divBdr>
        <w:top w:val="none" w:sz="0" w:space="0" w:color="auto"/>
        <w:left w:val="none" w:sz="0" w:space="0" w:color="auto"/>
        <w:bottom w:val="none" w:sz="0" w:space="0" w:color="auto"/>
        <w:right w:val="none" w:sz="0" w:space="0" w:color="auto"/>
      </w:divBdr>
      <w:divsChild>
        <w:div w:id="896428198">
          <w:marLeft w:val="0"/>
          <w:marRight w:val="0"/>
          <w:marTop w:val="0"/>
          <w:marBottom w:val="0"/>
          <w:divBdr>
            <w:top w:val="none" w:sz="0" w:space="0" w:color="auto"/>
            <w:left w:val="none" w:sz="0" w:space="0" w:color="auto"/>
            <w:bottom w:val="none" w:sz="0" w:space="0" w:color="auto"/>
            <w:right w:val="none" w:sz="0" w:space="0" w:color="auto"/>
          </w:divBdr>
          <w:divsChild>
            <w:div w:id="1607694085">
              <w:marLeft w:val="0"/>
              <w:marRight w:val="0"/>
              <w:marTop w:val="0"/>
              <w:marBottom w:val="0"/>
              <w:divBdr>
                <w:top w:val="none" w:sz="0" w:space="0" w:color="auto"/>
                <w:left w:val="none" w:sz="0" w:space="0" w:color="auto"/>
                <w:bottom w:val="none" w:sz="0" w:space="0" w:color="auto"/>
                <w:right w:val="none" w:sz="0" w:space="0" w:color="auto"/>
              </w:divBdr>
              <w:divsChild>
                <w:div w:id="155905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10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14">
          <w:marLeft w:val="0"/>
          <w:marRight w:val="0"/>
          <w:marTop w:val="0"/>
          <w:marBottom w:val="0"/>
          <w:divBdr>
            <w:top w:val="none" w:sz="0" w:space="0" w:color="auto"/>
            <w:left w:val="none" w:sz="0" w:space="0" w:color="auto"/>
            <w:bottom w:val="none" w:sz="0" w:space="0" w:color="auto"/>
            <w:right w:val="none" w:sz="0" w:space="0" w:color="auto"/>
          </w:divBdr>
          <w:divsChild>
            <w:div w:id="368191181">
              <w:marLeft w:val="0"/>
              <w:marRight w:val="0"/>
              <w:marTop w:val="0"/>
              <w:marBottom w:val="0"/>
              <w:divBdr>
                <w:top w:val="none" w:sz="0" w:space="0" w:color="auto"/>
                <w:left w:val="none" w:sz="0" w:space="0" w:color="auto"/>
                <w:bottom w:val="none" w:sz="0" w:space="0" w:color="auto"/>
                <w:right w:val="none" w:sz="0" w:space="0" w:color="auto"/>
              </w:divBdr>
            </w:div>
          </w:divsChild>
        </w:div>
        <w:div w:id="1762986641">
          <w:marLeft w:val="0"/>
          <w:marRight w:val="0"/>
          <w:marTop w:val="0"/>
          <w:marBottom w:val="0"/>
          <w:divBdr>
            <w:top w:val="none" w:sz="0" w:space="0" w:color="auto"/>
            <w:left w:val="none" w:sz="0" w:space="0" w:color="auto"/>
            <w:bottom w:val="none" w:sz="0" w:space="0" w:color="auto"/>
            <w:right w:val="none" w:sz="0" w:space="0" w:color="auto"/>
          </w:divBdr>
          <w:divsChild>
            <w:div w:id="576284478">
              <w:marLeft w:val="0"/>
              <w:marRight w:val="0"/>
              <w:marTop w:val="0"/>
              <w:marBottom w:val="0"/>
              <w:divBdr>
                <w:top w:val="none" w:sz="0" w:space="0" w:color="auto"/>
                <w:left w:val="none" w:sz="0" w:space="0" w:color="auto"/>
                <w:bottom w:val="none" w:sz="0" w:space="0" w:color="auto"/>
                <w:right w:val="none" w:sz="0" w:space="0" w:color="auto"/>
              </w:divBdr>
            </w:div>
          </w:divsChild>
        </w:div>
        <w:div w:id="2113891076">
          <w:marLeft w:val="0"/>
          <w:marRight w:val="0"/>
          <w:marTop w:val="0"/>
          <w:marBottom w:val="0"/>
          <w:divBdr>
            <w:top w:val="none" w:sz="0" w:space="0" w:color="auto"/>
            <w:left w:val="none" w:sz="0" w:space="0" w:color="auto"/>
            <w:bottom w:val="none" w:sz="0" w:space="0" w:color="auto"/>
            <w:right w:val="none" w:sz="0" w:space="0" w:color="auto"/>
          </w:divBdr>
          <w:divsChild>
            <w:div w:id="1965960452">
              <w:marLeft w:val="0"/>
              <w:marRight w:val="0"/>
              <w:marTop w:val="0"/>
              <w:marBottom w:val="0"/>
              <w:divBdr>
                <w:top w:val="none" w:sz="0" w:space="0" w:color="auto"/>
                <w:left w:val="none" w:sz="0" w:space="0" w:color="auto"/>
                <w:bottom w:val="none" w:sz="0" w:space="0" w:color="auto"/>
                <w:right w:val="none" w:sz="0" w:space="0" w:color="auto"/>
              </w:divBdr>
            </w:div>
          </w:divsChild>
        </w:div>
        <w:div w:id="1383603835">
          <w:marLeft w:val="0"/>
          <w:marRight w:val="0"/>
          <w:marTop w:val="0"/>
          <w:marBottom w:val="0"/>
          <w:divBdr>
            <w:top w:val="none" w:sz="0" w:space="0" w:color="auto"/>
            <w:left w:val="none" w:sz="0" w:space="0" w:color="auto"/>
            <w:bottom w:val="none" w:sz="0" w:space="0" w:color="auto"/>
            <w:right w:val="none" w:sz="0" w:space="0" w:color="auto"/>
          </w:divBdr>
          <w:divsChild>
            <w:div w:id="256405931">
              <w:marLeft w:val="0"/>
              <w:marRight w:val="0"/>
              <w:marTop w:val="0"/>
              <w:marBottom w:val="0"/>
              <w:divBdr>
                <w:top w:val="none" w:sz="0" w:space="0" w:color="auto"/>
                <w:left w:val="none" w:sz="0" w:space="0" w:color="auto"/>
                <w:bottom w:val="none" w:sz="0" w:space="0" w:color="auto"/>
                <w:right w:val="none" w:sz="0" w:space="0" w:color="auto"/>
              </w:divBdr>
            </w:div>
          </w:divsChild>
        </w:div>
        <w:div w:id="1905214321">
          <w:marLeft w:val="0"/>
          <w:marRight w:val="0"/>
          <w:marTop w:val="0"/>
          <w:marBottom w:val="0"/>
          <w:divBdr>
            <w:top w:val="none" w:sz="0" w:space="0" w:color="auto"/>
            <w:left w:val="none" w:sz="0" w:space="0" w:color="auto"/>
            <w:bottom w:val="none" w:sz="0" w:space="0" w:color="auto"/>
            <w:right w:val="none" w:sz="0" w:space="0" w:color="auto"/>
          </w:divBdr>
          <w:divsChild>
            <w:div w:id="2024284545">
              <w:marLeft w:val="0"/>
              <w:marRight w:val="0"/>
              <w:marTop w:val="0"/>
              <w:marBottom w:val="0"/>
              <w:divBdr>
                <w:top w:val="none" w:sz="0" w:space="0" w:color="auto"/>
                <w:left w:val="none" w:sz="0" w:space="0" w:color="auto"/>
                <w:bottom w:val="none" w:sz="0" w:space="0" w:color="auto"/>
                <w:right w:val="none" w:sz="0" w:space="0" w:color="auto"/>
              </w:divBdr>
            </w:div>
          </w:divsChild>
        </w:div>
        <w:div w:id="1777168378">
          <w:marLeft w:val="0"/>
          <w:marRight w:val="0"/>
          <w:marTop w:val="0"/>
          <w:marBottom w:val="0"/>
          <w:divBdr>
            <w:top w:val="none" w:sz="0" w:space="0" w:color="auto"/>
            <w:left w:val="none" w:sz="0" w:space="0" w:color="auto"/>
            <w:bottom w:val="none" w:sz="0" w:space="0" w:color="auto"/>
            <w:right w:val="none" w:sz="0" w:space="0" w:color="auto"/>
          </w:divBdr>
          <w:divsChild>
            <w:div w:id="1378116441">
              <w:marLeft w:val="0"/>
              <w:marRight w:val="0"/>
              <w:marTop w:val="0"/>
              <w:marBottom w:val="0"/>
              <w:divBdr>
                <w:top w:val="none" w:sz="0" w:space="0" w:color="auto"/>
                <w:left w:val="none" w:sz="0" w:space="0" w:color="auto"/>
                <w:bottom w:val="none" w:sz="0" w:space="0" w:color="auto"/>
                <w:right w:val="none" w:sz="0" w:space="0" w:color="auto"/>
              </w:divBdr>
            </w:div>
          </w:divsChild>
        </w:div>
        <w:div w:id="704788492">
          <w:marLeft w:val="0"/>
          <w:marRight w:val="0"/>
          <w:marTop w:val="0"/>
          <w:marBottom w:val="0"/>
          <w:divBdr>
            <w:top w:val="none" w:sz="0" w:space="0" w:color="auto"/>
            <w:left w:val="none" w:sz="0" w:space="0" w:color="auto"/>
            <w:bottom w:val="none" w:sz="0" w:space="0" w:color="auto"/>
            <w:right w:val="none" w:sz="0" w:space="0" w:color="auto"/>
          </w:divBdr>
          <w:divsChild>
            <w:div w:id="2093115727">
              <w:marLeft w:val="0"/>
              <w:marRight w:val="0"/>
              <w:marTop w:val="0"/>
              <w:marBottom w:val="0"/>
              <w:divBdr>
                <w:top w:val="none" w:sz="0" w:space="0" w:color="auto"/>
                <w:left w:val="none" w:sz="0" w:space="0" w:color="auto"/>
                <w:bottom w:val="none" w:sz="0" w:space="0" w:color="auto"/>
                <w:right w:val="none" w:sz="0" w:space="0" w:color="auto"/>
              </w:divBdr>
            </w:div>
          </w:divsChild>
        </w:div>
        <w:div w:id="700202159">
          <w:marLeft w:val="0"/>
          <w:marRight w:val="0"/>
          <w:marTop w:val="0"/>
          <w:marBottom w:val="0"/>
          <w:divBdr>
            <w:top w:val="none" w:sz="0" w:space="0" w:color="auto"/>
            <w:left w:val="none" w:sz="0" w:space="0" w:color="auto"/>
            <w:bottom w:val="none" w:sz="0" w:space="0" w:color="auto"/>
            <w:right w:val="none" w:sz="0" w:space="0" w:color="auto"/>
          </w:divBdr>
          <w:divsChild>
            <w:div w:id="1265844576">
              <w:marLeft w:val="0"/>
              <w:marRight w:val="0"/>
              <w:marTop w:val="0"/>
              <w:marBottom w:val="0"/>
              <w:divBdr>
                <w:top w:val="none" w:sz="0" w:space="0" w:color="auto"/>
                <w:left w:val="none" w:sz="0" w:space="0" w:color="auto"/>
                <w:bottom w:val="none" w:sz="0" w:space="0" w:color="auto"/>
                <w:right w:val="none" w:sz="0" w:space="0" w:color="auto"/>
              </w:divBdr>
            </w:div>
          </w:divsChild>
        </w:div>
        <w:div w:id="67653693">
          <w:marLeft w:val="0"/>
          <w:marRight w:val="0"/>
          <w:marTop w:val="0"/>
          <w:marBottom w:val="0"/>
          <w:divBdr>
            <w:top w:val="none" w:sz="0" w:space="0" w:color="auto"/>
            <w:left w:val="none" w:sz="0" w:space="0" w:color="auto"/>
            <w:bottom w:val="none" w:sz="0" w:space="0" w:color="auto"/>
            <w:right w:val="none" w:sz="0" w:space="0" w:color="auto"/>
          </w:divBdr>
          <w:divsChild>
            <w:div w:id="30902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37930">
      <w:bodyDiv w:val="1"/>
      <w:marLeft w:val="0"/>
      <w:marRight w:val="0"/>
      <w:marTop w:val="0"/>
      <w:marBottom w:val="0"/>
      <w:divBdr>
        <w:top w:val="none" w:sz="0" w:space="0" w:color="auto"/>
        <w:left w:val="none" w:sz="0" w:space="0" w:color="auto"/>
        <w:bottom w:val="none" w:sz="0" w:space="0" w:color="auto"/>
        <w:right w:val="none" w:sz="0" w:space="0" w:color="auto"/>
      </w:divBdr>
    </w:div>
    <w:div w:id="1676573231">
      <w:bodyDiv w:val="1"/>
      <w:marLeft w:val="0"/>
      <w:marRight w:val="0"/>
      <w:marTop w:val="0"/>
      <w:marBottom w:val="0"/>
      <w:divBdr>
        <w:top w:val="none" w:sz="0" w:space="0" w:color="auto"/>
        <w:left w:val="none" w:sz="0" w:space="0" w:color="auto"/>
        <w:bottom w:val="none" w:sz="0" w:space="0" w:color="auto"/>
        <w:right w:val="none" w:sz="0" w:space="0" w:color="auto"/>
      </w:divBdr>
    </w:div>
    <w:div w:id="1729255354">
      <w:bodyDiv w:val="1"/>
      <w:marLeft w:val="0"/>
      <w:marRight w:val="0"/>
      <w:marTop w:val="0"/>
      <w:marBottom w:val="0"/>
      <w:divBdr>
        <w:top w:val="none" w:sz="0" w:space="0" w:color="auto"/>
        <w:left w:val="none" w:sz="0" w:space="0" w:color="auto"/>
        <w:bottom w:val="none" w:sz="0" w:space="0" w:color="auto"/>
        <w:right w:val="none" w:sz="0" w:space="0" w:color="auto"/>
      </w:divBdr>
    </w:div>
    <w:div w:id="212326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21185-B784-4D2F-9D55-534C679F622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463D2C-9CFF-4D76-9BB7-6A3CEA907432}">
  <ds:schemaRefs>
    <ds:schemaRef ds:uri="http://schemas.microsoft.com/sharepoint/v3/contenttype/forms"/>
  </ds:schemaRefs>
</ds:datastoreItem>
</file>

<file path=customXml/itemProps3.xml><?xml version="1.0" encoding="utf-8"?>
<ds:datastoreItem xmlns:ds="http://schemas.openxmlformats.org/officeDocument/2006/customXml" ds:itemID="{FD908F9C-964B-4196-8E91-3EC015567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BCEE0-D85B-4025-9F81-79DFB185E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6</Pages>
  <Words>4738</Words>
  <Characters>26156</Characters>
  <Application>Microsoft Office Word</Application>
  <DocSecurity>0</DocSecurity>
  <Lines>568</Lines>
  <Paragraphs>280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30614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rfoster</dc:creator>
  <cp:keywords/>
  <dc:description/>
  <cp:lastModifiedBy>Laurence Berthet</cp:lastModifiedBy>
  <cp:revision>2</cp:revision>
  <cp:lastPrinted>2020-12-01T09:29:00Z</cp:lastPrinted>
  <dcterms:created xsi:type="dcterms:W3CDTF">2020-12-01T10:33:00Z</dcterms:created>
  <dcterms:modified xsi:type="dcterms:W3CDTF">2020-12-01T10:33:00Z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