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F3948" w:rsidRPr="0099001C" w14:paraId="708F361A" w14:textId="77777777" w:rsidTr="00A94067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112FC46D" w14:textId="77777777" w:rsidR="009F3948" w:rsidRPr="0099001C" w:rsidRDefault="009F3948" w:rsidP="00A94067">
            <w:pPr>
              <w:jc w:val="right"/>
              <w:rPr>
                <w:b/>
                <w:sz w:val="40"/>
                <w:szCs w:val="40"/>
              </w:rPr>
            </w:pPr>
            <w:r w:rsidRPr="0099001C">
              <w:rPr>
                <w:b/>
                <w:sz w:val="40"/>
                <w:szCs w:val="40"/>
              </w:rPr>
              <w:t>UN/SCEGHS/</w:t>
            </w:r>
            <w:r>
              <w:rPr>
                <w:b/>
                <w:sz w:val="40"/>
                <w:szCs w:val="40"/>
              </w:rPr>
              <w:t>39</w:t>
            </w:r>
            <w:r w:rsidRPr="0099001C">
              <w:rPr>
                <w:b/>
                <w:sz w:val="40"/>
                <w:szCs w:val="40"/>
              </w:rPr>
              <w:t>/INF.</w:t>
            </w:r>
            <w:r w:rsidR="007805A6">
              <w:rPr>
                <w:b/>
                <w:sz w:val="40"/>
                <w:szCs w:val="40"/>
              </w:rPr>
              <w:t>32</w:t>
            </w:r>
          </w:p>
        </w:tc>
      </w:tr>
      <w:tr w:rsidR="009F3948" w14:paraId="40E4CA88" w14:textId="77777777" w:rsidTr="00F559EE">
        <w:trPr>
          <w:cantSplit/>
          <w:trHeight w:hRule="exact" w:val="2846"/>
        </w:trPr>
        <w:tc>
          <w:tcPr>
            <w:tcW w:w="9639" w:type="dxa"/>
            <w:tcBorders>
              <w:top w:val="single" w:sz="4" w:space="0" w:color="auto"/>
            </w:tcBorders>
          </w:tcPr>
          <w:p w14:paraId="411B7F9A" w14:textId="77777777" w:rsidR="009F3948" w:rsidRPr="00691F20" w:rsidRDefault="009F3948" w:rsidP="00A94067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691F20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691F20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691F20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56FB1009" w14:textId="0DC70065" w:rsidR="009F3948" w:rsidRPr="009F0F06" w:rsidRDefault="009F3948" w:rsidP="00A94067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691F20">
              <w:rPr>
                <w:b/>
                <w:lang w:val="en-US"/>
              </w:rPr>
              <w:t>Sub-Committee of Experts on the Globally Harmonized</w:t>
            </w:r>
            <w:r w:rsidRPr="00691F20">
              <w:rPr>
                <w:b/>
                <w:lang w:val="en-US"/>
              </w:rPr>
              <w:br/>
              <w:t>System of Classification and Labelling of Chemicals</w:t>
            </w:r>
            <w:r>
              <w:rPr>
                <w:b/>
                <w:lang w:val="en-US"/>
              </w:rPr>
              <w:tab/>
            </w:r>
            <w:r w:rsidR="00F559EE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 xml:space="preserve"> </w:t>
            </w:r>
            <w:r w:rsidR="000F63DE">
              <w:rPr>
                <w:b/>
                <w:lang w:val="en-US"/>
              </w:rPr>
              <w:t>December</w:t>
            </w:r>
            <w:r>
              <w:rPr>
                <w:b/>
                <w:lang w:val="en-US"/>
              </w:rPr>
              <w:t xml:space="preserve"> 2020</w:t>
            </w:r>
          </w:p>
          <w:p w14:paraId="78A301FB" w14:textId="77777777" w:rsidR="009F3948" w:rsidRPr="006E39A4" w:rsidRDefault="009F3948" w:rsidP="00A94067">
            <w:pPr>
              <w:spacing w:before="120"/>
              <w:rPr>
                <w:b/>
              </w:rPr>
            </w:pPr>
            <w:r>
              <w:rPr>
                <w:b/>
              </w:rPr>
              <w:t>Thirty-ninth</w:t>
            </w:r>
            <w:r w:rsidRPr="006E39A4">
              <w:rPr>
                <w:b/>
              </w:rPr>
              <w:t xml:space="preserve"> session</w:t>
            </w:r>
          </w:p>
          <w:p w14:paraId="208FFCC9" w14:textId="20666C99" w:rsidR="009F3948" w:rsidRPr="006E39A4" w:rsidRDefault="009F3948" w:rsidP="00A94067">
            <w:r w:rsidRPr="006E39A4">
              <w:t xml:space="preserve">Geneva, </w:t>
            </w:r>
            <w:r>
              <w:t>9</w:t>
            </w:r>
            <w:r w:rsidR="00F559EE">
              <w:t>-</w:t>
            </w:r>
            <w:r>
              <w:t>11 December 2020</w:t>
            </w:r>
          </w:p>
          <w:p w14:paraId="4EE17593" w14:textId="1FD34220" w:rsidR="009F3948" w:rsidRDefault="009F3948" w:rsidP="00A94067">
            <w:r w:rsidRPr="006E39A4">
              <w:t xml:space="preserve">Item </w:t>
            </w:r>
            <w:r>
              <w:t xml:space="preserve">3 </w:t>
            </w:r>
            <w:r w:rsidR="004B6A90">
              <w:t xml:space="preserve">(f) </w:t>
            </w:r>
            <w:r w:rsidRPr="006E39A4">
              <w:t>of the provisional agenda</w:t>
            </w:r>
          </w:p>
          <w:p w14:paraId="3A6857FA" w14:textId="1CD42BE5" w:rsidR="009F3948" w:rsidRDefault="009F3948" w:rsidP="00A94067">
            <w:pPr>
              <w:rPr>
                <w:b/>
              </w:rPr>
            </w:pPr>
            <w:r>
              <w:rPr>
                <w:b/>
              </w:rPr>
              <w:t xml:space="preserve">Classification </w:t>
            </w:r>
            <w:r w:rsidR="00557F96">
              <w:rPr>
                <w:b/>
              </w:rPr>
              <w:t>c</w:t>
            </w:r>
            <w:r>
              <w:rPr>
                <w:b/>
              </w:rPr>
              <w:t xml:space="preserve">riteria and </w:t>
            </w:r>
            <w:r w:rsidR="00557F96">
              <w:rPr>
                <w:b/>
              </w:rPr>
              <w:t>r</w:t>
            </w:r>
            <w:r>
              <w:rPr>
                <w:b/>
              </w:rPr>
              <w:t xml:space="preserve">elated </w:t>
            </w:r>
            <w:r w:rsidR="00557F96">
              <w:rPr>
                <w:b/>
              </w:rPr>
              <w:t>h</w:t>
            </w:r>
            <w:r>
              <w:rPr>
                <w:b/>
              </w:rPr>
              <w:t xml:space="preserve">azard </w:t>
            </w:r>
            <w:r w:rsidR="00557F96">
              <w:rPr>
                <w:b/>
              </w:rPr>
              <w:t>c</w:t>
            </w:r>
            <w:r>
              <w:rPr>
                <w:b/>
              </w:rPr>
              <w:t>ommunication</w:t>
            </w:r>
            <w:r w:rsidR="00557F96">
              <w:rPr>
                <w:b/>
              </w:rPr>
              <w:t>:</w:t>
            </w:r>
          </w:p>
          <w:p w14:paraId="12A4B6C7" w14:textId="0168A4AD" w:rsidR="00557F96" w:rsidRPr="009E7ABD" w:rsidRDefault="00557F96" w:rsidP="00A94067">
            <w:pPr>
              <w:rPr>
                <w:b/>
              </w:rPr>
            </w:pPr>
            <w:r>
              <w:rPr>
                <w:b/>
              </w:rPr>
              <w:t>Practical classification issues</w:t>
            </w:r>
          </w:p>
          <w:p w14:paraId="5003E7EA" w14:textId="77777777" w:rsidR="009F3948" w:rsidRDefault="009F3948" w:rsidP="00A94067">
            <w:pPr>
              <w:spacing w:line="240" w:lineRule="exact"/>
            </w:pPr>
          </w:p>
        </w:tc>
      </w:tr>
    </w:tbl>
    <w:p w14:paraId="243AAB09" w14:textId="77777777" w:rsidR="009F3948" w:rsidRPr="00F66549" w:rsidRDefault="009F3948" w:rsidP="009F3948">
      <w:pPr>
        <w:pStyle w:val="HChG"/>
        <w:rPr>
          <w:rFonts w:eastAsia="MS Mincho"/>
        </w:rPr>
      </w:pPr>
      <w:r w:rsidRPr="00F66549">
        <w:rPr>
          <w:rFonts w:eastAsia="MS Mincho"/>
        </w:rPr>
        <w:tab/>
      </w:r>
      <w:r w:rsidRPr="00F66549">
        <w:rPr>
          <w:rFonts w:eastAsia="MS Mincho"/>
        </w:rPr>
        <w:tab/>
        <w:t xml:space="preserve">Proposal </w:t>
      </w:r>
      <w:r>
        <w:rPr>
          <w:rFonts w:eastAsia="MS Mincho"/>
        </w:rPr>
        <w:t>to address issues from the programme of work for the</w:t>
      </w:r>
      <w:r w:rsidRPr="00F66549">
        <w:rPr>
          <w:rFonts w:eastAsia="MS Mincho"/>
        </w:rPr>
        <w:t xml:space="preserve"> </w:t>
      </w:r>
      <w:r>
        <w:rPr>
          <w:rFonts w:eastAsia="MS Mincho"/>
        </w:rPr>
        <w:t>p</w:t>
      </w:r>
      <w:r w:rsidRPr="00F66549">
        <w:rPr>
          <w:rFonts w:eastAsia="MS Mincho"/>
        </w:rPr>
        <w:t xml:space="preserve">ractical </w:t>
      </w:r>
      <w:r>
        <w:rPr>
          <w:rFonts w:eastAsia="MS Mincho"/>
        </w:rPr>
        <w:t>c</w:t>
      </w:r>
      <w:r w:rsidRPr="00F66549">
        <w:rPr>
          <w:rFonts w:eastAsia="MS Mincho"/>
        </w:rPr>
        <w:t xml:space="preserve">lassification </w:t>
      </w:r>
      <w:r>
        <w:rPr>
          <w:rFonts w:eastAsia="MS Mincho"/>
        </w:rPr>
        <w:t>i</w:t>
      </w:r>
      <w:r w:rsidRPr="00F66549">
        <w:rPr>
          <w:rFonts w:eastAsia="MS Mincho"/>
        </w:rPr>
        <w:t>ssues</w:t>
      </w:r>
      <w:r>
        <w:rPr>
          <w:rFonts w:eastAsia="MS Mincho"/>
        </w:rPr>
        <w:t xml:space="preserve"> correspondence group</w:t>
      </w:r>
    </w:p>
    <w:p w14:paraId="79C033C2" w14:textId="77777777" w:rsidR="009F3948" w:rsidRPr="00DC3242" w:rsidRDefault="009F3948" w:rsidP="009F3948">
      <w:pPr>
        <w:pStyle w:val="H1G"/>
        <w:rPr>
          <w:rFonts w:eastAsia="MS Mincho"/>
          <w:highlight w:val="yellow"/>
        </w:rPr>
      </w:pPr>
      <w:r w:rsidRPr="00F66549">
        <w:rPr>
          <w:rFonts w:eastAsia="MS Mincho"/>
        </w:rPr>
        <w:tab/>
      </w:r>
      <w:r w:rsidRPr="00F66549">
        <w:rPr>
          <w:rFonts w:eastAsia="MS Mincho"/>
        </w:rPr>
        <w:tab/>
      </w:r>
      <w:r>
        <w:rPr>
          <w:rFonts w:eastAsia="MS Mincho"/>
        </w:rPr>
        <w:t>Transmitted by the expert from the United States of America on behalf of the informal correspondence group</w:t>
      </w:r>
    </w:p>
    <w:p w14:paraId="5D8EA238" w14:textId="77777777" w:rsidR="009F3948" w:rsidRPr="0085278F" w:rsidRDefault="009F3948" w:rsidP="009F3948">
      <w:pPr>
        <w:pStyle w:val="HChG"/>
        <w:rPr>
          <w:sz w:val="24"/>
          <w:szCs w:val="24"/>
        </w:rPr>
      </w:pPr>
      <w:r>
        <w:tab/>
      </w:r>
      <w:r>
        <w:tab/>
      </w:r>
      <w:r w:rsidRPr="0085278F">
        <w:rPr>
          <w:sz w:val="24"/>
          <w:szCs w:val="24"/>
        </w:rPr>
        <w:t>Purpose</w:t>
      </w:r>
    </w:p>
    <w:p w14:paraId="43F22B37" w14:textId="35549372" w:rsidR="009F3948" w:rsidRDefault="00485A4D" w:rsidP="00485A4D">
      <w:pPr>
        <w:pStyle w:val="SingleTxtG"/>
        <w:tabs>
          <w:tab w:val="left" w:pos="1701"/>
        </w:tabs>
      </w:pPr>
      <w:r>
        <w:t>1.</w:t>
      </w:r>
      <w:r>
        <w:tab/>
      </w:r>
      <w:r w:rsidR="009F3948" w:rsidRPr="002429C2">
        <w:t xml:space="preserve">The purpose of this paper is to present </w:t>
      </w:r>
      <w:r w:rsidR="004C4D1D">
        <w:t>editorial amendments to the proposals presented in ST/SG/AC.10/C.4/2020/14</w:t>
      </w:r>
      <w:r w:rsidR="009F3948" w:rsidRPr="002429C2">
        <w:t>.</w:t>
      </w:r>
      <w:r w:rsidR="009F3948">
        <w:t xml:space="preserve"> </w:t>
      </w:r>
      <w:r w:rsidR="00317BE3">
        <w:t>Following the review of ST/SG/AC.10/C.4/2020/14, members of the working group identified</w:t>
      </w:r>
      <w:r w:rsidR="009864B0">
        <w:t xml:space="preserve"> typographical errors in E</w:t>
      </w:r>
      <w:r w:rsidR="00317BE3">
        <w:t>xamples</w:t>
      </w:r>
      <w:r w:rsidR="009864B0">
        <w:t xml:space="preserve"> 4 and 5</w:t>
      </w:r>
      <w:r w:rsidR="00317BE3">
        <w:t xml:space="preserve">. The proposed amendments to the examples are shown as </w:t>
      </w:r>
      <w:r w:rsidR="00317BE3" w:rsidRPr="00317BE3">
        <w:rPr>
          <w:b/>
          <w:u w:val="single"/>
        </w:rPr>
        <w:t>bold</w:t>
      </w:r>
      <w:r w:rsidR="00317BE3">
        <w:rPr>
          <w:b/>
          <w:u w:val="single"/>
        </w:rPr>
        <w:t>,</w:t>
      </w:r>
      <w:r w:rsidR="00317BE3" w:rsidRPr="00317BE3">
        <w:rPr>
          <w:b/>
          <w:u w:val="single"/>
        </w:rPr>
        <w:t xml:space="preserve"> underline</w:t>
      </w:r>
      <w:r w:rsidR="00317BE3">
        <w:t xml:space="preserve"> to indicate the new text and </w:t>
      </w:r>
      <w:r w:rsidR="00317BE3" w:rsidRPr="00317BE3">
        <w:rPr>
          <w:b/>
          <w:strike/>
        </w:rPr>
        <w:t>bold, strikethrough</w:t>
      </w:r>
      <w:r w:rsidR="00317BE3">
        <w:t xml:space="preserve"> for</w:t>
      </w:r>
      <w:r w:rsidR="003475E6">
        <w:t xml:space="preserve"> the </w:t>
      </w:r>
      <w:r w:rsidR="00317BE3">
        <w:t>deleted text.</w:t>
      </w:r>
    </w:p>
    <w:p w14:paraId="4AB24D01" w14:textId="231DF767" w:rsidR="003475E6" w:rsidRPr="0085278F" w:rsidRDefault="00485A4D" w:rsidP="00485A4D">
      <w:pPr>
        <w:pStyle w:val="H1G"/>
      </w:pPr>
      <w:r>
        <w:tab/>
      </w:r>
      <w:r>
        <w:tab/>
      </w:r>
      <w:r w:rsidR="003475E6" w:rsidRPr="0085278F">
        <w:t xml:space="preserve">Amendments to </w:t>
      </w:r>
      <w:r w:rsidR="002D1510">
        <w:t>e</w:t>
      </w:r>
      <w:r w:rsidR="003475E6" w:rsidRPr="0085278F">
        <w:t>xample 4</w:t>
      </w:r>
    </w:p>
    <w:p w14:paraId="35410006" w14:textId="22A7B56C" w:rsidR="004C4D1D" w:rsidRDefault="00485A4D" w:rsidP="00485A4D">
      <w:pPr>
        <w:pStyle w:val="SingleTxtG"/>
        <w:tabs>
          <w:tab w:val="left" w:pos="1701"/>
        </w:tabs>
      </w:pPr>
      <w:r>
        <w:t>2.</w:t>
      </w:r>
      <w:r>
        <w:tab/>
      </w:r>
      <w:r w:rsidR="003475E6">
        <w:t>R</w:t>
      </w:r>
      <w:r w:rsidR="004C4D1D">
        <w:t xml:space="preserve">ationale (d), second paragraph, last sentence: “Thus, both studies support including the </w:t>
      </w:r>
      <w:r w:rsidR="004C4D1D" w:rsidRPr="00317BE3">
        <w:rPr>
          <w:b/>
          <w:strike/>
        </w:rPr>
        <w:t>immunue system</w:t>
      </w:r>
      <w:r w:rsidR="004C4D1D" w:rsidRPr="00317BE3">
        <w:rPr>
          <w:b/>
        </w:rPr>
        <w:t xml:space="preserve"> </w:t>
      </w:r>
      <w:r w:rsidR="004C4D1D" w:rsidRPr="00317BE3">
        <w:rPr>
          <w:b/>
          <w:u w:val="single"/>
        </w:rPr>
        <w:t>thymus</w:t>
      </w:r>
      <w:r w:rsidR="004C4D1D">
        <w:t xml:space="preserve"> as a target organ”.</w:t>
      </w:r>
    </w:p>
    <w:p w14:paraId="19AAA5CC" w14:textId="77777777" w:rsidR="004C4D1D" w:rsidRDefault="009864B0" w:rsidP="00077A7A">
      <w:pPr>
        <w:pStyle w:val="SingleTxtG"/>
        <w:ind w:left="1701"/>
      </w:pPr>
      <w:r>
        <w:t>R</w:t>
      </w:r>
      <w:r w:rsidR="004C4D1D">
        <w:t>ationale (d), third</w:t>
      </w:r>
      <w:r w:rsidR="00317BE3">
        <w:t xml:space="preserve"> </w:t>
      </w:r>
      <w:r w:rsidR="004C4D1D">
        <w:t xml:space="preserve">paragraph, </w:t>
      </w:r>
      <w:r w:rsidR="001E2297">
        <w:t xml:space="preserve">first </w:t>
      </w:r>
      <w:r w:rsidR="004C4D1D">
        <w:t>sentence</w:t>
      </w:r>
      <w:r>
        <w:t>:</w:t>
      </w:r>
      <w:r w:rsidR="001E2297">
        <w:t xml:space="preserve"> “</w:t>
      </w:r>
      <w:r w:rsidR="001E2297" w:rsidRPr="00707E19">
        <w:t xml:space="preserve">Classification via application of criteria using the guidance values provided in GHS Tables 3.9.1 and 3.9.2 is possible for the nervous </w:t>
      </w:r>
      <w:r w:rsidR="001E2297" w:rsidRPr="001E2297">
        <w:rPr>
          <w:b/>
          <w:u w:val="single"/>
        </w:rPr>
        <w:t>system</w:t>
      </w:r>
      <w:r w:rsidR="001E2297">
        <w:t xml:space="preserve"> </w:t>
      </w:r>
      <w:r w:rsidR="001E2297" w:rsidRPr="00707E19">
        <w:t xml:space="preserve">and </w:t>
      </w:r>
      <w:r w:rsidR="001E2297" w:rsidRPr="001E2297">
        <w:rPr>
          <w:b/>
          <w:strike/>
        </w:rPr>
        <w:t>immune system</w:t>
      </w:r>
      <w:r w:rsidR="001E2297" w:rsidRPr="00707E19">
        <w:t xml:space="preserve"> </w:t>
      </w:r>
      <w:r w:rsidR="001E2297" w:rsidRPr="001E2297">
        <w:rPr>
          <w:b/>
          <w:u w:val="single"/>
        </w:rPr>
        <w:t>thymus</w:t>
      </w:r>
      <w:r w:rsidR="001E2297">
        <w:t xml:space="preserve"> </w:t>
      </w:r>
      <w:r w:rsidR="001E2297" w:rsidRPr="00707E19">
        <w:t>effects.</w:t>
      </w:r>
      <w:r w:rsidR="001E2297">
        <w:t>”</w:t>
      </w:r>
      <w:r w:rsidR="001E2297" w:rsidRPr="00707E19">
        <w:t xml:space="preserve">  </w:t>
      </w:r>
      <w:r w:rsidR="001E2297">
        <w:t xml:space="preserve"> </w:t>
      </w:r>
    </w:p>
    <w:p w14:paraId="42A73EC1" w14:textId="77777777" w:rsidR="001E2297" w:rsidRPr="00707E19" w:rsidRDefault="001E2297" w:rsidP="00077A7A">
      <w:pPr>
        <w:pStyle w:val="SingleTxtG"/>
        <w:ind w:left="1701"/>
      </w:pPr>
      <w:r>
        <w:t>Rationale (d), third paragraph, last sentence: “</w:t>
      </w:r>
      <w:r w:rsidRPr="00707E19">
        <w:t xml:space="preserve">The effects seen in the thymus (and to a lesser extent in the spleen) </w:t>
      </w:r>
      <w:r w:rsidR="0085278F">
        <w:t>…….</w:t>
      </w:r>
      <w:r w:rsidRPr="00707E19">
        <w:t xml:space="preserve"> criteria with the central nervous system and the </w:t>
      </w:r>
      <w:r w:rsidRPr="0085278F">
        <w:rPr>
          <w:b/>
          <w:strike/>
        </w:rPr>
        <w:t>immune system</w:t>
      </w:r>
      <w:r w:rsidRPr="00707E19">
        <w:t xml:space="preserve"> </w:t>
      </w:r>
      <w:r w:rsidR="0085278F" w:rsidRPr="0085278F">
        <w:rPr>
          <w:b/>
          <w:u w:val="single"/>
        </w:rPr>
        <w:t>thymus</w:t>
      </w:r>
      <w:r w:rsidR="0085278F" w:rsidRPr="0085278F">
        <w:rPr>
          <w:b/>
        </w:rPr>
        <w:t xml:space="preserve"> </w:t>
      </w:r>
      <w:r w:rsidRPr="00707E19">
        <w:t>as the specific target organs/systems.</w:t>
      </w:r>
      <w:r w:rsidR="0085278F">
        <w:t>”</w:t>
      </w:r>
      <w:r w:rsidRPr="00707E19">
        <w:t xml:space="preserve"> </w:t>
      </w:r>
    </w:p>
    <w:p w14:paraId="3A503CBB" w14:textId="1D77BECE" w:rsidR="001E2297" w:rsidRPr="0085278F" w:rsidRDefault="00077A7A" w:rsidP="00077A7A">
      <w:pPr>
        <w:pStyle w:val="H1G"/>
      </w:pPr>
      <w:r>
        <w:tab/>
      </w:r>
      <w:r>
        <w:tab/>
      </w:r>
      <w:r w:rsidR="001E2297" w:rsidRPr="0085278F">
        <w:t xml:space="preserve">Amendments to </w:t>
      </w:r>
      <w:r w:rsidR="002D1510">
        <w:t>e</w:t>
      </w:r>
      <w:bookmarkStart w:id="0" w:name="_GoBack"/>
      <w:bookmarkEnd w:id="0"/>
      <w:r w:rsidR="001E2297" w:rsidRPr="0085278F">
        <w:t>xample 5</w:t>
      </w:r>
    </w:p>
    <w:p w14:paraId="3336A2A2" w14:textId="52C942EC" w:rsidR="001E2297" w:rsidRPr="001E2297" w:rsidRDefault="00BD7E72" w:rsidP="00BD7E72">
      <w:pPr>
        <w:pStyle w:val="SingleTxtG"/>
        <w:tabs>
          <w:tab w:val="left" w:pos="1701"/>
        </w:tabs>
      </w:pPr>
      <w:r>
        <w:t>3.</w:t>
      </w:r>
      <w:r>
        <w:tab/>
      </w:r>
      <w:r w:rsidR="0085278F">
        <w:t xml:space="preserve">Rationale (a), last sentence: “It can be rationalized that the cause of </w:t>
      </w:r>
      <w:r w:rsidR="0085278F" w:rsidRPr="009665D6">
        <w:t xml:space="preserve">mortality </w:t>
      </w:r>
      <w:r w:rsidR="0085278F">
        <w:t>via the oral route is similar to the inhalation route and therefore the dose response relationship…….</w:t>
      </w:r>
      <w:r w:rsidR="0085278F" w:rsidRPr="009665D6">
        <w:t xml:space="preserve"> showing </w:t>
      </w:r>
      <w:r w:rsidR="0085278F">
        <w:t>no</w:t>
      </w:r>
      <w:r w:rsidR="0085278F" w:rsidRPr="009665D6">
        <w:t xml:space="preserve"> mortality </w:t>
      </w:r>
      <w:r w:rsidR="0085278F" w:rsidRPr="0085278F">
        <w:rPr>
          <w:b/>
          <w:strike/>
        </w:rPr>
        <w:t>(assumed to be secondary to systemic effects)</w:t>
      </w:r>
      <w:r w:rsidR="0085278F" w:rsidRPr="009665D6">
        <w:t xml:space="preserve"> at 1 mg/L and 100% at the next higher dose of 2 mg/L</w:t>
      </w:r>
      <w:r w:rsidR="0085278F">
        <w:t xml:space="preserve">, </w:t>
      </w:r>
      <w:r w:rsidR="0085278F" w:rsidRPr="009665D6">
        <w:t>resul</w:t>
      </w:r>
      <w:r w:rsidR="0085278F">
        <w:t>ting</w:t>
      </w:r>
      <w:r w:rsidR="0085278F" w:rsidRPr="009665D6">
        <w:t xml:space="preserve"> in a Category 3 classification for the oral route.</w:t>
      </w:r>
      <w:r w:rsidR="0085278F">
        <w:t>”</w:t>
      </w:r>
    </w:p>
    <w:p w14:paraId="5209EC61" w14:textId="0E193579" w:rsidR="00E32E99" w:rsidRPr="00BD7E72" w:rsidRDefault="00BD7E72" w:rsidP="00BD7E7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32E99" w:rsidRPr="00BD7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CC6E7" w14:textId="77777777" w:rsidR="004B6A90" w:rsidRDefault="004B6A90" w:rsidP="004B6A90">
      <w:pPr>
        <w:spacing w:line="240" w:lineRule="auto"/>
      </w:pPr>
      <w:r>
        <w:separator/>
      </w:r>
    </w:p>
  </w:endnote>
  <w:endnote w:type="continuationSeparator" w:id="0">
    <w:p w14:paraId="0B7DE740" w14:textId="77777777" w:rsidR="004B6A90" w:rsidRDefault="004B6A90" w:rsidP="004B6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41F61" w14:textId="77777777" w:rsidR="004B6A90" w:rsidRDefault="004B6A90" w:rsidP="004B6A90">
      <w:pPr>
        <w:spacing w:line="240" w:lineRule="auto"/>
      </w:pPr>
      <w:r>
        <w:separator/>
      </w:r>
    </w:p>
  </w:footnote>
  <w:footnote w:type="continuationSeparator" w:id="0">
    <w:p w14:paraId="7BE0A070" w14:textId="77777777" w:rsidR="004B6A90" w:rsidRDefault="004B6A90" w:rsidP="004B6A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B4BD4"/>
    <w:multiLevelType w:val="hybridMultilevel"/>
    <w:tmpl w:val="51CC6256"/>
    <w:lvl w:ilvl="0" w:tplc="BEC644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948"/>
    <w:rsid w:val="00077A7A"/>
    <w:rsid w:val="000E5B34"/>
    <w:rsid w:val="000F63DE"/>
    <w:rsid w:val="001E2297"/>
    <w:rsid w:val="002D1510"/>
    <w:rsid w:val="00317BE3"/>
    <w:rsid w:val="003475E6"/>
    <w:rsid w:val="00485A4D"/>
    <w:rsid w:val="004B6A90"/>
    <w:rsid w:val="004C4D1D"/>
    <w:rsid w:val="00557F96"/>
    <w:rsid w:val="007805A6"/>
    <w:rsid w:val="0085278F"/>
    <w:rsid w:val="009864B0"/>
    <w:rsid w:val="009F3948"/>
    <w:rsid w:val="00BD7E72"/>
    <w:rsid w:val="00DB563A"/>
    <w:rsid w:val="00E27570"/>
    <w:rsid w:val="00F5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C9254"/>
  <w15:chartTrackingRefBased/>
  <w15:docId w15:val="{84149129-202A-44F5-A364-AFB5A927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94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1"/>
    <w:qFormat/>
    <w:rsid w:val="009F3948"/>
    <w:pPr>
      <w:spacing w:after="120"/>
      <w:ind w:left="1134" w:right="1134"/>
      <w:jc w:val="both"/>
    </w:pPr>
  </w:style>
  <w:style w:type="paragraph" w:customStyle="1" w:styleId="HChG">
    <w:name w:val="_ H _Ch_G"/>
    <w:basedOn w:val="Normal"/>
    <w:next w:val="Normal"/>
    <w:link w:val="HChGChar"/>
    <w:rsid w:val="009F394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F394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ChGChar">
    <w:name w:val="_ H _Ch_G Char"/>
    <w:link w:val="HChG"/>
    <w:rsid w:val="009F3948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SingleTxtGChar1">
    <w:name w:val="_ Single Txt_G Char1"/>
    <w:link w:val="SingleTxtG"/>
    <w:locked/>
    <w:rsid w:val="009F3948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qFormat/>
    <w:rsid w:val="001E2297"/>
  </w:style>
  <w:style w:type="paragraph" w:styleId="Header">
    <w:name w:val="header"/>
    <w:basedOn w:val="Normal"/>
    <w:link w:val="HeaderChar"/>
    <w:uiPriority w:val="99"/>
    <w:unhideWhenUsed/>
    <w:rsid w:val="004B6A9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A9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6A9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A90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012F2-B50C-4BC8-833C-1BA3D48137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2B4C9-6E98-451C-9E8C-67563E88F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F6CE28-94B4-44CF-A6C5-6D0CA82CC7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Deana - OSHA</dc:creator>
  <cp:keywords/>
  <dc:description/>
  <cp:lastModifiedBy>Rosa</cp:lastModifiedBy>
  <cp:revision>9</cp:revision>
  <cp:lastPrinted>2020-12-02T10:24:00Z</cp:lastPrinted>
  <dcterms:created xsi:type="dcterms:W3CDTF">2020-12-02T09:19:00Z</dcterms:created>
  <dcterms:modified xsi:type="dcterms:W3CDTF">2020-12-02T10:50:00Z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