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14:paraId="0A73C3DA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7718E7A" w14:textId="4E4B89BC" w:rsidR="0099001C" w:rsidRPr="0099001C" w:rsidRDefault="0099001C" w:rsidP="00CF1E77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0564A7">
              <w:rPr>
                <w:b/>
                <w:sz w:val="40"/>
                <w:szCs w:val="40"/>
              </w:rPr>
              <w:t>3</w:t>
            </w:r>
            <w:r w:rsidR="001205DF">
              <w:rPr>
                <w:b/>
                <w:sz w:val="40"/>
                <w:szCs w:val="40"/>
              </w:rPr>
              <w:t>9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3E4E25">
              <w:rPr>
                <w:b/>
                <w:sz w:val="40"/>
                <w:szCs w:val="40"/>
              </w:rPr>
              <w:t>23</w:t>
            </w:r>
          </w:p>
        </w:tc>
      </w:tr>
      <w:tr w:rsidR="0099001C" w14:paraId="7A1136AB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162D3A65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6025F102" w14:textId="6C7FDCD4" w:rsidR="00965932" w:rsidRPr="00765969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1B06A5">
              <w:rPr>
                <w:b/>
                <w:lang w:val="en-US"/>
              </w:rPr>
              <w:tab/>
            </w:r>
            <w:r w:rsidR="00AE0EDE">
              <w:rPr>
                <w:b/>
                <w:lang w:val="en-US"/>
              </w:rPr>
              <w:t>0</w:t>
            </w:r>
            <w:r w:rsidR="001C24EB">
              <w:rPr>
                <w:b/>
                <w:lang w:val="en-US"/>
              </w:rPr>
              <w:t>9</w:t>
            </w:r>
            <w:r w:rsidR="00006BA1">
              <w:rPr>
                <w:b/>
                <w:lang w:val="en-US"/>
              </w:rPr>
              <w:t xml:space="preserve"> Novem</w:t>
            </w:r>
            <w:r w:rsidR="00513F9E">
              <w:rPr>
                <w:b/>
                <w:lang w:val="en-US"/>
              </w:rPr>
              <w:t>ber</w:t>
            </w:r>
            <w:r w:rsidRPr="006C2CEE">
              <w:rPr>
                <w:b/>
                <w:lang w:val="en-US"/>
              </w:rPr>
              <w:t xml:space="preserve"> 20</w:t>
            </w:r>
            <w:r w:rsidR="001205DF">
              <w:rPr>
                <w:b/>
                <w:lang w:val="en-US"/>
              </w:rPr>
              <w:t>20</w:t>
            </w:r>
          </w:p>
          <w:p w14:paraId="2A9BBC09" w14:textId="0CD37888" w:rsidR="00965932" w:rsidRPr="001C24EB" w:rsidRDefault="00965932" w:rsidP="00965932">
            <w:pPr>
              <w:jc w:val="both"/>
              <w:rPr>
                <w:b/>
                <w:lang w:val="en-US"/>
              </w:rPr>
            </w:pPr>
          </w:p>
          <w:p w14:paraId="338964BC" w14:textId="7B950C2E" w:rsidR="00965932" w:rsidRPr="004845AC" w:rsidRDefault="00965932" w:rsidP="00965932">
            <w:pPr>
              <w:jc w:val="both"/>
            </w:pPr>
            <w:r w:rsidRPr="004845AC">
              <w:rPr>
                <w:b/>
              </w:rPr>
              <w:t>Thirty-</w:t>
            </w:r>
            <w:r w:rsidR="001205DF">
              <w:rPr>
                <w:b/>
              </w:rPr>
              <w:t>ninth</w:t>
            </w:r>
            <w:r w:rsidR="009435A6" w:rsidRPr="004845AC">
              <w:rPr>
                <w:b/>
              </w:rPr>
              <w:t xml:space="preserve"> </w:t>
            </w:r>
            <w:r w:rsidRPr="004845AC">
              <w:rPr>
                <w:b/>
              </w:rPr>
              <w:t>session</w:t>
            </w:r>
            <w:r w:rsidRPr="004845AC">
              <w:t xml:space="preserve"> </w:t>
            </w:r>
          </w:p>
          <w:p w14:paraId="38EA545E" w14:textId="42EFD1E1" w:rsidR="001B06A5" w:rsidRPr="004845AC" w:rsidRDefault="001B06A5" w:rsidP="001B06A5">
            <w:pPr>
              <w:jc w:val="both"/>
            </w:pPr>
            <w:r w:rsidRPr="004845AC">
              <w:t xml:space="preserve">Geneva, </w:t>
            </w:r>
            <w:r w:rsidR="001205DF">
              <w:t>9</w:t>
            </w:r>
            <w:r w:rsidR="009435A6" w:rsidRPr="004845AC">
              <w:t>-</w:t>
            </w:r>
            <w:r w:rsidR="001205DF">
              <w:t xml:space="preserve">11 </w:t>
            </w:r>
            <w:r w:rsidR="00DB5082" w:rsidRPr="004845AC">
              <w:t>D</w:t>
            </w:r>
            <w:r w:rsidR="000564A7" w:rsidRPr="004845AC">
              <w:t>ecember</w:t>
            </w:r>
            <w:r w:rsidR="00DB5082" w:rsidRPr="004845AC">
              <w:t xml:space="preserve"> </w:t>
            </w:r>
            <w:r w:rsidRPr="004845AC">
              <w:t>20</w:t>
            </w:r>
            <w:r w:rsidR="001205DF">
              <w:t>20</w:t>
            </w:r>
          </w:p>
          <w:p w14:paraId="10B36C59" w14:textId="488D434D" w:rsidR="001B06A5" w:rsidRPr="00FA63B2" w:rsidRDefault="001B06A5" w:rsidP="001B06A5">
            <w:pPr>
              <w:spacing w:before="40"/>
            </w:pPr>
            <w:r w:rsidRPr="004845AC">
              <w:t xml:space="preserve">Item </w:t>
            </w:r>
            <w:r w:rsidR="00682B5D">
              <w:t>8</w:t>
            </w:r>
            <w:r w:rsidR="00682B5D" w:rsidRPr="004845AC">
              <w:t xml:space="preserve"> </w:t>
            </w:r>
            <w:r w:rsidRPr="004845AC">
              <w:t>of the provisional agenda</w:t>
            </w:r>
          </w:p>
          <w:p w14:paraId="4E504FC6" w14:textId="057D0DA1" w:rsidR="0099001C" w:rsidRDefault="009435A6" w:rsidP="001205DF">
            <w:pPr>
              <w:spacing w:line="240" w:lineRule="exact"/>
            </w:pPr>
            <w:r w:rsidRPr="009435A6">
              <w:rPr>
                <w:b/>
              </w:rPr>
              <w:t>Programme of work for the biennium 20</w:t>
            </w:r>
            <w:r w:rsidR="001205DF">
              <w:rPr>
                <w:b/>
              </w:rPr>
              <w:t>21</w:t>
            </w:r>
            <w:r w:rsidRPr="009435A6">
              <w:rPr>
                <w:b/>
              </w:rPr>
              <w:t>-202</w:t>
            </w:r>
            <w:r w:rsidR="001205DF">
              <w:rPr>
                <w:b/>
              </w:rPr>
              <w:t>2</w:t>
            </w:r>
          </w:p>
        </w:tc>
      </w:tr>
    </w:tbl>
    <w:p w14:paraId="4C40B37E" w14:textId="44C3A97E" w:rsidR="00605A87" w:rsidRPr="00186F99" w:rsidRDefault="00B16065" w:rsidP="00186F99">
      <w:pPr>
        <w:pStyle w:val="HChG"/>
        <w:rPr>
          <w:rFonts w:eastAsia="MS Mincho"/>
        </w:rPr>
      </w:pPr>
      <w:r w:rsidRPr="00186F99">
        <w:rPr>
          <w:rFonts w:eastAsia="MS Mincho"/>
        </w:rPr>
        <w:tab/>
      </w:r>
      <w:r w:rsidRPr="00186F99">
        <w:rPr>
          <w:rFonts w:eastAsia="MS Mincho"/>
        </w:rPr>
        <w:tab/>
      </w:r>
      <w:r w:rsidR="00421B79">
        <w:rPr>
          <w:rFonts w:eastAsia="MS Mincho"/>
        </w:rPr>
        <w:t>Review of the tiered</w:t>
      </w:r>
      <w:r w:rsidR="00CE4B5C" w:rsidRPr="00186F99">
        <w:t xml:space="preserve"> approach for classification of mixtures </w:t>
      </w:r>
    </w:p>
    <w:p w14:paraId="6932B593" w14:textId="79F8DDF6" w:rsidR="00605A87" w:rsidRPr="00F32E20" w:rsidRDefault="00605A87" w:rsidP="00605A87">
      <w:pPr>
        <w:pStyle w:val="H1G"/>
      </w:pPr>
      <w:r w:rsidRPr="00F32E20">
        <w:tab/>
      </w:r>
      <w:r w:rsidRPr="00F32E20">
        <w:tab/>
      </w:r>
      <w:r w:rsidRPr="00030C37">
        <w:t xml:space="preserve">Transmitted by the </w:t>
      </w:r>
      <w:r>
        <w:t xml:space="preserve">expert from </w:t>
      </w:r>
      <w:r w:rsidR="00326A95">
        <w:t>Germany</w:t>
      </w:r>
    </w:p>
    <w:p w14:paraId="596CA935" w14:textId="0974D4F7" w:rsidR="00605A87" w:rsidRPr="00C3452E" w:rsidRDefault="00605A87" w:rsidP="00B13229">
      <w:pPr>
        <w:pStyle w:val="HChG"/>
        <w:ind w:firstLine="0"/>
      </w:pPr>
      <w:r w:rsidRPr="00C3452E">
        <w:t>Background</w:t>
      </w:r>
    </w:p>
    <w:p w14:paraId="4950A0C7" w14:textId="40B1377C" w:rsidR="00C51910" w:rsidRPr="00094952" w:rsidRDefault="000A6BEC" w:rsidP="00094952">
      <w:pPr>
        <w:pStyle w:val="SingleTxtG"/>
      </w:pPr>
      <w:r w:rsidRPr="00094952">
        <w:t xml:space="preserve">1. </w:t>
      </w:r>
      <w:r w:rsidR="00094952">
        <w:tab/>
      </w:r>
      <w:r w:rsidR="00D61334" w:rsidRPr="00094952">
        <w:t>I</w:t>
      </w:r>
      <w:r w:rsidR="00812F3B" w:rsidRPr="00094952">
        <w:t xml:space="preserve">n the </w:t>
      </w:r>
      <w:r w:rsidR="00D61334" w:rsidRPr="00094952">
        <w:t xml:space="preserve">course of the work of the </w:t>
      </w:r>
      <w:r w:rsidR="00812F3B" w:rsidRPr="00094952">
        <w:t>Informal Working Group on Non-Animal Test methods (</w:t>
      </w:r>
      <w:r w:rsidR="00D61334" w:rsidRPr="00094952">
        <w:t xml:space="preserve">IWG </w:t>
      </w:r>
      <w:r w:rsidR="00812F3B" w:rsidRPr="00094952">
        <w:t>NATM)</w:t>
      </w:r>
      <w:r w:rsidR="00D61334" w:rsidRPr="00094952">
        <w:t xml:space="preserve"> over the last biennium</w:t>
      </w:r>
      <w:r w:rsidR="00812F3B" w:rsidRPr="00094952">
        <w:t>, a</w:t>
      </w:r>
      <w:r w:rsidR="006D771F" w:rsidRPr="00094952">
        <w:t xml:space="preserve">n inconsistency </w:t>
      </w:r>
      <w:r w:rsidR="00D61334" w:rsidRPr="00094952">
        <w:t xml:space="preserve">in the current version of the GHS </w:t>
      </w:r>
      <w:r w:rsidR="00812F3B" w:rsidRPr="00094952">
        <w:t>bet</w:t>
      </w:r>
      <w:r w:rsidR="00D61334" w:rsidRPr="00094952">
        <w:t>ween the classification strategies</w:t>
      </w:r>
      <w:r w:rsidR="00812F3B" w:rsidRPr="00094952">
        <w:t xml:space="preserve"> for mixtures and substances was identified</w:t>
      </w:r>
      <w:r w:rsidR="00C51910" w:rsidRPr="00094952">
        <w:t xml:space="preserve">. </w:t>
      </w:r>
    </w:p>
    <w:p w14:paraId="0AFEA7E5" w14:textId="14A4251C" w:rsidR="00D61334" w:rsidRDefault="000A6BEC" w:rsidP="00E81147">
      <w:pPr>
        <w:pStyle w:val="SingleTxtG"/>
        <w:rPr>
          <w:rFonts w:cstheme="minorHAnsi"/>
          <w:lang w:val="en-IE"/>
        </w:rPr>
      </w:pPr>
      <w:r>
        <w:rPr>
          <w:rFonts w:cstheme="minorHAnsi"/>
          <w:lang w:val="en-IE"/>
        </w:rPr>
        <w:t>2.</w:t>
      </w:r>
      <w:r w:rsidR="00094952">
        <w:rPr>
          <w:rFonts w:cstheme="minorHAnsi"/>
          <w:lang w:val="en-IE"/>
        </w:rPr>
        <w:tab/>
      </w:r>
      <w:r w:rsidR="00026D4E">
        <w:rPr>
          <w:rFonts w:cstheme="minorHAnsi"/>
          <w:lang w:val="en-IE"/>
        </w:rPr>
        <w:t xml:space="preserve">The recommended process for classification of mixtures in </w:t>
      </w:r>
      <w:r w:rsidR="008B7B93">
        <w:rPr>
          <w:rFonts w:cstheme="minorHAnsi"/>
          <w:lang w:val="en-IE"/>
        </w:rPr>
        <w:t xml:space="preserve">paragraph </w:t>
      </w:r>
      <w:r w:rsidR="00C51910">
        <w:rPr>
          <w:rFonts w:cstheme="minorHAnsi"/>
          <w:lang w:val="en-IE"/>
        </w:rPr>
        <w:t>1.3.2.3.1</w:t>
      </w:r>
      <w:r w:rsidR="00D61334">
        <w:rPr>
          <w:rFonts w:cstheme="minorHAnsi"/>
          <w:lang w:val="en-IE"/>
        </w:rPr>
        <w:t xml:space="preserve"> </w:t>
      </w:r>
      <w:r w:rsidR="008B7B93">
        <w:rPr>
          <w:rFonts w:cstheme="minorHAnsi"/>
          <w:lang w:val="en-IE"/>
        </w:rPr>
        <w:t xml:space="preserve">states </w:t>
      </w:r>
      <w:r w:rsidR="00D61334">
        <w:rPr>
          <w:rFonts w:cstheme="minorHAnsi"/>
          <w:lang w:val="en-IE"/>
        </w:rPr>
        <w:t xml:space="preserve">that data on the mixture itself should always take precedence over data available for similar mixtures (“bridging”). Consequently, in </w:t>
      </w:r>
      <w:r w:rsidR="00EF0A29">
        <w:rPr>
          <w:rFonts w:cstheme="minorHAnsi"/>
          <w:lang w:val="en-IE"/>
        </w:rPr>
        <w:t>c</w:t>
      </w:r>
      <w:r w:rsidR="00713BDB">
        <w:rPr>
          <w:rFonts w:cstheme="minorHAnsi"/>
          <w:lang w:val="en-IE"/>
        </w:rPr>
        <w:t>hapter</w:t>
      </w:r>
      <w:r w:rsidR="00D61334">
        <w:rPr>
          <w:rFonts w:cstheme="minorHAnsi"/>
          <w:lang w:val="en-IE"/>
        </w:rPr>
        <w:t xml:space="preserve">s 3.2 </w:t>
      </w:r>
      <w:r w:rsidR="002A7BDD">
        <w:rPr>
          <w:rFonts w:cstheme="minorHAnsi"/>
          <w:lang w:val="en-IE"/>
        </w:rPr>
        <w:t>and 3.3</w:t>
      </w:r>
      <w:r w:rsidR="00D61334">
        <w:rPr>
          <w:rFonts w:cstheme="minorHAnsi"/>
          <w:lang w:val="en-IE"/>
        </w:rPr>
        <w:t xml:space="preserve">, information </w:t>
      </w:r>
      <w:r w:rsidR="001C24EB">
        <w:rPr>
          <w:rFonts w:cstheme="minorHAnsi"/>
          <w:lang w:val="en-IE"/>
        </w:rPr>
        <w:t xml:space="preserve">on the mixture which comes </w:t>
      </w:r>
      <w:r w:rsidR="00D61334">
        <w:rPr>
          <w:rFonts w:cstheme="minorHAnsi"/>
          <w:lang w:val="en-IE"/>
        </w:rPr>
        <w:t>from lower tiers</w:t>
      </w:r>
      <w:r w:rsidR="00FC36E5">
        <w:rPr>
          <w:rFonts w:cstheme="minorHAnsi"/>
          <w:lang w:val="en-IE"/>
        </w:rPr>
        <w:t xml:space="preserve">, </w:t>
      </w:r>
      <w:r w:rsidR="00D61334">
        <w:rPr>
          <w:rFonts w:cstheme="minorHAnsi"/>
          <w:lang w:val="en-IE"/>
        </w:rPr>
        <w:t xml:space="preserve">such as </w:t>
      </w:r>
      <w:r w:rsidR="00FC36E5">
        <w:rPr>
          <w:rFonts w:cstheme="minorHAnsi"/>
          <w:lang w:val="en-IE"/>
        </w:rPr>
        <w:t xml:space="preserve">extreme </w:t>
      </w:r>
      <w:r w:rsidR="00D61334">
        <w:rPr>
          <w:rFonts w:cstheme="minorHAnsi"/>
          <w:lang w:val="en-IE"/>
        </w:rPr>
        <w:t>pH</w:t>
      </w:r>
      <w:r w:rsidR="009B4C87">
        <w:rPr>
          <w:rFonts w:cstheme="minorHAnsi"/>
          <w:lang w:val="en-IE"/>
        </w:rPr>
        <w:t xml:space="preserve"> or </w:t>
      </w:r>
      <w:r w:rsidR="005E7E9C">
        <w:rPr>
          <w:rFonts w:cstheme="minorHAnsi"/>
          <w:lang w:val="en-IE"/>
        </w:rPr>
        <w:t>(Q)</w:t>
      </w:r>
      <w:r w:rsidR="009B4C87">
        <w:rPr>
          <w:rFonts w:cstheme="minorHAnsi"/>
          <w:lang w:val="en-IE"/>
        </w:rPr>
        <w:t>SAR</w:t>
      </w:r>
      <w:r w:rsidR="00D61334">
        <w:rPr>
          <w:rFonts w:cstheme="minorHAnsi"/>
          <w:lang w:val="en-IE"/>
        </w:rPr>
        <w:t xml:space="preserve"> rule</w:t>
      </w:r>
      <w:r w:rsidR="00FC36E5">
        <w:rPr>
          <w:rFonts w:cstheme="minorHAnsi"/>
          <w:lang w:val="en-IE"/>
        </w:rPr>
        <w:t>s</w:t>
      </w:r>
      <w:r w:rsidR="00D61334">
        <w:rPr>
          <w:rFonts w:cstheme="minorHAnsi"/>
          <w:lang w:val="en-IE"/>
        </w:rPr>
        <w:t xml:space="preserve"> out reliable information available </w:t>
      </w:r>
      <w:r w:rsidR="002A7BDD">
        <w:rPr>
          <w:rFonts w:cstheme="minorHAnsi"/>
          <w:lang w:val="en-IE"/>
        </w:rPr>
        <w:t>for similar mixtures</w:t>
      </w:r>
      <w:r w:rsidR="00D61334">
        <w:rPr>
          <w:rFonts w:cstheme="minorHAnsi"/>
          <w:lang w:val="en-IE"/>
        </w:rPr>
        <w:t>.</w:t>
      </w:r>
      <w:r w:rsidR="00C2520A">
        <w:rPr>
          <w:rFonts w:cstheme="minorHAnsi"/>
          <w:lang w:val="en-IE"/>
        </w:rPr>
        <w:t xml:space="preserve"> </w:t>
      </w:r>
    </w:p>
    <w:p w14:paraId="0727188E" w14:textId="1CA18F28" w:rsidR="00D61334" w:rsidRDefault="000A6BEC" w:rsidP="00E81147">
      <w:pPr>
        <w:pStyle w:val="SingleTxtG"/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3. </w:t>
      </w:r>
      <w:r w:rsidR="00094952">
        <w:rPr>
          <w:rFonts w:cstheme="minorHAnsi"/>
          <w:lang w:val="en-IE"/>
        </w:rPr>
        <w:tab/>
      </w:r>
      <w:r w:rsidR="00D16961">
        <w:rPr>
          <w:rFonts w:cstheme="minorHAnsi"/>
          <w:lang w:val="en-IE"/>
        </w:rPr>
        <w:t>In addition</w:t>
      </w:r>
      <w:r w:rsidR="00EF0A29">
        <w:rPr>
          <w:rFonts w:cstheme="minorHAnsi"/>
          <w:lang w:val="en-IE"/>
        </w:rPr>
        <w:t>,</w:t>
      </w:r>
      <w:r w:rsidR="00C05C36">
        <w:rPr>
          <w:rFonts w:cstheme="minorHAnsi"/>
          <w:lang w:val="en-IE"/>
        </w:rPr>
        <w:t xml:space="preserve"> </w:t>
      </w:r>
      <w:r w:rsidR="00D16961">
        <w:rPr>
          <w:rFonts w:cstheme="minorHAnsi"/>
          <w:lang w:val="en-IE"/>
        </w:rPr>
        <w:t xml:space="preserve">read-across </w:t>
      </w:r>
      <w:r w:rsidR="00C05C36">
        <w:rPr>
          <w:rFonts w:cstheme="minorHAnsi"/>
          <w:lang w:val="en-IE"/>
        </w:rPr>
        <w:t xml:space="preserve">is used </w:t>
      </w:r>
      <w:r w:rsidR="009B5995">
        <w:rPr>
          <w:rFonts w:cstheme="minorHAnsi"/>
          <w:lang w:val="en-IE"/>
        </w:rPr>
        <w:t xml:space="preserve">for substances </w:t>
      </w:r>
      <w:r w:rsidR="00C05C36">
        <w:rPr>
          <w:rFonts w:cstheme="minorHAnsi"/>
          <w:lang w:val="en-IE"/>
        </w:rPr>
        <w:t>within the tiered approaches</w:t>
      </w:r>
      <w:r w:rsidR="009B5995">
        <w:rPr>
          <w:rFonts w:cstheme="minorHAnsi"/>
          <w:lang w:val="en-IE"/>
        </w:rPr>
        <w:t>,</w:t>
      </w:r>
      <w:r w:rsidR="00C05C36">
        <w:rPr>
          <w:rFonts w:cstheme="minorHAnsi"/>
          <w:lang w:val="en-IE"/>
        </w:rPr>
        <w:t xml:space="preserve"> whereas </w:t>
      </w:r>
      <w:r w:rsidR="00D16961">
        <w:rPr>
          <w:rFonts w:cstheme="minorHAnsi"/>
          <w:lang w:val="en-IE"/>
        </w:rPr>
        <w:t xml:space="preserve">for mixtures </w:t>
      </w:r>
      <w:r w:rsidR="00C05C36">
        <w:rPr>
          <w:rFonts w:cstheme="minorHAnsi"/>
          <w:lang w:val="en-IE"/>
        </w:rPr>
        <w:t xml:space="preserve">bridging is applied at a later stage. </w:t>
      </w:r>
      <w:r w:rsidR="00D16961">
        <w:rPr>
          <w:rFonts w:cstheme="minorHAnsi"/>
          <w:lang w:val="en-IE"/>
        </w:rPr>
        <w:t>F</w:t>
      </w:r>
      <w:r w:rsidR="00D61334">
        <w:rPr>
          <w:rFonts w:cstheme="minorHAnsi"/>
          <w:lang w:val="en-IE"/>
        </w:rPr>
        <w:t xml:space="preserve">rom a technical as well as scientific point of view, </w:t>
      </w:r>
      <w:r w:rsidR="00D16961">
        <w:rPr>
          <w:rFonts w:cstheme="minorHAnsi"/>
          <w:lang w:val="en-IE"/>
        </w:rPr>
        <w:t xml:space="preserve">however, </w:t>
      </w:r>
      <w:r w:rsidR="00D61334">
        <w:rPr>
          <w:rFonts w:cstheme="minorHAnsi"/>
          <w:lang w:val="en-IE"/>
        </w:rPr>
        <w:t xml:space="preserve">read-across and bridging are comparable in many ways. </w:t>
      </w:r>
      <w:r w:rsidR="00DB6193">
        <w:rPr>
          <w:rFonts w:cstheme="minorHAnsi"/>
          <w:lang w:val="en-IE"/>
        </w:rPr>
        <w:t xml:space="preserve">They both rely on the transfer of information from one substance or mixture to another. </w:t>
      </w:r>
      <w:r w:rsidR="00D61334">
        <w:rPr>
          <w:rFonts w:cstheme="minorHAnsi"/>
          <w:lang w:val="en-IE"/>
        </w:rPr>
        <w:t xml:space="preserve">The only major difference is that over the last years, more elaborate </w:t>
      </w:r>
      <w:r w:rsidR="00DB6193">
        <w:rPr>
          <w:rFonts w:cstheme="minorHAnsi"/>
          <w:lang w:val="en-IE"/>
        </w:rPr>
        <w:t xml:space="preserve">and internationally accepted </w:t>
      </w:r>
      <w:r w:rsidR="00D61334">
        <w:rPr>
          <w:rFonts w:cstheme="minorHAnsi"/>
          <w:lang w:val="en-IE"/>
        </w:rPr>
        <w:t>concepts have been developed for read-across</w:t>
      </w:r>
      <w:r w:rsidR="00110AE0">
        <w:rPr>
          <w:rFonts w:cstheme="minorHAnsi"/>
          <w:lang w:val="en-IE"/>
        </w:rPr>
        <w:t xml:space="preserve"> </w:t>
      </w:r>
      <w:r w:rsidR="00D61334">
        <w:rPr>
          <w:rFonts w:cstheme="minorHAnsi"/>
          <w:lang w:val="en-IE"/>
        </w:rPr>
        <w:t>(</w:t>
      </w:r>
      <w:r w:rsidR="00EA6348">
        <w:rPr>
          <w:rFonts w:cstheme="minorHAnsi"/>
          <w:lang w:val="en-IE"/>
        </w:rPr>
        <w:t xml:space="preserve">Ball et al., 2016; </w:t>
      </w:r>
      <w:r w:rsidR="00D61334">
        <w:rPr>
          <w:rFonts w:cstheme="minorHAnsi"/>
          <w:lang w:val="en-IE"/>
        </w:rPr>
        <w:t>ECHA</w:t>
      </w:r>
      <w:r w:rsidR="00EA6348">
        <w:rPr>
          <w:rFonts w:cstheme="minorHAnsi"/>
          <w:lang w:val="en-IE"/>
        </w:rPr>
        <w:t xml:space="preserve">, 2017; </w:t>
      </w:r>
      <w:r w:rsidR="00D61334">
        <w:rPr>
          <w:rFonts w:cstheme="minorHAnsi"/>
          <w:lang w:val="en-IE"/>
        </w:rPr>
        <w:t>Escher</w:t>
      </w:r>
      <w:r w:rsidR="00EA6348">
        <w:rPr>
          <w:rFonts w:cstheme="minorHAnsi"/>
          <w:lang w:val="en-IE"/>
        </w:rPr>
        <w:t xml:space="preserve"> et al., 2019; Rovida et al., 2020)</w:t>
      </w:r>
      <w:r w:rsidR="00102884">
        <w:rPr>
          <w:rStyle w:val="FootnoteReference"/>
          <w:rFonts w:cstheme="minorHAnsi"/>
          <w:lang w:val="en-IE"/>
        </w:rPr>
        <w:footnoteReference w:id="2"/>
      </w:r>
      <w:r w:rsidR="00EA6348">
        <w:rPr>
          <w:rFonts w:cstheme="minorHAnsi"/>
          <w:lang w:val="en-IE"/>
        </w:rPr>
        <w:t>,</w:t>
      </w:r>
      <w:r w:rsidR="00D61334">
        <w:rPr>
          <w:rFonts w:cstheme="minorHAnsi"/>
          <w:lang w:val="en-IE"/>
        </w:rPr>
        <w:t xml:space="preserve"> whereas bridging is less standardised and mostly performed according to conventions developed under individual legislations.</w:t>
      </w:r>
      <w:r w:rsidR="00C05C36">
        <w:rPr>
          <w:rFonts w:cstheme="minorHAnsi"/>
          <w:lang w:val="en-IE"/>
        </w:rPr>
        <w:t xml:space="preserve"> </w:t>
      </w:r>
    </w:p>
    <w:p w14:paraId="60A880B9" w14:textId="0FE407F0" w:rsidR="003A3A56" w:rsidRDefault="000A6BEC" w:rsidP="002A7BDD">
      <w:pPr>
        <w:pStyle w:val="SingleTxtG"/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4. </w:t>
      </w:r>
      <w:r w:rsidR="00094952">
        <w:rPr>
          <w:rFonts w:cstheme="minorHAnsi"/>
          <w:lang w:val="en-IE"/>
        </w:rPr>
        <w:tab/>
      </w:r>
      <w:r w:rsidR="002A7BDD">
        <w:rPr>
          <w:rFonts w:cstheme="minorHAnsi"/>
          <w:lang w:val="en-IE"/>
        </w:rPr>
        <w:t xml:space="preserve">Since </w:t>
      </w:r>
      <w:r w:rsidR="003A3A56">
        <w:rPr>
          <w:rFonts w:cstheme="minorHAnsi"/>
          <w:lang w:val="en-IE"/>
        </w:rPr>
        <w:t xml:space="preserve">experience shows that </w:t>
      </w:r>
      <w:r w:rsidR="00F52210">
        <w:rPr>
          <w:rFonts w:cstheme="minorHAnsi"/>
          <w:lang w:val="en-IE"/>
        </w:rPr>
        <w:t xml:space="preserve">relevant and </w:t>
      </w:r>
      <w:r w:rsidR="003A3A56">
        <w:rPr>
          <w:rFonts w:cstheme="minorHAnsi"/>
          <w:lang w:val="en-IE"/>
        </w:rPr>
        <w:t xml:space="preserve">reliable information on similar mixtures </w:t>
      </w:r>
      <w:r w:rsidR="00C37199">
        <w:rPr>
          <w:rFonts w:cstheme="minorHAnsi"/>
          <w:lang w:val="en-IE"/>
        </w:rPr>
        <w:t xml:space="preserve">in many cases </w:t>
      </w:r>
      <w:r w:rsidR="003A3A56">
        <w:rPr>
          <w:rFonts w:cstheme="minorHAnsi"/>
          <w:lang w:val="en-IE"/>
        </w:rPr>
        <w:t>is available</w:t>
      </w:r>
      <w:r w:rsidR="00F52210">
        <w:rPr>
          <w:rFonts w:cstheme="minorHAnsi"/>
          <w:lang w:val="en-IE"/>
        </w:rPr>
        <w:t>, e.g. for cleaning or plant protection products,</w:t>
      </w:r>
      <w:r w:rsidR="005211AE">
        <w:rPr>
          <w:rFonts w:cstheme="minorHAnsi"/>
          <w:lang w:val="en-IE"/>
        </w:rPr>
        <w:t xml:space="preserve"> </w:t>
      </w:r>
      <w:r w:rsidR="00D61334">
        <w:rPr>
          <w:rFonts w:cstheme="minorHAnsi"/>
          <w:lang w:val="en-IE"/>
        </w:rPr>
        <w:t>a</w:t>
      </w:r>
      <w:r w:rsidR="00DE07CE">
        <w:rPr>
          <w:rFonts w:cstheme="minorHAnsi"/>
          <w:lang w:val="en-IE"/>
        </w:rPr>
        <w:t xml:space="preserve"> breakout group </w:t>
      </w:r>
      <w:r w:rsidR="00D61334">
        <w:rPr>
          <w:rFonts w:cstheme="minorHAnsi"/>
          <w:lang w:val="en-IE"/>
        </w:rPr>
        <w:t xml:space="preserve">of the IWG NATM </w:t>
      </w:r>
      <w:r w:rsidR="00DE07CE">
        <w:rPr>
          <w:rFonts w:cstheme="minorHAnsi"/>
          <w:lang w:val="en-IE"/>
        </w:rPr>
        <w:t xml:space="preserve">considered it valuable to discuss further at which stage in the tiered approach in </w:t>
      </w:r>
      <w:r w:rsidR="00F52210">
        <w:rPr>
          <w:rFonts w:cstheme="minorHAnsi"/>
          <w:lang w:val="en-IE"/>
        </w:rPr>
        <w:t>C</w:t>
      </w:r>
      <w:r w:rsidR="00DE07CE">
        <w:rPr>
          <w:rFonts w:cstheme="minorHAnsi"/>
          <w:lang w:val="en-IE"/>
        </w:rPr>
        <w:t>ha</w:t>
      </w:r>
      <w:r w:rsidR="00FC5C58">
        <w:rPr>
          <w:rFonts w:cstheme="minorHAnsi"/>
          <w:lang w:val="en-IE"/>
        </w:rPr>
        <w:t>p</w:t>
      </w:r>
      <w:r w:rsidR="00DE07CE">
        <w:rPr>
          <w:rFonts w:cstheme="minorHAnsi"/>
          <w:lang w:val="en-IE"/>
        </w:rPr>
        <w:t>ter 3.3 data from similar mixtures should be taken into account. T</w:t>
      </w:r>
      <w:r w:rsidR="00DE07CE" w:rsidRPr="00720D44">
        <w:rPr>
          <w:rFonts w:cstheme="minorHAnsi"/>
          <w:lang w:val="en-IE"/>
        </w:rPr>
        <w:t>here was sympathy to give high</w:t>
      </w:r>
      <w:r w:rsidR="003A3A56">
        <w:rPr>
          <w:rFonts w:cstheme="minorHAnsi"/>
          <w:lang w:val="en-IE"/>
        </w:rPr>
        <w:t>-</w:t>
      </w:r>
      <w:r w:rsidR="00DE07CE" w:rsidRPr="00720D44">
        <w:rPr>
          <w:rFonts w:cstheme="minorHAnsi"/>
          <w:lang w:val="en-IE"/>
        </w:rPr>
        <w:t>quality information on similar mixtures</w:t>
      </w:r>
      <w:r w:rsidR="00F52210">
        <w:rPr>
          <w:rFonts w:cstheme="minorHAnsi"/>
          <w:lang w:val="en-IE"/>
        </w:rPr>
        <w:t>,</w:t>
      </w:r>
      <w:r w:rsidR="00110AE0">
        <w:rPr>
          <w:rFonts w:cstheme="minorHAnsi"/>
          <w:lang w:val="en-IE"/>
        </w:rPr>
        <w:t xml:space="preserve"> </w:t>
      </w:r>
      <w:r w:rsidR="00DE07CE" w:rsidRPr="00720D44">
        <w:rPr>
          <w:rFonts w:cstheme="minorHAnsi"/>
          <w:lang w:val="en-IE"/>
        </w:rPr>
        <w:t>e.g. standard animal</w:t>
      </w:r>
      <w:r w:rsidR="00F52210">
        <w:rPr>
          <w:rFonts w:cstheme="minorHAnsi"/>
          <w:lang w:val="en-IE"/>
        </w:rPr>
        <w:t xml:space="preserve"> or </w:t>
      </w:r>
      <w:r w:rsidR="00F52210" w:rsidRPr="00110AE0">
        <w:rPr>
          <w:rFonts w:cstheme="minorHAnsi"/>
          <w:i/>
          <w:lang w:val="en-IE"/>
        </w:rPr>
        <w:t>in vitro</w:t>
      </w:r>
      <w:r w:rsidR="00DE07CE" w:rsidRPr="00720D44">
        <w:rPr>
          <w:rFonts w:cstheme="minorHAnsi"/>
          <w:lang w:val="en-IE"/>
        </w:rPr>
        <w:t xml:space="preserve"> studies</w:t>
      </w:r>
      <w:r w:rsidR="00F52210">
        <w:rPr>
          <w:rFonts w:cstheme="minorHAnsi"/>
          <w:lang w:val="en-IE"/>
        </w:rPr>
        <w:t>,</w:t>
      </w:r>
      <w:r w:rsidR="00DE07CE" w:rsidRPr="00720D44">
        <w:rPr>
          <w:rFonts w:cstheme="minorHAnsi"/>
          <w:lang w:val="en-IE"/>
        </w:rPr>
        <w:t xml:space="preserve"> a higher </w:t>
      </w:r>
      <w:r w:rsidR="00C37199">
        <w:rPr>
          <w:rFonts w:cstheme="minorHAnsi"/>
          <w:lang w:val="en-IE"/>
        </w:rPr>
        <w:t>priority</w:t>
      </w:r>
      <w:r w:rsidR="00DE07CE" w:rsidRPr="00720D44">
        <w:rPr>
          <w:rFonts w:cstheme="minorHAnsi"/>
          <w:lang w:val="en-IE"/>
        </w:rPr>
        <w:t xml:space="preserve"> in the evaluation process</w:t>
      </w:r>
      <w:r w:rsidR="003A3A56">
        <w:rPr>
          <w:rFonts w:cstheme="minorHAnsi"/>
          <w:lang w:val="en-IE"/>
        </w:rPr>
        <w:t xml:space="preserve"> than is currently the case</w:t>
      </w:r>
      <w:r w:rsidR="00DE07CE" w:rsidRPr="00720D44">
        <w:rPr>
          <w:rFonts w:cstheme="minorHAnsi"/>
          <w:lang w:val="en-IE"/>
        </w:rPr>
        <w:t>.</w:t>
      </w:r>
      <w:r w:rsidR="003A3A56" w:rsidRPr="003A3A56">
        <w:rPr>
          <w:rFonts w:cstheme="minorHAnsi"/>
          <w:lang w:val="en-IE"/>
        </w:rPr>
        <w:t xml:space="preserve"> </w:t>
      </w:r>
    </w:p>
    <w:p w14:paraId="5742F179" w14:textId="3A114D0B" w:rsidR="00407255" w:rsidRDefault="000A6BEC" w:rsidP="005211AE">
      <w:pPr>
        <w:pStyle w:val="SingleTxtG"/>
        <w:rPr>
          <w:rFonts w:cstheme="minorHAnsi"/>
          <w:lang w:val="en-IE"/>
        </w:rPr>
      </w:pPr>
      <w:r>
        <w:rPr>
          <w:rFonts w:cstheme="minorHAnsi"/>
          <w:lang w:val="en-IE"/>
        </w:rPr>
        <w:t xml:space="preserve">5. </w:t>
      </w:r>
      <w:r w:rsidR="00094952">
        <w:rPr>
          <w:rFonts w:cstheme="minorHAnsi"/>
          <w:lang w:val="en-IE"/>
        </w:rPr>
        <w:tab/>
      </w:r>
      <w:r w:rsidR="0098464A" w:rsidRPr="00FC5C58">
        <w:rPr>
          <w:rFonts w:cstheme="minorHAnsi"/>
          <w:lang w:val="en-IE"/>
        </w:rPr>
        <w:t>Overall</w:t>
      </w:r>
      <w:r w:rsidR="00C37199">
        <w:rPr>
          <w:rFonts w:cstheme="minorHAnsi"/>
          <w:lang w:val="en-IE"/>
        </w:rPr>
        <w:t>,</w:t>
      </w:r>
      <w:r w:rsidR="0098464A" w:rsidRPr="00FC5C58">
        <w:rPr>
          <w:rFonts w:cstheme="minorHAnsi"/>
          <w:lang w:val="en-IE"/>
        </w:rPr>
        <w:t xml:space="preserve"> there was a common understanding </w:t>
      </w:r>
      <w:r w:rsidR="0098464A">
        <w:rPr>
          <w:rFonts w:cstheme="minorHAnsi"/>
          <w:lang w:val="en-IE"/>
        </w:rPr>
        <w:t xml:space="preserve">in the IWG NATM </w:t>
      </w:r>
      <w:r w:rsidR="0098464A" w:rsidRPr="00FC5C58">
        <w:rPr>
          <w:rFonts w:cstheme="minorHAnsi"/>
          <w:lang w:val="en-IE"/>
        </w:rPr>
        <w:t>that future work on this topic would have value and deserve</w:t>
      </w:r>
      <w:r w:rsidR="00C37199">
        <w:rPr>
          <w:rFonts w:cstheme="minorHAnsi"/>
          <w:lang w:val="en-IE"/>
        </w:rPr>
        <w:t>s</w:t>
      </w:r>
      <w:r w:rsidR="0098464A" w:rsidRPr="00FC5C58">
        <w:rPr>
          <w:rFonts w:cstheme="minorHAnsi"/>
          <w:lang w:val="en-IE"/>
        </w:rPr>
        <w:t xml:space="preserve"> further exploration. </w:t>
      </w:r>
      <w:r w:rsidR="002A7BDD">
        <w:rPr>
          <w:rFonts w:cstheme="minorHAnsi"/>
          <w:lang w:val="en-IE"/>
        </w:rPr>
        <w:t>The more so, as it is expected that the issue will</w:t>
      </w:r>
      <w:r w:rsidR="005211AE">
        <w:rPr>
          <w:rFonts w:cstheme="minorHAnsi"/>
          <w:lang w:val="en-IE"/>
        </w:rPr>
        <w:t xml:space="preserve"> also</w:t>
      </w:r>
      <w:r w:rsidR="002A7BDD">
        <w:rPr>
          <w:rFonts w:cstheme="minorHAnsi"/>
          <w:lang w:val="en-IE"/>
        </w:rPr>
        <w:t xml:space="preserve"> be</w:t>
      </w:r>
      <w:r w:rsidR="005211AE">
        <w:rPr>
          <w:rFonts w:cstheme="minorHAnsi"/>
          <w:lang w:val="en-IE"/>
        </w:rPr>
        <w:t xml:space="preserve"> of high re</w:t>
      </w:r>
      <w:r w:rsidR="002A7BDD">
        <w:rPr>
          <w:rFonts w:cstheme="minorHAnsi"/>
          <w:lang w:val="en-IE"/>
        </w:rPr>
        <w:t>levan</w:t>
      </w:r>
      <w:r w:rsidR="005211AE">
        <w:rPr>
          <w:rFonts w:cstheme="minorHAnsi"/>
          <w:lang w:val="en-IE"/>
        </w:rPr>
        <w:t>ce</w:t>
      </w:r>
      <w:r w:rsidR="002A7BDD">
        <w:rPr>
          <w:rFonts w:cstheme="minorHAnsi"/>
          <w:lang w:val="en-IE"/>
        </w:rPr>
        <w:t xml:space="preserve"> for the planned work</w:t>
      </w:r>
      <w:r w:rsidR="005211AE">
        <w:rPr>
          <w:rFonts w:cstheme="minorHAnsi"/>
          <w:lang w:val="en-IE"/>
        </w:rPr>
        <w:t xml:space="preserve"> on </w:t>
      </w:r>
      <w:r w:rsidR="00F52210">
        <w:rPr>
          <w:rFonts w:cstheme="minorHAnsi"/>
          <w:lang w:val="en-IE"/>
        </w:rPr>
        <w:t>C</w:t>
      </w:r>
      <w:r w:rsidR="005211AE">
        <w:rPr>
          <w:rFonts w:cstheme="minorHAnsi"/>
          <w:lang w:val="en-IE"/>
        </w:rPr>
        <w:t xml:space="preserve">hapter 3.4 </w:t>
      </w:r>
      <w:r w:rsidR="005211AE">
        <w:rPr>
          <w:rFonts w:cstheme="minorHAnsi"/>
          <w:lang w:val="en-IE"/>
        </w:rPr>
        <w:lastRenderedPageBreak/>
        <w:t>“Sensitization”</w:t>
      </w:r>
      <w:r w:rsidR="002A7BDD">
        <w:rPr>
          <w:rFonts w:cstheme="minorHAnsi"/>
          <w:lang w:val="en-IE"/>
        </w:rPr>
        <w:t xml:space="preserve">. </w:t>
      </w:r>
      <w:r w:rsidR="00DE07CE" w:rsidRPr="00720D44">
        <w:rPr>
          <w:rFonts w:cstheme="minorHAnsi"/>
          <w:lang w:val="en-IE"/>
        </w:rPr>
        <w:t>However, considerations will be complex</w:t>
      </w:r>
      <w:r w:rsidR="006B3AEC">
        <w:rPr>
          <w:rFonts w:cstheme="minorHAnsi"/>
          <w:lang w:val="en-IE"/>
        </w:rPr>
        <w:t xml:space="preserve"> </w:t>
      </w:r>
      <w:r w:rsidR="00DE07CE" w:rsidRPr="00720D44">
        <w:rPr>
          <w:rFonts w:cstheme="minorHAnsi"/>
          <w:lang w:val="en-IE"/>
        </w:rPr>
        <w:t>and need detailed in</w:t>
      </w:r>
      <w:r w:rsidR="007141F5">
        <w:rPr>
          <w:rFonts w:cstheme="minorHAnsi"/>
          <w:lang w:val="en-IE"/>
        </w:rPr>
        <w:t>-</w:t>
      </w:r>
      <w:r w:rsidR="00DE07CE" w:rsidRPr="00720D44">
        <w:rPr>
          <w:rFonts w:cstheme="minorHAnsi"/>
          <w:lang w:val="en-IE"/>
        </w:rPr>
        <w:t xml:space="preserve">depth discussion. </w:t>
      </w:r>
      <w:r w:rsidR="007141F5">
        <w:rPr>
          <w:rFonts w:cstheme="minorHAnsi"/>
          <w:lang w:val="en-IE"/>
        </w:rPr>
        <w:t>I</w:t>
      </w:r>
      <w:r w:rsidR="00DE07CE" w:rsidRPr="00720D44">
        <w:rPr>
          <w:rFonts w:cstheme="minorHAnsi"/>
          <w:lang w:val="en-IE"/>
        </w:rPr>
        <w:t xml:space="preserve">t might </w:t>
      </w:r>
      <w:r w:rsidR="0098464A">
        <w:rPr>
          <w:rFonts w:cstheme="minorHAnsi"/>
          <w:lang w:val="en-IE"/>
        </w:rPr>
        <w:t xml:space="preserve">also </w:t>
      </w:r>
      <w:r w:rsidR="00DE07CE" w:rsidRPr="00720D44">
        <w:rPr>
          <w:rFonts w:cstheme="minorHAnsi"/>
          <w:lang w:val="en-IE"/>
        </w:rPr>
        <w:t>be necessary to define</w:t>
      </w:r>
      <w:r w:rsidR="00F52210">
        <w:rPr>
          <w:rFonts w:cstheme="minorHAnsi"/>
          <w:lang w:val="en-IE"/>
        </w:rPr>
        <w:t xml:space="preserve"> quality standards </w:t>
      </w:r>
      <w:r w:rsidR="00110AE0">
        <w:rPr>
          <w:rFonts w:cstheme="minorHAnsi"/>
          <w:lang w:val="en-IE"/>
        </w:rPr>
        <w:t xml:space="preserve">for data on similar mixtures to be </w:t>
      </w:r>
      <w:r w:rsidR="00C65B43">
        <w:rPr>
          <w:rFonts w:cstheme="minorHAnsi"/>
          <w:lang w:val="en-IE"/>
        </w:rPr>
        <w:t>used</w:t>
      </w:r>
      <w:r w:rsidR="00110AE0">
        <w:rPr>
          <w:rFonts w:cstheme="minorHAnsi"/>
          <w:lang w:val="en-IE"/>
        </w:rPr>
        <w:t xml:space="preserve"> </w:t>
      </w:r>
      <w:r w:rsidR="00F52210">
        <w:rPr>
          <w:rFonts w:cstheme="minorHAnsi"/>
          <w:lang w:val="en-IE"/>
        </w:rPr>
        <w:t>for</w:t>
      </w:r>
      <w:r w:rsidR="00DE07CE" w:rsidRPr="00720D44">
        <w:rPr>
          <w:rFonts w:cstheme="minorHAnsi"/>
          <w:lang w:val="en-IE"/>
        </w:rPr>
        <w:t xml:space="preserve"> </w:t>
      </w:r>
      <w:r w:rsidR="00D61334">
        <w:rPr>
          <w:rFonts w:cstheme="minorHAnsi"/>
          <w:lang w:val="en-IE"/>
        </w:rPr>
        <w:t>“bridging”</w:t>
      </w:r>
      <w:r w:rsidR="00DE07CE" w:rsidRPr="00720D44">
        <w:rPr>
          <w:rFonts w:cstheme="minorHAnsi"/>
          <w:lang w:val="en-IE"/>
        </w:rPr>
        <w:t xml:space="preserve">. </w:t>
      </w:r>
      <w:r w:rsidR="00FC5C58">
        <w:rPr>
          <w:rFonts w:cstheme="minorHAnsi"/>
          <w:lang w:val="en-IE"/>
        </w:rPr>
        <w:t xml:space="preserve">In </w:t>
      </w:r>
      <w:r w:rsidR="00DE07CE" w:rsidRPr="00FC5C58">
        <w:rPr>
          <w:rFonts w:cstheme="minorHAnsi"/>
          <w:lang w:val="en-IE"/>
        </w:rPr>
        <w:t>addition</w:t>
      </w:r>
      <w:r w:rsidR="007141F5">
        <w:rPr>
          <w:rFonts w:cstheme="minorHAnsi"/>
          <w:lang w:val="en-IE"/>
        </w:rPr>
        <w:t>,</w:t>
      </w:r>
      <w:r w:rsidR="00DE07CE" w:rsidRPr="00FC5C58">
        <w:rPr>
          <w:rFonts w:cstheme="minorHAnsi"/>
          <w:lang w:val="en-IE"/>
        </w:rPr>
        <w:t xml:space="preserve"> </w:t>
      </w:r>
      <w:r w:rsidR="007141F5">
        <w:rPr>
          <w:rFonts w:cstheme="minorHAnsi"/>
          <w:lang w:val="en-IE"/>
        </w:rPr>
        <w:t xml:space="preserve">care needs to be taken </w:t>
      </w:r>
      <w:r w:rsidR="00DE07CE" w:rsidRPr="00FC5C58">
        <w:rPr>
          <w:rFonts w:cstheme="minorHAnsi"/>
          <w:lang w:val="en-IE"/>
        </w:rPr>
        <w:t xml:space="preserve">not to induce unwanted consequential changes on other </w:t>
      </w:r>
      <w:r w:rsidR="006B3AEC">
        <w:rPr>
          <w:rFonts w:cstheme="minorHAnsi"/>
          <w:lang w:val="en-IE"/>
        </w:rPr>
        <w:t>c</w:t>
      </w:r>
      <w:r w:rsidR="00DE07CE" w:rsidRPr="00FC5C58">
        <w:rPr>
          <w:rFonts w:cstheme="minorHAnsi"/>
          <w:lang w:val="en-IE"/>
        </w:rPr>
        <w:t>hapters or the need to reclassify mixtures already classified.</w:t>
      </w:r>
    </w:p>
    <w:p w14:paraId="4FCE4BE2" w14:textId="430D16BF" w:rsidR="00D16961" w:rsidRDefault="000A6BEC" w:rsidP="002A7BDD">
      <w:pPr>
        <w:spacing w:before="120" w:line="240" w:lineRule="auto"/>
        <w:ind w:left="1134" w:right="1134"/>
        <w:jc w:val="both"/>
      </w:pPr>
      <w:r>
        <w:t xml:space="preserve">6. </w:t>
      </w:r>
      <w:r w:rsidR="00094952">
        <w:tab/>
      </w:r>
      <w:r w:rsidR="00D16961">
        <w:t>In the sections below a work plan is proposed to address this issue and find an appropriate solution for chapters 3.2, 3.3</w:t>
      </w:r>
      <w:r w:rsidR="0067301B">
        <w:t>, 3.</w:t>
      </w:r>
      <w:r w:rsidR="00D16961">
        <w:t xml:space="preserve">4 as well as </w:t>
      </w:r>
      <w:r w:rsidR="00186F99">
        <w:t>C</w:t>
      </w:r>
      <w:r w:rsidR="00D16961">
        <w:t>hapter 1.3.</w:t>
      </w:r>
    </w:p>
    <w:p w14:paraId="3675E4F9" w14:textId="110F5B5B" w:rsidR="00421B79" w:rsidRDefault="00421B79" w:rsidP="004C5B0B">
      <w:pPr>
        <w:pStyle w:val="HChG"/>
      </w:pPr>
      <w:r>
        <w:tab/>
      </w:r>
      <w:r>
        <w:tab/>
        <w:t>Proposal</w:t>
      </w:r>
    </w:p>
    <w:p w14:paraId="27F37770" w14:textId="50FA8966" w:rsidR="00AB4896" w:rsidRDefault="00D16961" w:rsidP="00094952">
      <w:pPr>
        <w:spacing w:before="120" w:after="240" w:line="240" w:lineRule="auto"/>
        <w:ind w:left="1134" w:right="1134"/>
        <w:jc w:val="both"/>
      </w:pPr>
      <w:r>
        <w:t xml:space="preserve">7. </w:t>
      </w:r>
      <w:r w:rsidR="00094952">
        <w:tab/>
      </w:r>
      <w:r w:rsidR="00AB4896" w:rsidRPr="000657C6">
        <w:t xml:space="preserve">The Sub-Committee is invited to </w:t>
      </w:r>
      <w:r w:rsidR="005E3EF0">
        <w:t>consider</w:t>
      </w:r>
      <w:r w:rsidR="005E3EF0" w:rsidRPr="000657C6">
        <w:t xml:space="preserve"> </w:t>
      </w:r>
      <w:r w:rsidR="00AB4896" w:rsidRPr="000657C6">
        <w:t>the</w:t>
      </w:r>
      <w:r w:rsidR="00AB4896">
        <w:t xml:space="preserve"> </w:t>
      </w:r>
      <w:r w:rsidR="005E3EF0">
        <w:t xml:space="preserve">proposed </w:t>
      </w:r>
      <w:r w:rsidR="00AB4896">
        <w:t xml:space="preserve">terms of reference </w:t>
      </w:r>
      <w:r w:rsidR="0067301B">
        <w:t xml:space="preserve">and </w:t>
      </w:r>
      <w:r w:rsidR="005E3EF0">
        <w:t xml:space="preserve">related </w:t>
      </w:r>
      <w:r w:rsidR="0067301B">
        <w:t>workstream</w:t>
      </w:r>
      <w:r w:rsidR="005E3EF0">
        <w:t>s</w:t>
      </w:r>
      <w:r w:rsidR="0067301B">
        <w:t xml:space="preserve"> </w:t>
      </w:r>
      <w:r w:rsidR="005E3EF0">
        <w:t xml:space="preserve">for inclusion in the programme of work </w:t>
      </w:r>
      <w:r w:rsidR="00AB4896">
        <w:t>for the next biennium.</w:t>
      </w:r>
      <w:r w:rsidR="00407255">
        <w:t xml:space="preserve"> </w:t>
      </w:r>
      <w:r w:rsidR="00B16065">
        <w:t>The Sub-</w:t>
      </w:r>
      <w:r w:rsidR="00407255">
        <w:t>C</w:t>
      </w:r>
      <w:r w:rsidR="00AB4896">
        <w:t xml:space="preserve">ommittee </w:t>
      </w:r>
      <w:r w:rsidR="00407255">
        <w:t xml:space="preserve">is also </w:t>
      </w:r>
      <w:r w:rsidR="005E3EF0">
        <w:t xml:space="preserve">invited </w:t>
      </w:r>
      <w:r w:rsidR="00407255">
        <w:t xml:space="preserve">to decide </w:t>
      </w:r>
      <w:r>
        <w:t xml:space="preserve">which </w:t>
      </w:r>
      <w:r w:rsidR="00214DD4">
        <w:t xml:space="preserve">informal </w:t>
      </w:r>
      <w:r>
        <w:t xml:space="preserve">working group is deemed appropriate to </w:t>
      </w:r>
      <w:r w:rsidR="007141F5">
        <w:t xml:space="preserve">address </w:t>
      </w:r>
      <w:r w:rsidR="00AB4896">
        <w:t>the issues raised</w:t>
      </w:r>
      <w:r w:rsidR="0067301B">
        <w:t xml:space="preserve"> below</w:t>
      </w:r>
      <w:r w:rsidR="00407255">
        <w:t xml:space="preserve">. Possible </w:t>
      </w:r>
      <w:r w:rsidR="006F3872">
        <w:t>options</w:t>
      </w:r>
      <w:r w:rsidR="00407255">
        <w:t xml:space="preserve"> include:</w:t>
      </w:r>
    </w:p>
    <w:p w14:paraId="37811A9B" w14:textId="19EFE759" w:rsidR="00DE740F" w:rsidRDefault="00DE740F" w:rsidP="003057D1">
      <w:pPr>
        <w:pStyle w:val="SingleTxtG"/>
        <w:ind w:left="2127" w:hanging="993"/>
        <w:jc w:val="left"/>
        <w:rPr>
          <w:lang w:val="en-IE"/>
        </w:rPr>
      </w:pPr>
      <w:r w:rsidRPr="006B3AEC">
        <w:rPr>
          <w:b/>
        </w:rPr>
        <w:t>Option 1:</w:t>
      </w:r>
      <w:r>
        <w:t xml:space="preserve"> </w:t>
      </w:r>
      <w:r w:rsidR="006B3AEC">
        <w:tab/>
      </w:r>
      <w:r w:rsidR="00F92ADB" w:rsidRPr="00AB4896">
        <w:t xml:space="preserve">the </w:t>
      </w:r>
      <w:r w:rsidR="00F92ADB">
        <w:t xml:space="preserve">IWG </w:t>
      </w:r>
      <w:r w:rsidR="00F92ADB" w:rsidRPr="00AB4896">
        <w:rPr>
          <w:lang w:val="en-IE"/>
        </w:rPr>
        <w:t>NATM</w:t>
      </w:r>
      <w:r w:rsidR="00F92ADB">
        <w:t xml:space="preserve"> (</w:t>
      </w:r>
      <w:r w:rsidR="00350101">
        <w:t xml:space="preserve">as an additional workstream </w:t>
      </w:r>
      <w:r w:rsidR="002734BF">
        <w:t xml:space="preserve">under </w:t>
      </w:r>
      <w:r w:rsidR="00F92ADB">
        <w:t>its</w:t>
      </w:r>
      <w:r w:rsidR="002734BF">
        <w:t xml:space="preserve"> terms of reference</w:t>
      </w:r>
      <w:r w:rsidR="00F92ADB">
        <w:t xml:space="preserve">, </w:t>
      </w:r>
      <w:r w:rsidR="00214DD4">
        <w:t xml:space="preserve">given </w:t>
      </w:r>
      <w:r>
        <w:t xml:space="preserve">its </w:t>
      </w:r>
      <w:r w:rsidR="00214DD4">
        <w:t>relationship</w:t>
      </w:r>
      <w:r w:rsidR="00350101">
        <w:t xml:space="preserve"> with</w:t>
      </w:r>
      <w:r>
        <w:t xml:space="preserve"> non-test methods</w:t>
      </w:r>
      <w:r w:rsidR="00214DD4">
        <w:t>)</w:t>
      </w:r>
    </w:p>
    <w:p w14:paraId="4239C301" w14:textId="132EE8AA" w:rsidR="00AB4896" w:rsidRDefault="001A7163" w:rsidP="0059369E">
      <w:pPr>
        <w:pStyle w:val="SingleTxtG"/>
        <w:ind w:left="2127" w:right="992" w:hanging="993"/>
        <w:jc w:val="left"/>
        <w:rPr>
          <w:lang w:val="en-IE"/>
        </w:rPr>
      </w:pPr>
      <w:r w:rsidRPr="006B3AEC">
        <w:rPr>
          <w:b/>
          <w:lang w:val="en-IE"/>
        </w:rPr>
        <w:t xml:space="preserve">Option </w:t>
      </w:r>
      <w:r w:rsidR="00DE740F" w:rsidRPr="006B3AEC">
        <w:rPr>
          <w:b/>
          <w:lang w:val="en-IE"/>
        </w:rPr>
        <w:t>2:</w:t>
      </w:r>
      <w:r w:rsidR="002734BF">
        <w:rPr>
          <w:b/>
          <w:lang w:val="en-IE"/>
        </w:rPr>
        <w:t xml:space="preserve"> </w:t>
      </w:r>
      <w:r w:rsidR="002734BF">
        <w:rPr>
          <w:b/>
          <w:lang w:val="en-IE"/>
        </w:rPr>
        <w:tab/>
      </w:r>
      <w:r w:rsidR="00F92ADB" w:rsidRPr="00094952">
        <w:rPr>
          <w:bCs/>
          <w:lang w:val="en-IE"/>
        </w:rPr>
        <w:t>the</w:t>
      </w:r>
      <w:r w:rsidR="00F92ADB">
        <w:rPr>
          <w:lang w:val="en-IE"/>
        </w:rPr>
        <w:t xml:space="preserve"> PCI informal working group (</w:t>
      </w:r>
      <w:r w:rsidR="002734BF" w:rsidRPr="00094952">
        <w:rPr>
          <w:bCs/>
          <w:lang w:val="en-IE"/>
        </w:rPr>
        <w:t xml:space="preserve">as an additional workstream under </w:t>
      </w:r>
      <w:r w:rsidR="00F92ADB">
        <w:rPr>
          <w:bCs/>
          <w:lang w:val="en-IE"/>
        </w:rPr>
        <w:t>its</w:t>
      </w:r>
      <w:r w:rsidR="002734BF" w:rsidRPr="00094952">
        <w:rPr>
          <w:bCs/>
          <w:lang w:val="en-IE"/>
        </w:rPr>
        <w:t xml:space="preserve"> terms of reference</w:t>
      </w:r>
      <w:r w:rsidR="00F92ADB">
        <w:rPr>
          <w:bCs/>
          <w:lang w:val="en-IE"/>
        </w:rPr>
        <w:t xml:space="preserve">, </w:t>
      </w:r>
      <w:r w:rsidR="00350101">
        <w:rPr>
          <w:lang w:val="en-IE"/>
        </w:rPr>
        <w:t xml:space="preserve">given </w:t>
      </w:r>
      <w:r w:rsidR="00DE740F">
        <w:rPr>
          <w:lang w:val="en-IE"/>
        </w:rPr>
        <w:t>the overarching nature of the proposal</w:t>
      </w:r>
      <w:r w:rsidR="002734BF">
        <w:rPr>
          <w:lang w:val="en-IE"/>
        </w:rPr>
        <w:t>)</w:t>
      </w:r>
      <w:r w:rsidR="00F92ADB">
        <w:rPr>
          <w:lang w:val="en-IE"/>
        </w:rPr>
        <w:t>.</w:t>
      </w:r>
    </w:p>
    <w:p w14:paraId="6F439753" w14:textId="04F297A6" w:rsidR="002E426E" w:rsidRDefault="00F92ADB" w:rsidP="00EF1083">
      <w:pPr>
        <w:pStyle w:val="H1G"/>
      </w:pPr>
      <w:r>
        <w:tab/>
      </w:r>
      <w:r w:rsidR="00EF1083">
        <w:tab/>
      </w:r>
      <w:r w:rsidR="00EF1083">
        <w:tab/>
        <w:t xml:space="preserve">Proposed </w:t>
      </w:r>
      <w:r w:rsidR="001A7163">
        <w:t>terms of reference</w:t>
      </w:r>
      <w:r w:rsidR="002734BF">
        <w:t xml:space="preserve"> </w:t>
      </w:r>
    </w:p>
    <w:p w14:paraId="3AA28BC4" w14:textId="64E50F3C" w:rsidR="00454B64" w:rsidRDefault="00ED3F89" w:rsidP="0059369E">
      <w:pPr>
        <w:pStyle w:val="SingleTxtG"/>
      </w:pPr>
      <w:r w:rsidRPr="003E4E25">
        <w:t>D</w:t>
      </w:r>
      <w:r w:rsidR="00D96FA3">
        <w:t xml:space="preserve">evelop and </w:t>
      </w:r>
      <w:r w:rsidR="00081931">
        <w:t>propose</w:t>
      </w:r>
      <w:r w:rsidR="00F92ADB">
        <w:t xml:space="preserve"> </w:t>
      </w:r>
      <w:r w:rsidR="00454B64">
        <w:t>a scientifically sound procedure for the tiered approach for classification of mixtures in c</w:t>
      </w:r>
      <w:r w:rsidR="00713BDB">
        <w:t>hapter</w:t>
      </w:r>
      <w:r w:rsidR="005C2CD2">
        <w:t>s</w:t>
      </w:r>
      <w:r w:rsidR="0002286B" w:rsidRPr="00720D44">
        <w:t xml:space="preserve"> 3.</w:t>
      </w:r>
      <w:r w:rsidR="00812F3B">
        <w:t>2</w:t>
      </w:r>
      <w:r w:rsidR="0002286B" w:rsidRPr="00720D44">
        <w:t xml:space="preserve"> </w:t>
      </w:r>
      <w:r w:rsidR="006F387E">
        <w:t>to</w:t>
      </w:r>
      <w:r w:rsidR="006F387E" w:rsidRPr="00720D44">
        <w:t xml:space="preserve"> </w:t>
      </w:r>
      <w:r w:rsidR="0002286B" w:rsidRPr="00720D44">
        <w:t>3.</w:t>
      </w:r>
      <w:r w:rsidR="006F387E">
        <w:t>4</w:t>
      </w:r>
      <w:r w:rsidR="0002286B">
        <w:t xml:space="preserve"> </w:t>
      </w:r>
      <w:r w:rsidR="00454B64">
        <w:t>allowing</w:t>
      </w:r>
      <w:r w:rsidR="00CB162B">
        <w:t xml:space="preserve"> use </w:t>
      </w:r>
      <w:r w:rsidR="00454B64">
        <w:t xml:space="preserve">of </w:t>
      </w:r>
      <w:r w:rsidR="0002286B">
        <w:t xml:space="preserve">the available data in the </w:t>
      </w:r>
      <w:r w:rsidR="008C1DEB">
        <w:t>most appropriate</w:t>
      </w:r>
      <w:r w:rsidR="0002286B">
        <w:t xml:space="preserve"> possible way. </w:t>
      </w:r>
      <w:r w:rsidR="00B2564C">
        <w:t xml:space="preserve">A preliminary evaluation will be conducted: </w:t>
      </w:r>
    </w:p>
    <w:p w14:paraId="1E2EE1CA" w14:textId="1DF51366" w:rsidR="00F92ADB" w:rsidRDefault="003735AA" w:rsidP="00CA6859">
      <w:pPr>
        <w:pStyle w:val="SingleTxtG"/>
        <w:ind w:left="1701" w:hanging="567"/>
      </w:pPr>
      <w:r>
        <w:t>(a)</w:t>
      </w:r>
      <w:r>
        <w:tab/>
      </w:r>
      <w:r w:rsidR="00E500B7">
        <w:t xml:space="preserve">including </w:t>
      </w:r>
      <w:r w:rsidR="00AB4896">
        <w:t xml:space="preserve">an analysis of </w:t>
      </w:r>
      <w:r w:rsidR="005C2CD2">
        <w:t>the present strategies for all health hazards</w:t>
      </w:r>
      <w:r w:rsidR="00CF1E77">
        <w:t xml:space="preserve"> and </w:t>
      </w:r>
      <w:r w:rsidR="0063283C">
        <w:t>aim</w:t>
      </w:r>
      <w:r>
        <w:t>in</w:t>
      </w:r>
      <w:r w:rsidR="00B2564C">
        <w:t>g</w:t>
      </w:r>
      <w:r w:rsidR="0063283C">
        <w:t xml:space="preserve"> at identifying</w:t>
      </w:r>
      <w:r w:rsidR="0002286B">
        <w:t xml:space="preserve"> </w:t>
      </w:r>
      <w:r w:rsidR="0002286B" w:rsidRPr="00720D44">
        <w:t xml:space="preserve">when and how bridging </w:t>
      </w:r>
      <w:r w:rsidR="0002286B">
        <w:t xml:space="preserve">principles are best to be </w:t>
      </w:r>
      <w:r w:rsidR="0002286B" w:rsidRPr="00720D44">
        <w:t>considered in the classification process</w:t>
      </w:r>
      <w:r w:rsidR="00C82A9B">
        <w:t>;</w:t>
      </w:r>
    </w:p>
    <w:p w14:paraId="2748B83C" w14:textId="41F4F2BA" w:rsidR="00B35DF8" w:rsidRDefault="003735AA" w:rsidP="00CA6859">
      <w:pPr>
        <w:pStyle w:val="SingleTxtG"/>
        <w:ind w:left="1701" w:hanging="567"/>
      </w:pPr>
      <w:r>
        <w:t>(b)</w:t>
      </w:r>
      <w:r>
        <w:tab/>
      </w:r>
      <w:r w:rsidR="00B2564C">
        <w:t>defining</w:t>
      </w:r>
      <w:r w:rsidR="00CF1E77">
        <w:t xml:space="preserve"> which </w:t>
      </w:r>
      <w:r w:rsidR="00604313">
        <w:t xml:space="preserve">requirements </w:t>
      </w:r>
      <w:r w:rsidR="00CB162B">
        <w:t xml:space="preserve">need to </w:t>
      </w:r>
      <w:r w:rsidR="00604313">
        <w:t xml:space="preserve">apply </w:t>
      </w:r>
      <w:r w:rsidR="00812F3B">
        <w:t>to</w:t>
      </w:r>
      <w:r w:rsidR="00604313">
        <w:t xml:space="preserve"> data from similar mixtures</w:t>
      </w:r>
      <w:r w:rsidR="00CF1E77">
        <w:t xml:space="preserve"> to b</w:t>
      </w:r>
      <w:r w:rsidR="00B16065">
        <w:t>e useful for bridging purposes</w:t>
      </w:r>
      <w:r w:rsidR="00C82A9B">
        <w:t>;</w:t>
      </w:r>
    </w:p>
    <w:p w14:paraId="43F9B66C" w14:textId="29360F79" w:rsidR="00CF1E77" w:rsidRDefault="003735AA" w:rsidP="00CA6859">
      <w:pPr>
        <w:pStyle w:val="SingleTxtG"/>
        <w:ind w:left="1701" w:hanging="567"/>
      </w:pPr>
      <w:r>
        <w:t>(c)</w:t>
      </w:r>
      <w:r>
        <w:tab/>
      </w:r>
      <w:r w:rsidR="00E00F27">
        <w:t>exploring</w:t>
      </w:r>
      <w:r w:rsidR="00CF1E77">
        <w:t xml:space="preserve"> b</w:t>
      </w:r>
      <w:r w:rsidR="0002286B">
        <w:t xml:space="preserve">y comparison with the </w:t>
      </w:r>
      <w:r w:rsidR="00FC5C58" w:rsidRPr="00720D44">
        <w:t xml:space="preserve">relevant </w:t>
      </w:r>
      <w:r w:rsidR="005C2CD2">
        <w:t xml:space="preserve">sections of </w:t>
      </w:r>
      <w:r w:rsidR="00586F70">
        <w:t>C</w:t>
      </w:r>
      <w:r w:rsidR="00713BDB">
        <w:t>hapter</w:t>
      </w:r>
      <w:r w:rsidR="006F387E">
        <w:t xml:space="preserve"> </w:t>
      </w:r>
      <w:r w:rsidR="00FC5C58" w:rsidRPr="00720D44">
        <w:t>1.3</w:t>
      </w:r>
      <w:r w:rsidR="00E00F27">
        <w:t>,</w:t>
      </w:r>
      <w:r w:rsidR="00FC5C58">
        <w:t xml:space="preserve"> </w:t>
      </w:r>
      <w:r w:rsidR="0002286B">
        <w:t xml:space="preserve">to which extent </w:t>
      </w:r>
      <w:r w:rsidR="00CF1E77">
        <w:t xml:space="preserve">improvements of the classification process for mixtures </w:t>
      </w:r>
      <w:r w:rsidR="00FB14F5">
        <w:t xml:space="preserve">in </w:t>
      </w:r>
      <w:r w:rsidR="00186F99">
        <w:t>c</w:t>
      </w:r>
      <w:r w:rsidR="00FB14F5">
        <w:t xml:space="preserve">hapters </w:t>
      </w:r>
      <w:r w:rsidR="00FB14F5" w:rsidRPr="00720D44">
        <w:t>3.</w:t>
      </w:r>
      <w:r w:rsidR="00FB14F5">
        <w:t>2</w:t>
      </w:r>
      <w:r w:rsidR="00FB14F5" w:rsidRPr="00720D44">
        <w:t xml:space="preserve"> </w:t>
      </w:r>
      <w:r w:rsidR="00FB14F5">
        <w:t>to</w:t>
      </w:r>
      <w:r w:rsidR="00FB14F5" w:rsidRPr="00720D44">
        <w:t xml:space="preserve"> 3.</w:t>
      </w:r>
      <w:r w:rsidR="00FB14F5">
        <w:t xml:space="preserve">4 are </w:t>
      </w:r>
      <w:r w:rsidR="0002286B">
        <w:t xml:space="preserve">compatible with the rules in </w:t>
      </w:r>
      <w:r w:rsidR="00586F70">
        <w:t>C</w:t>
      </w:r>
      <w:r w:rsidR="00713BDB">
        <w:t>hapter</w:t>
      </w:r>
      <w:r w:rsidR="00546947">
        <w:t xml:space="preserve"> </w:t>
      </w:r>
      <w:r w:rsidR="0002286B">
        <w:t>1.3.</w:t>
      </w:r>
    </w:p>
    <w:p w14:paraId="4CB0AD28" w14:textId="39927E07" w:rsidR="00E81147" w:rsidRDefault="0002286B" w:rsidP="00CF1E77">
      <w:pPr>
        <w:pStyle w:val="SingleTxtG"/>
      </w:pPr>
      <w:r>
        <w:t>If deemed necessary</w:t>
      </w:r>
      <w:r w:rsidR="00812F3B">
        <w:t>,</w:t>
      </w:r>
      <w:r>
        <w:t xml:space="preserve"> options for improvement w</w:t>
      </w:r>
      <w:r w:rsidR="007D024A">
        <w:t>ill be identified and proposed.</w:t>
      </w:r>
    </w:p>
    <w:p w14:paraId="282E6ABC" w14:textId="782685C1" w:rsidR="002E426E" w:rsidRPr="007314F7" w:rsidRDefault="00C71E7C" w:rsidP="003E4E25">
      <w:pPr>
        <w:pStyle w:val="SingleTxtG"/>
        <w:rPr>
          <w:b/>
        </w:rPr>
      </w:pPr>
      <w:r>
        <w:t>The p</w:t>
      </w:r>
      <w:r w:rsidR="00993E70" w:rsidRPr="007314F7">
        <w:t>roposed workstream</w:t>
      </w:r>
      <w:r>
        <w:t xml:space="preserve">s are </w:t>
      </w:r>
      <w:r w:rsidR="00B35DF8">
        <w:t xml:space="preserve">detailed below: </w:t>
      </w:r>
    </w:p>
    <w:p w14:paraId="3C299BD0" w14:textId="1837069B" w:rsidR="00604313" w:rsidRPr="00993E70" w:rsidRDefault="00B35DF8" w:rsidP="00EF1083">
      <w:pPr>
        <w:pStyle w:val="H23G"/>
      </w:pPr>
      <w:r>
        <w:tab/>
      </w:r>
      <w:r>
        <w:tab/>
      </w:r>
      <w:r w:rsidR="00E84493">
        <w:t xml:space="preserve">Workstream 1: </w:t>
      </w:r>
      <w:r w:rsidR="00604313" w:rsidRPr="00993E70">
        <w:t xml:space="preserve">Analysis of </w:t>
      </w:r>
      <w:r w:rsidR="00812F3B" w:rsidRPr="00993E70">
        <w:t>the status quo</w:t>
      </w:r>
    </w:p>
    <w:p w14:paraId="6DE2D64E" w14:textId="78AED783" w:rsidR="00604313" w:rsidRDefault="00E84493" w:rsidP="00FF215E">
      <w:pPr>
        <w:pStyle w:val="SingleTxtG"/>
        <w:ind w:left="2268" w:hanging="567"/>
      </w:pPr>
      <w:r>
        <w:t xml:space="preserve">(a) </w:t>
      </w:r>
      <w:r w:rsidR="00B35DF8">
        <w:tab/>
      </w:r>
      <w:r w:rsidR="00604313">
        <w:t xml:space="preserve">Review the relevant sections in the chapters in Part 3 “Health hazards” of the </w:t>
      </w:r>
      <w:r w:rsidR="0063283C">
        <w:t>GHS</w:t>
      </w:r>
      <w:r w:rsidR="00604313">
        <w:t xml:space="preserve"> to identify and analyse the stepwise procedure in the approaches for mixture </w:t>
      </w:r>
      <w:r w:rsidR="00812F3B">
        <w:t xml:space="preserve">vs. substance </w:t>
      </w:r>
      <w:r w:rsidR="00604313">
        <w:t>classification in each chapter</w:t>
      </w:r>
      <w:r w:rsidR="00EB64C9">
        <w:t xml:space="preserve">; </w:t>
      </w:r>
    </w:p>
    <w:p w14:paraId="63FEC585" w14:textId="6E343EF9" w:rsidR="00604313" w:rsidRDefault="00E84493" w:rsidP="00FF215E">
      <w:pPr>
        <w:pStyle w:val="SingleTxtG"/>
        <w:ind w:left="2268" w:hanging="567"/>
      </w:pPr>
      <w:r>
        <w:t xml:space="preserve">(b) </w:t>
      </w:r>
      <w:r w:rsidR="00B35DF8">
        <w:tab/>
      </w:r>
      <w:r w:rsidR="005C2CD2">
        <w:t xml:space="preserve">Identify the </w:t>
      </w:r>
      <w:r w:rsidR="00654EB6">
        <w:t xml:space="preserve">current </w:t>
      </w:r>
      <w:r w:rsidR="00B13229">
        <w:t>inter</w:t>
      </w:r>
      <w:r w:rsidR="00C947EC">
        <w:t>linkage</w:t>
      </w:r>
      <w:r w:rsidR="00B13229">
        <w:t xml:space="preserve"> </w:t>
      </w:r>
      <w:r w:rsidR="00604313">
        <w:t>between chapter</w:t>
      </w:r>
      <w:r w:rsidR="00812F3B">
        <w:t>-</w:t>
      </w:r>
      <w:r w:rsidR="00604313">
        <w:t xml:space="preserve">specific rules for </w:t>
      </w:r>
      <w:r w:rsidR="005C2CD2">
        <w:t>mixture evaluation and the general rul</w:t>
      </w:r>
      <w:r w:rsidR="00604313">
        <w:t>es as gi</w:t>
      </w:r>
      <w:r w:rsidR="005C2CD2">
        <w:t>v</w:t>
      </w:r>
      <w:r w:rsidR="00604313">
        <w:t xml:space="preserve">en in </w:t>
      </w:r>
      <w:r w:rsidR="00186F99">
        <w:t>paragraph</w:t>
      </w:r>
      <w:r w:rsidR="005C2CD2">
        <w:t xml:space="preserve"> 1.3.2.3</w:t>
      </w:r>
      <w:r w:rsidR="00EB64C9">
        <w:t xml:space="preserve">; </w:t>
      </w:r>
    </w:p>
    <w:p w14:paraId="313FC5B0" w14:textId="54105163" w:rsidR="005C2CD2" w:rsidRPr="00B35DF8" w:rsidRDefault="00B35DF8" w:rsidP="00EF1083">
      <w:pPr>
        <w:pStyle w:val="H23G"/>
      </w:pPr>
      <w:r>
        <w:tab/>
      </w:r>
      <w:r>
        <w:tab/>
      </w:r>
      <w:r w:rsidR="00E84493" w:rsidRPr="00B35DF8">
        <w:t xml:space="preserve">Workstream 2: </w:t>
      </w:r>
      <w:r w:rsidR="005C2CD2" w:rsidRPr="00993E70">
        <w:t xml:space="preserve">Identify </w:t>
      </w:r>
      <w:r w:rsidR="00A03F10" w:rsidRPr="00993E70">
        <w:t xml:space="preserve">a procedure for the </w:t>
      </w:r>
      <w:r w:rsidR="005C2CD2" w:rsidRPr="00993E70">
        <w:t xml:space="preserve">tiered approach </w:t>
      </w:r>
      <w:r w:rsidR="00A03F10" w:rsidRPr="00993E70">
        <w:t xml:space="preserve">for mixture classification in </w:t>
      </w:r>
      <w:r w:rsidR="00586F70" w:rsidRPr="00993E70">
        <w:t>C</w:t>
      </w:r>
      <w:r w:rsidR="00A03F10" w:rsidRPr="00993E70">
        <w:t>hapters 3.</w:t>
      </w:r>
      <w:r w:rsidR="00812F3B" w:rsidRPr="00993E70">
        <w:t>2</w:t>
      </w:r>
      <w:r w:rsidR="00A03F10" w:rsidRPr="00993E70">
        <w:t xml:space="preserve"> </w:t>
      </w:r>
      <w:r w:rsidR="00407255" w:rsidRPr="00993E70">
        <w:t xml:space="preserve">to </w:t>
      </w:r>
      <w:r w:rsidR="00A03F10" w:rsidRPr="00993E70">
        <w:t>3.</w:t>
      </w:r>
      <w:r w:rsidR="00407255" w:rsidRPr="00993E70">
        <w:t>4</w:t>
      </w:r>
      <w:r w:rsidR="00A03F10" w:rsidRPr="00993E70">
        <w:t xml:space="preserve"> </w:t>
      </w:r>
      <w:r w:rsidR="005C2CD2" w:rsidRPr="00993E70">
        <w:t>which</w:t>
      </w:r>
      <w:r w:rsidR="00CB162B" w:rsidRPr="00993E70">
        <w:t xml:space="preserve"> would</w:t>
      </w:r>
      <w:r w:rsidR="005C2CD2" w:rsidRPr="00993E70">
        <w:t xml:space="preserve"> </w:t>
      </w:r>
      <w:r w:rsidR="00CB162B" w:rsidRPr="00993E70">
        <w:t xml:space="preserve">allow to </w:t>
      </w:r>
      <w:r w:rsidR="005C2CD2" w:rsidRPr="00993E70">
        <w:t xml:space="preserve">use </w:t>
      </w:r>
      <w:r w:rsidR="005C2CD2" w:rsidRPr="00B35DF8">
        <w:t>the available data</w:t>
      </w:r>
      <w:r w:rsidR="00CB162B" w:rsidRPr="00B35DF8">
        <w:t xml:space="preserve"> in the </w:t>
      </w:r>
      <w:r w:rsidR="008C1DEB" w:rsidRPr="00B35DF8">
        <w:t>most appropriate</w:t>
      </w:r>
      <w:r w:rsidR="00CB162B" w:rsidRPr="00B35DF8">
        <w:t xml:space="preserve"> way</w:t>
      </w:r>
      <w:r w:rsidR="005C2CD2" w:rsidRPr="00B35DF8">
        <w:t xml:space="preserve"> </w:t>
      </w:r>
    </w:p>
    <w:p w14:paraId="4DA0569C" w14:textId="4EDE65BA" w:rsidR="001A7163" w:rsidRDefault="00E84493" w:rsidP="00CA6859">
      <w:pPr>
        <w:pStyle w:val="SingleTxtG"/>
        <w:ind w:left="2268" w:hanging="567"/>
      </w:pPr>
      <w:r>
        <w:t>(a)</w:t>
      </w:r>
      <w:r>
        <w:tab/>
      </w:r>
      <w:r w:rsidR="001A7163">
        <w:t>Identify the quality standards for data from similar mixtures as</w:t>
      </w:r>
      <w:r w:rsidR="006F387E">
        <w:t xml:space="preserve"> a</w:t>
      </w:r>
      <w:r w:rsidR="001A7163">
        <w:t xml:space="preserve"> prerequisite to be </w:t>
      </w:r>
      <w:r w:rsidR="008C1DEB">
        <w:t>used</w:t>
      </w:r>
      <w:r w:rsidR="001A7163">
        <w:t xml:space="preserve"> for bridging purposes</w:t>
      </w:r>
      <w:r w:rsidR="00EB64C9">
        <w:t>;</w:t>
      </w:r>
    </w:p>
    <w:p w14:paraId="50F7A984" w14:textId="7E609ABC" w:rsidR="005C2CD2" w:rsidRDefault="00B35DF8" w:rsidP="00CA6859">
      <w:pPr>
        <w:pStyle w:val="SingleTxtG"/>
        <w:ind w:left="2268" w:hanging="567"/>
      </w:pPr>
      <w:r>
        <w:lastRenderedPageBreak/>
        <w:t>(</w:t>
      </w:r>
      <w:r w:rsidR="00E84493">
        <w:t>b)</w:t>
      </w:r>
      <w:r w:rsidR="00E84493">
        <w:tab/>
      </w:r>
      <w:r w:rsidR="005C2CD2">
        <w:t xml:space="preserve">Categorise the information as identified for the tiered approaches </w:t>
      </w:r>
      <w:r w:rsidR="00A03F10">
        <w:t>(</w:t>
      </w:r>
      <w:r w:rsidR="005C2CD2">
        <w:t>substance</w:t>
      </w:r>
      <w:r w:rsidR="00A03F10">
        <w:t xml:space="preserve">s) </w:t>
      </w:r>
      <w:r w:rsidR="001A7163">
        <w:t xml:space="preserve">in </w:t>
      </w:r>
      <w:r w:rsidR="00FF215E">
        <w:t>c</w:t>
      </w:r>
      <w:r w:rsidR="001A7163">
        <w:t>hapters 3.</w:t>
      </w:r>
      <w:r w:rsidR="00812F3B">
        <w:t>2</w:t>
      </w:r>
      <w:r w:rsidR="001A7163">
        <w:t xml:space="preserve"> </w:t>
      </w:r>
      <w:r w:rsidR="006F387E">
        <w:t xml:space="preserve">to </w:t>
      </w:r>
      <w:r w:rsidR="001A7163">
        <w:t>3.</w:t>
      </w:r>
      <w:r w:rsidR="006F387E">
        <w:t>4</w:t>
      </w:r>
      <w:r w:rsidR="001A7163">
        <w:t xml:space="preserve"> </w:t>
      </w:r>
      <w:r w:rsidR="001803BF">
        <w:t xml:space="preserve">with respect to the value of the information for the </w:t>
      </w:r>
      <w:r w:rsidR="00AB4896">
        <w:t xml:space="preserve">classification </w:t>
      </w:r>
      <w:r w:rsidR="001803BF">
        <w:t>process</w:t>
      </w:r>
      <w:r w:rsidR="00AB4896">
        <w:t xml:space="preserve"> of mixtures</w:t>
      </w:r>
      <w:r w:rsidR="001A7163">
        <w:t>.</w:t>
      </w:r>
      <w:r>
        <w:t xml:space="preserve"> </w:t>
      </w:r>
      <w:r w:rsidR="001A7163">
        <w:t>With this categori</w:t>
      </w:r>
      <w:r w:rsidR="00812F3B">
        <w:t>s</w:t>
      </w:r>
      <w:r w:rsidR="001A7163">
        <w:t xml:space="preserve">ation </w:t>
      </w:r>
      <w:r w:rsidR="00812F3B">
        <w:t xml:space="preserve">a </w:t>
      </w:r>
      <w:r w:rsidR="001A7163">
        <w:t>d</w:t>
      </w:r>
      <w:r w:rsidR="00AB4896">
        <w:t>ecision should be made</w:t>
      </w:r>
      <w:r w:rsidR="001A7163">
        <w:t>,</w:t>
      </w:r>
      <w:r w:rsidR="00AB4896">
        <w:t xml:space="preserve"> </w:t>
      </w:r>
      <w:r w:rsidR="00F23990">
        <w:t>how to rank</w:t>
      </w:r>
      <w:r w:rsidR="001803BF">
        <w:t xml:space="preserve"> data on the mixture itself </w:t>
      </w:r>
      <w:r w:rsidR="00F23990">
        <w:t xml:space="preserve">and similar mixtures according to their relevance and reliability for classification. </w:t>
      </w:r>
      <w:r w:rsidR="001803BF">
        <w:t>R</w:t>
      </w:r>
      <w:r w:rsidR="001A7163">
        <w:t>eference c</w:t>
      </w:r>
      <w:r w:rsidR="001803BF">
        <w:t xml:space="preserve">ould be made to </w:t>
      </w:r>
      <w:r w:rsidR="00A03F10">
        <w:t>read</w:t>
      </w:r>
      <w:r w:rsidR="00812F3B">
        <w:t>-</w:t>
      </w:r>
      <w:r w:rsidR="00A03F10">
        <w:t xml:space="preserve">across </w:t>
      </w:r>
      <w:r w:rsidR="001A7163">
        <w:t xml:space="preserve">for </w:t>
      </w:r>
      <w:r w:rsidR="00A03F10">
        <w:t>substances</w:t>
      </w:r>
      <w:r w:rsidR="00EB64C9">
        <w:t>;</w:t>
      </w:r>
    </w:p>
    <w:p w14:paraId="32C1502A" w14:textId="60F783E5" w:rsidR="00A03F10" w:rsidRDefault="00E84493" w:rsidP="00CA6859">
      <w:pPr>
        <w:pStyle w:val="SingleTxtG"/>
        <w:ind w:left="2268" w:hanging="567"/>
      </w:pPr>
      <w:r>
        <w:t>(c)</w:t>
      </w:r>
      <w:r>
        <w:tab/>
      </w:r>
      <w:r w:rsidR="006F387E">
        <w:t xml:space="preserve">Based on </w:t>
      </w:r>
      <w:r w:rsidR="00A03F10">
        <w:t xml:space="preserve">the results from </w:t>
      </w:r>
      <w:r w:rsidR="00FF215E">
        <w:t xml:space="preserve">workstreams </w:t>
      </w:r>
      <w:r w:rsidR="00B35DF8">
        <w:t xml:space="preserve">2 </w:t>
      </w:r>
      <w:r>
        <w:t>(a)</w:t>
      </w:r>
      <w:r w:rsidR="00A03F10">
        <w:t xml:space="preserve"> and </w:t>
      </w:r>
      <w:r w:rsidR="00B35DF8">
        <w:t xml:space="preserve">2 </w:t>
      </w:r>
      <w:r>
        <w:t>(</w:t>
      </w:r>
      <w:r w:rsidR="00A03F10">
        <w:t>b</w:t>
      </w:r>
      <w:r>
        <w:t>)</w:t>
      </w:r>
      <w:r w:rsidR="006F387E">
        <w:t xml:space="preserve"> </w:t>
      </w:r>
      <w:r w:rsidR="00546947">
        <w:t xml:space="preserve">develop an according workflow for the classification of mixtures for </w:t>
      </w:r>
      <w:r w:rsidR="001404AB">
        <w:t>c</w:t>
      </w:r>
      <w:r w:rsidR="000A6BEC">
        <w:t>hapters 3.2, 3.3 and 3.4, either as a unified workflow (including tiered approaches and decision logics) for substances and mixtures or, if that is found inappropriate, as a revised separate workflow for mixtures.</w:t>
      </w:r>
    </w:p>
    <w:p w14:paraId="49E416AB" w14:textId="33EA6FC6" w:rsidR="00A03F10" w:rsidRPr="00B35DF8" w:rsidRDefault="00B35DF8" w:rsidP="00EF1083">
      <w:pPr>
        <w:pStyle w:val="H23G"/>
      </w:pPr>
      <w:r>
        <w:tab/>
      </w:r>
      <w:r>
        <w:tab/>
      </w:r>
      <w:r w:rsidR="00F41EF2" w:rsidRPr="00B35DF8">
        <w:t xml:space="preserve">Workstream 3: </w:t>
      </w:r>
      <w:r>
        <w:tab/>
      </w:r>
      <w:r w:rsidR="00A03F10" w:rsidRPr="00993E70">
        <w:t xml:space="preserve">Explore </w:t>
      </w:r>
      <w:r w:rsidR="00812F3B" w:rsidRPr="00993E70">
        <w:t xml:space="preserve">the </w:t>
      </w:r>
      <w:r w:rsidR="00B16065" w:rsidRPr="00993E70">
        <w:t xml:space="preserve">relevant sections </w:t>
      </w:r>
      <w:r w:rsidR="00A03F10" w:rsidRPr="00993E70">
        <w:t xml:space="preserve">in </w:t>
      </w:r>
      <w:r w:rsidR="00586F70" w:rsidRPr="00993E70">
        <w:t>C</w:t>
      </w:r>
      <w:r w:rsidR="00713BDB" w:rsidRPr="00993E70">
        <w:t>hapter</w:t>
      </w:r>
      <w:r w:rsidR="008256AC" w:rsidRPr="00993E70">
        <w:t xml:space="preserve"> </w:t>
      </w:r>
      <w:r w:rsidR="00A03F10" w:rsidRPr="00993E70">
        <w:t>1.3</w:t>
      </w:r>
      <w:r w:rsidR="00CB162B" w:rsidRPr="00993E70">
        <w:t xml:space="preserve"> </w:t>
      </w:r>
      <w:r w:rsidR="005C1F03" w:rsidRPr="00993E70">
        <w:t xml:space="preserve">with reference to the results of </w:t>
      </w:r>
      <w:r w:rsidR="00F41EF2" w:rsidRPr="00B35DF8">
        <w:t>workstream 2</w:t>
      </w:r>
      <w:r w:rsidR="005C1F03" w:rsidRPr="00993E70">
        <w:t xml:space="preserve"> </w:t>
      </w:r>
      <w:r w:rsidR="00CB162B" w:rsidRPr="00993E70">
        <w:t>and propose additional or modifying text</w:t>
      </w:r>
      <w:r w:rsidR="00812F3B" w:rsidRPr="00993E70">
        <w:t>,</w:t>
      </w:r>
      <w:r w:rsidR="00CB162B" w:rsidRPr="00993E70">
        <w:t xml:space="preserve"> if deemed necessary</w:t>
      </w:r>
    </w:p>
    <w:p w14:paraId="58EB4772" w14:textId="042868B5" w:rsidR="00CB162B" w:rsidRDefault="00FB50A4" w:rsidP="00CA6859">
      <w:pPr>
        <w:pStyle w:val="SingleTxtG"/>
        <w:ind w:left="2268" w:hanging="567"/>
      </w:pPr>
      <w:r>
        <w:t>(a)</w:t>
      </w:r>
      <w:r>
        <w:tab/>
      </w:r>
      <w:r w:rsidR="00CB162B">
        <w:t xml:space="preserve">Compare the results of </w:t>
      </w:r>
      <w:r w:rsidR="00F41EF2">
        <w:t xml:space="preserve">workstreams 2 and </w:t>
      </w:r>
      <w:r w:rsidR="00CB162B">
        <w:t xml:space="preserve">1 and identify </w:t>
      </w:r>
      <w:r w:rsidR="008C1DEB">
        <w:t>possible</w:t>
      </w:r>
      <w:r w:rsidR="00CB162B">
        <w:t xml:space="preserve"> inconsistenc</w:t>
      </w:r>
      <w:r w:rsidR="008C1DEB">
        <w:t>ies</w:t>
      </w:r>
      <w:r w:rsidR="00CB162B">
        <w:t xml:space="preserve"> or ambiguities </w:t>
      </w:r>
      <w:r w:rsidR="008C1DEB">
        <w:t>concerning the</w:t>
      </w:r>
      <w:r w:rsidR="00CB162B">
        <w:t xml:space="preserve"> procedures</w:t>
      </w:r>
      <w:r w:rsidR="009D4474">
        <w:t xml:space="preserve"> and </w:t>
      </w:r>
      <w:r w:rsidR="008C1DEB">
        <w:t xml:space="preserve">the </w:t>
      </w:r>
      <w:r w:rsidR="009D4474">
        <w:t>linkage of data</w:t>
      </w:r>
      <w:r w:rsidR="007D024A">
        <w:t xml:space="preserve"> for</w:t>
      </w:r>
      <w:r w:rsidR="00A96F24">
        <w:t xml:space="preserve"> the respective chapters</w:t>
      </w:r>
      <w:r w:rsidR="00EB64C9">
        <w:t>;</w:t>
      </w:r>
    </w:p>
    <w:p w14:paraId="46337FA5" w14:textId="107B2DF7" w:rsidR="005C2CD2" w:rsidRDefault="00FB50A4" w:rsidP="00CA6859">
      <w:pPr>
        <w:pStyle w:val="SingleTxtG"/>
        <w:ind w:left="2268" w:hanging="567"/>
      </w:pPr>
      <w:r>
        <w:t>(b)</w:t>
      </w:r>
      <w:r>
        <w:tab/>
      </w:r>
      <w:r w:rsidR="009D4474">
        <w:t>I</w:t>
      </w:r>
      <w:r w:rsidR="00CB162B">
        <w:t xml:space="preserve">dentify options to modify the text of </w:t>
      </w:r>
      <w:r w:rsidR="00586F70">
        <w:t>C</w:t>
      </w:r>
      <w:r w:rsidR="00CB162B">
        <w:t>hapter</w:t>
      </w:r>
      <w:r w:rsidR="00A96F24">
        <w:t xml:space="preserve"> </w:t>
      </w:r>
      <w:r w:rsidR="00CB162B">
        <w:t xml:space="preserve">1.3 </w:t>
      </w:r>
      <w:r w:rsidR="005062BB">
        <w:t xml:space="preserve">and </w:t>
      </w:r>
      <w:r w:rsidR="00806D1B">
        <w:t>c</w:t>
      </w:r>
      <w:r w:rsidR="00CB162B">
        <w:t>hapters 3.</w:t>
      </w:r>
      <w:r w:rsidR="00812F3B">
        <w:t>2</w:t>
      </w:r>
      <w:r w:rsidR="00CB162B">
        <w:t xml:space="preserve"> </w:t>
      </w:r>
      <w:r w:rsidR="008256AC">
        <w:t xml:space="preserve">to </w:t>
      </w:r>
      <w:r w:rsidR="00CB162B">
        <w:t>3.</w:t>
      </w:r>
      <w:r w:rsidR="008256AC">
        <w:t>4</w:t>
      </w:r>
      <w:r w:rsidR="00CB162B">
        <w:t xml:space="preserve"> to include the results from the analysis under</w:t>
      </w:r>
      <w:r w:rsidR="0050282D">
        <w:t xml:space="preserve"> 3 </w:t>
      </w:r>
      <w:r w:rsidR="0082556A">
        <w:t>(</w:t>
      </w:r>
      <w:r w:rsidR="00CB162B">
        <w:t>a</w:t>
      </w:r>
      <w:r w:rsidR="0082556A">
        <w:t>)</w:t>
      </w:r>
      <w:r w:rsidR="00CB162B">
        <w:t>.</w:t>
      </w:r>
      <w:r w:rsidR="005062BB">
        <w:t xml:space="preserve"> and propose</w:t>
      </w:r>
      <w:r w:rsidR="00654EB6">
        <w:t xml:space="preserve"> </w:t>
      </w:r>
      <w:r w:rsidR="005062BB">
        <w:t xml:space="preserve">options for </w:t>
      </w:r>
      <w:r w:rsidR="00993E70">
        <w:t xml:space="preserve">according development of </w:t>
      </w:r>
      <w:r w:rsidR="00A576C0">
        <w:t>c</w:t>
      </w:r>
      <w:r w:rsidR="005062BB">
        <w:t>hapters 3.2 to 3.4</w:t>
      </w:r>
      <w:r w:rsidR="00EB64C9">
        <w:t>;</w:t>
      </w:r>
      <w:r w:rsidR="00CB162B">
        <w:t xml:space="preserve"> </w:t>
      </w:r>
    </w:p>
    <w:p w14:paraId="3AFF7B51" w14:textId="520F697C" w:rsidR="005062BB" w:rsidRDefault="00FB50A4" w:rsidP="00CA6859">
      <w:pPr>
        <w:pStyle w:val="SingleTxtG"/>
        <w:ind w:left="2268" w:hanging="567"/>
      </w:pPr>
      <w:r>
        <w:t>(c)</w:t>
      </w:r>
      <w:r>
        <w:tab/>
      </w:r>
      <w:r w:rsidR="005062BB">
        <w:t xml:space="preserve">Identify the need for consequential amendments on editorial </w:t>
      </w:r>
      <w:r w:rsidR="00B16065">
        <w:t xml:space="preserve">or technical level and propose </w:t>
      </w:r>
      <w:r w:rsidR="005062BB">
        <w:t>the according text</w:t>
      </w:r>
      <w:r w:rsidR="00B16065">
        <w:t>, if deemed necessary</w:t>
      </w:r>
      <w:r w:rsidR="00EB64C9">
        <w:t>;</w:t>
      </w:r>
      <w:bookmarkStart w:id="0" w:name="_GoBack"/>
      <w:bookmarkEnd w:id="0"/>
    </w:p>
    <w:p w14:paraId="384BCE40" w14:textId="2C233433" w:rsidR="00D16379" w:rsidRDefault="00FB50A4" w:rsidP="00CA6859">
      <w:pPr>
        <w:pStyle w:val="SingleTxtG"/>
        <w:ind w:left="2268" w:hanging="567"/>
      </w:pPr>
      <w:r>
        <w:t>(d)</w:t>
      </w:r>
      <w:r>
        <w:tab/>
      </w:r>
      <w:r w:rsidR="007D024A">
        <w:t xml:space="preserve">Use the results from </w:t>
      </w:r>
      <w:r>
        <w:t>workstreams 3</w:t>
      </w:r>
      <w:r w:rsidR="0050282D">
        <w:t> </w:t>
      </w:r>
      <w:r>
        <w:t>(a)</w:t>
      </w:r>
      <w:r w:rsidR="007D024A">
        <w:t xml:space="preserve"> and 1 </w:t>
      </w:r>
      <w:r>
        <w:t>(</w:t>
      </w:r>
      <w:r w:rsidR="007D024A">
        <w:t>a</w:t>
      </w:r>
      <w:r>
        <w:t>)</w:t>
      </w:r>
      <w:r w:rsidR="007D024A">
        <w:t xml:space="preserve"> to identify whether also in chapters </w:t>
      </w:r>
      <w:r w:rsidR="002B49C0">
        <w:t xml:space="preserve">other than 3.2, 3.3, </w:t>
      </w:r>
      <w:r w:rsidR="008256AC">
        <w:t xml:space="preserve">3.4 </w:t>
      </w:r>
      <w:r w:rsidR="007D024A">
        <w:t>inconsistencies between general rules and chapter-specific rules need to be co</w:t>
      </w:r>
      <w:r w:rsidR="00B16065">
        <w:t>nsidered. Propose, if necessary</w:t>
      </w:r>
      <w:r w:rsidR="007D024A">
        <w:t xml:space="preserve"> and </w:t>
      </w:r>
      <w:r w:rsidR="00812F3B">
        <w:t>appropriate</w:t>
      </w:r>
      <w:r w:rsidR="008256AC">
        <w:t>,</w:t>
      </w:r>
      <w:r w:rsidR="00812F3B">
        <w:t xml:space="preserve"> a </w:t>
      </w:r>
      <w:r w:rsidR="007D024A">
        <w:t>work</w:t>
      </w:r>
      <w:r w:rsidR="00812F3B">
        <w:t xml:space="preserve"> </w:t>
      </w:r>
      <w:r w:rsidR="007D024A">
        <w:t xml:space="preserve">stream </w:t>
      </w:r>
      <w:r w:rsidR="001A7163">
        <w:t>for the next working program of the Sub</w:t>
      </w:r>
      <w:r w:rsidR="00D16379">
        <w:t>-C</w:t>
      </w:r>
      <w:r w:rsidR="001A7163">
        <w:t xml:space="preserve">ommittee </w:t>
      </w:r>
      <w:r w:rsidR="007D024A">
        <w:t>to reduce the</w:t>
      </w:r>
      <w:r w:rsidR="008256AC">
        <w:t>se</w:t>
      </w:r>
      <w:r w:rsidR="007D024A">
        <w:t xml:space="preserve"> inc</w:t>
      </w:r>
      <w:r w:rsidR="00110AE0">
        <w:t>onsistencies in other chapters.</w:t>
      </w:r>
    </w:p>
    <w:p w14:paraId="7C9CDE96" w14:textId="7992257D" w:rsidR="0050282D" w:rsidRPr="0050282D" w:rsidRDefault="0050282D" w:rsidP="0050282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0282D" w:rsidRPr="0050282D" w:rsidSect="00546947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0464" w14:textId="77777777" w:rsidR="00D46A4C" w:rsidRDefault="00D46A4C"/>
  </w:endnote>
  <w:endnote w:type="continuationSeparator" w:id="0">
    <w:p w14:paraId="2DF15906" w14:textId="77777777" w:rsidR="00D46A4C" w:rsidRDefault="00D46A4C"/>
  </w:endnote>
  <w:endnote w:type="continuationNotice" w:id="1">
    <w:p w14:paraId="2180F556" w14:textId="77777777" w:rsidR="00D46A4C" w:rsidRDefault="00D46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ex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5249" w14:textId="03F64D9C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9630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813D" w14:textId="386F9BD5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9630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40034" w14:textId="77777777" w:rsidR="00D46A4C" w:rsidRPr="000B175B" w:rsidRDefault="00D46A4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84155D3" w14:textId="77777777" w:rsidR="00D46A4C" w:rsidRPr="00FC68B7" w:rsidRDefault="00D46A4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1ECB3C" w14:textId="77777777" w:rsidR="00D46A4C" w:rsidRDefault="00D46A4C"/>
  </w:footnote>
  <w:footnote w:id="2">
    <w:p w14:paraId="293F2FF7" w14:textId="3990381F" w:rsidR="00102884" w:rsidRDefault="00102884" w:rsidP="003E4E25">
      <w:pPr>
        <w:pStyle w:val="SingleTxtG"/>
        <w:tabs>
          <w:tab w:val="left" w:pos="1418"/>
        </w:tabs>
        <w:spacing w:before="120" w:after="0"/>
        <w:jc w:val="lef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="003E4E25">
        <w:tab/>
      </w:r>
      <w:r>
        <w:rPr>
          <w:lang w:val="fr-CH"/>
        </w:rPr>
        <w:t xml:space="preserve">References : </w:t>
      </w:r>
    </w:p>
    <w:p w14:paraId="7B9C3817" w14:textId="57B203CA" w:rsidR="00102884" w:rsidRDefault="00102884" w:rsidP="003E4E25">
      <w:pPr>
        <w:pStyle w:val="SingleTxtG"/>
        <w:tabs>
          <w:tab w:val="left" w:pos="1418"/>
        </w:tabs>
        <w:spacing w:after="0" w:line="240" w:lineRule="auto"/>
        <w:ind w:left="1418"/>
        <w:jc w:val="left"/>
      </w:pPr>
      <w:r>
        <w:t xml:space="preserve">Ball N et al. (2016). DOI: 10.14573/altex.1601251; ECHA (2017). DOI: </w:t>
      </w:r>
      <w:r w:rsidRPr="002A7BDD">
        <w:rPr>
          <w:rFonts w:ascii="ApexSans-Book" w:hAnsi="ApexSans-Book" w:cs="ApexSans-Book"/>
          <w:lang w:eastAsia="zh-CN"/>
        </w:rPr>
        <w:t>10.2823/619212</w:t>
      </w:r>
      <w:r>
        <w:rPr>
          <w:rFonts w:ascii="ApexSans-Book" w:hAnsi="ApexSans-Book" w:cs="ApexSans-Book"/>
          <w:lang w:eastAsia="zh-CN"/>
        </w:rPr>
        <w:t xml:space="preserve">; </w:t>
      </w:r>
      <w:r>
        <w:t xml:space="preserve">Escher S et al. (2019). DOI: 10.1007/s00204-019-02591-7; </w:t>
      </w:r>
    </w:p>
    <w:p w14:paraId="3320C145" w14:textId="6348456E" w:rsidR="00102884" w:rsidRDefault="003E4E25" w:rsidP="003E4E25">
      <w:pPr>
        <w:pStyle w:val="SingleTxtG"/>
        <w:tabs>
          <w:tab w:val="left" w:pos="1418"/>
        </w:tabs>
        <w:spacing w:after="0" w:line="240" w:lineRule="auto"/>
        <w:jc w:val="left"/>
      </w:pPr>
      <w:r>
        <w:tab/>
      </w:r>
      <w:r w:rsidR="00102884">
        <w:t xml:space="preserve">Rovida C et al. (2020). DOI: </w:t>
      </w:r>
      <w:r w:rsidR="00102884" w:rsidRPr="00EA6348">
        <w:t>10.14573/altex.1912181</w:t>
      </w:r>
      <w:r w:rsidR="00102884">
        <w:t>.</w:t>
      </w:r>
    </w:p>
    <w:p w14:paraId="697D7992" w14:textId="0AA331BC" w:rsidR="00102884" w:rsidRPr="007314F7" w:rsidRDefault="00102884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9539" w14:textId="5EB02F3B" w:rsidR="006A7757" w:rsidRPr="0099001C" w:rsidRDefault="006A7757" w:rsidP="00366CA7">
    <w:pPr>
      <w:pStyle w:val="Header"/>
    </w:pPr>
    <w:r w:rsidRPr="00CC65B7">
      <w:t>UN/SCEGHS/</w:t>
    </w:r>
    <w:r w:rsidR="00934EE8">
      <w:t>3</w:t>
    </w:r>
    <w:r w:rsidR="001205DF">
      <w:t>9</w:t>
    </w:r>
    <w:r w:rsidRPr="00CC65B7">
      <w:t>/INF</w:t>
    </w:r>
    <w:r w:rsidR="001205DF">
      <w:t>.</w:t>
    </w:r>
    <w:r w:rsidR="003E4E25"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DF49" w14:textId="7F6FD218" w:rsidR="006A7757" w:rsidRPr="0099001C" w:rsidRDefault="006A7757" w:rsidP="0099001C">
    <w:pPr>
      <w:pStyle w:val="Header"/>
      <w:jc w:val="right"/>
    </w:pPr>
    <w:r>
      <w:t>UN/SCEGHS/</w:t>
    </w:r>
    <w:r w:rsidR="001C7955">
      <w:t>39</w:t>
    </w:r>
    <w:r>
      <w:t>/INF.</w:t>
    </w:r>
    <w:r w:rsidR="003E4E25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B7B"/>
    <w:multiLevelType w:val="hybridMultilevel"/>
    <w:tmpl w:val="4CF6DD1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F12E2E2">
      <w:numFmt w:val="bullet"/>
      <w:lvlText w:val="-"/>
      <w:lvlJc w:val="left"/>
      <w:pPr>
        <w:ind w:left="2781" w:hanging="624"/>
      </w:pPr>
      <w:rPr>
        <w:rFonts w:ascii="Times New Roman" w:eastAsia="MS Mincho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2817F81"/>
    <w:multiLevelType w:val="hybridMultilevel"/>
    <w:tmpl w:val="8B281810"/>
    <w:lvl w:ilvl="0" w:tplc="0407000F">
      <w:start w:val="1"/>
      <w:numFmt w:val="decimal"/>
      <w:lvlText w:val="%1."/>
      <w:lvlJc w:val="left"/>
      <w:pPr>
        <w:ind w:left="2214" w:hanging="360"/>
      </w:pPr>
    </w:lvl>
    <w:lvl w:ilvl="1" w:tplc="04070019" w:tentative="1">
      <w:start w:val="1"/>
      <w:numFmt w:val="lowerLetter"/>
      <w:lvlText w:val="%2."/>
      <w:lvlJc w:val="left"/>
      <w:pPr>
        <w:ind w:left="2934" w:hanging="360"/>
      </w:pPr>
    </w:lvl>
    <w:lvl w:ilvl="2" w:tplc="0407001B" w:tentative="1">
      <w:start w:val="1"/>
      <w:numFmt w:val="lowerRoman"/>
      <w:lvlText w:val="%3."/>
      <w:lvlJc w:val="right"/>
      <w:pPr>
        <w:ind w:left="3654" w:hanging="180"/>
      </w:pPr>
    </w:lvl>
    <w:lvl w:ilvl="3" w:tplc="0407000F" w:tentative="1">
      <w:start w:val="1"/>
      <w:numFmt w:val="decimal"/>
      <w:lvlText w:val="%4."/>
      <w:lvlJc w:val="left"/>
      <w:pPr>
        <w:ind w:left="4374" w:hanging="360"/>
      </w:pPr>
    </w:lvl>
    <w:lvl w:ilvl="4" w:tplc="04070019" w:tentative="1">
      <w:start w:val="1"/>
      <w:numFmt w:val="lowerLetter"/>
      <w:lvlText w:val="%5."/>
      <w:lvlJc w:val="left"/>
      <w:pPr>
        <w:ind w:left="5094" w:hanging="360"/>
      </w:pPr>
    </w:lvl>
    <w:lvl w:ilvl="5" w:tplc="0407001B" w:tentative="1">
      <w:start w:val="1"/>
      <w:numFmt w:val="lowerRoman"/>
      <w:lvlText w:val="%6."/>
      <w:lvlJc w:val="right"/>
      <w:pPr>
        <w:ind w:left="5814" w:hanging="180"/>
      </w:pPr>
    </w:lvl>
    <w:lvl w:ilvl="6" w:tplc="0407000F" w:tentative="1">
      <w:start w:val="1"/>
      <w:numFmt w:val="decimal"/>
      <w:lvlText w:val="%7."/>
      <w:lvlJc w:val="left"/>
      <w:pPr>
        <w:ind w:left="6534" w:hanging="360"/>
      </w:pPr>
    </w:lvl>
    <w:lvl w:ilvl="7" w:tplc="04070019" w:tentative="1">
      <w:start w:val="1"/>
      <w:numFmt w:val="lowerLetter"/>
      <w:lvlText w:val="%8."/>
      <w:lvlJc w:val="left"/>
      <w:pPr>
        <w:ind w:left="7254" w:hanging="360"/>
      </w:pPr>
    </w:lvl>
    <w:lvl w:ilvl="8" w:tplc="0407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70B2F1D"/>
    <w:multiLevelType w:val="hybridMultilevel"/>
    <w:tmpl w:val="709A2F8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7A2555"/>
    <w:multiLevelType w:val="hybridMultilevel"/>
    <w:tmpl w:val="467EA8E4"/>
    <w:lvl w:ilvl="0" w:tplc="A53688B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A0F2D96"/>
    <w:multiLevelType w:val="hybridMultilevel"/>
    <w:tmpl w:val="054C8D9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28722D3"/>
    <w:multiLevelType w:val="hybridMultilevel"/>
    <w:tmpl w:val="37566890"/>
    <w:lvl w:ilvl="0" w:tplc="657EF0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4579F3"/>
    <w:multiLevelType w:val="hybridMultilevel"/>
    <w:tmpl w:val="4C665A8C"/>
    <w:lvl w:ilvl="0" w:tplc="0407000F">
      <w:start w:val="1"/>
      <w:numFmt w:val="decimal"/>
      <w:lvlText w:val="%1."/>
      <w:lvlJc w:val="left"/>
      <w:pPr>
        <w:ind w:left="1494" w:hanging="360"/>
      </w:p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E8560B"/>
    <w:multiLevelType w:val="hybridMultilevel"/>
    <w:tmpl w:val="55BC5F7C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A99517C"/>
    <w:multiLevelType w:val="hybridMultilevel"/>
    <w:tmpl w:val="785CFA5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0B64D40"/>
    <w:multiLevelType w:val="multilevel"/>
    <w:tmpl w:val="C88ADBBE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cs="Times New Roman" w:hint="default"/>
      </w:rPr>
    </w:lvl>
  </w:abstractNum>
  <w:abstractNum w:abstractNumId="14" w15:restartNumberingAfterBreak="0">
    <w:nsid w:val="41FC28EB"/>
    <w:multiLevelType w:val="hybridMultilevel"/>
    <w:tmpl w:val="4B2EA7D6"/>
    <w:lvl w:ilvl="0" w:tplc="9BEAF8DE">
      <w:start w:val="2"/>
      <w:numFmt w:val="bullet"/>
      <w:lvlText w:val="-"/>
      <w:lvlJc w:val="left"/>
      <w:pPr>
        <w:ind w:left="234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97C5AEA"/>
    <w:multiLevelType w:val="hybridMultilevel"/>
    <w:tmpl w:val="1D7472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9B155EF"/>
    <w:multiLevelType w:val="multilevel"/>
    <w:tmpl w:val="C88ADBBE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cs="Times New Roman" w:hint="default"/>
      </w:rPr>
    </w:lvl>
  </w:abstractNum>
  <w:abstractNum w:abstractNumId="17" w15:restartNumberingAfterBreak="0">
    <w:nsid w:val="500F07CB"/>
    <w:multiLevelType w:val="multilevel"/>
    <w:tmpl w:val="E43EA9AC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cs="Times New Roman" w:hint="default"/>
      </w:rPr>
    </w:lvl>
  </w:abstractNum>
  <w:abstractNum w:abstractNumId="18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2A539EF"/>
    <w:multiLevelType w:val="hybridMultilevel"/>
    <w:tmpl w:val="CF0811E0"/>
    <w:lvl w:ilvl="0" w:tplc="50E48B0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52ED02A6"/>
    <w:multiLevelType w:val="multilevel"/>
    <w:tmpl w:val="EC08A0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5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74" w:hanging="1440"/>
      </w:pPr>
      <w:rPr>
        <w:rFonts w:cs="Times New Roman" w:hint="default"/>
      </w:rPr>
    </w:lvl>
  </w:abstractNum>
  <w:abstractNum w:abstractNumId="21" w15:restartNumberingAfterBreak="0">
    <w:nsid w:val="670D2410"/>
    <w:multiLevelType w:val="hybridMultilevel"/>
    <w:tmpl w:val="53E296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24FFA"/>
    <w:multiLevelType w:val="hybridMultilevel"/>
    <w:tmpl w:val="BD48EAFA"/>
    <w:lvl w:ilvl="0" w:tplc="04070015">
      <w:start w:val="1"/>
      <w:numFmt w:val="decimal"/>
      <w:lvlText w:val="(%1)"/>
      <w:lvlJc w:val="left"/>
      <w:pPr>
        <w:ind w:left="1854" w:hanging="360"/>
      </w:pPr>
    </w:lvl>
    <w:lvl w:ilvl="1" w:tplc="04070019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3B95B4F"/>
    <w:multiLevelType w:val="hybridMultilevel"/>
    <w:tmpl w:val="E8605AEA"/>
    <w:lvl w:ilvl="0" w:tplc="D38400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5"/>
  </w:num>
  <w:num w:numId="5">
    <w:abstractNumId w:val="7"/>
  </w:num>
  <w:num w:numId="6">
    <w:abstractNumId w:val="8"/>
  </w:num>
  <w:num w:numId="7">
    <w:abstractNumId w:val="24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15"/>
  </w:num>
  <w:num w:numId="15">
    <w:abstractNumId w:val="6"/>
  </w:num>
  <w:num w:numId="16">
    <w:abstractNumId w:val="25"/>
  </w:num>
  <w:num w:numId="17">
    <w:abstractNumId w:val="21"/>
  </w:num>
  <w:num w:numId="18">
    <w:abstractNumId w:val="17"/>
  </w:num>
  <w:num w:numId="19">
    <w:abstractNumId w:val="20"/>
  </w:num>
  <w:num w:numId="20">
    <w:abstractNumId w:val="11"/>
  </w:num>
  <w:num w:numId="21">
    <w:abstractNumId w:val="16"/>
  </w:num>
  <w:num w:numId="22">
    <w:abstractNumId w:val="19"/>
  </w:num>
  <w:num w:numId="23">
    <w:abstractNumId w:val="23"/>
  </w:num>
  <w:num w:numId="24">
    <w:abstractNumId w:val="13"/>
  </w:num>
  <w:num w:numId="25">
    <w:abstractNumId w:val="4"/>
  </w:num>
  <w:num w:numId="26">
    <w:abstractNumId w:val="10"/>
  </w:num>
  <w:num w:numId="27">
    <w:abstractNumId w:val="2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n-IE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06BA1"/>
    <w:rsid w:val="00015E91"/>
    <w:rsid w:val="0002286B"/>
    <w:rsid w:val="00026D4E"/>
    <w:rsid w:val="00033B3D"/>
    <w:rsid w:val="0004156C"/>
    <w:rsid w:val="0004629E"/>
    <w:rsid w:val="00050F6B"/>
    <w:rsid w:val="000564A7"/>
    <w:rsid w:val="00072C8C"/>
    <w:rsid w:val="00074F50"/>
    <w:rsid w:val="00081647"/>
    <w:rsid w:val="00081931"/>
    <w:rsid w:val="00085475"/>
    <w:rsid w:val="000921DB"/>
    <w:rsid w:val="000931C0"/>
    <w:rsid w:val="000947F7"/>
    <w:rsid w:val="00094952"/>
    <w:rsid w:val="000A6BEC"/>
    <w:rsid w:val="000B175B"/>
    <w:rsid w:val="000B279F"/>
    <w:rsid w:val="000B3A0F"/>
    <w:rsid w:val="000C5577"/>
    <w:rsid w:val="000C6544"/>
    <w:rsid w:val="000C7164"/>
    <w:rsid w:val="000D10AA"/>
    <w:rsid w:val="000E0415"/>
    <w:rsid w:val="000F52A9"/>
    <w:rsid w:val="000F71BF"/>
    <w:rsid w:val="00102884"/>
    <w:rsid w:val="001052CE"/>
    <w:rsid w:val="00107CCC"/>
    <w:rsid w:val="00110AE0"/>
    <w:rsid w:val="001205DF"/>
    <w:rsid w:val="001220B8"/>
    <w:rsid w:val="00123536"/>
    <w:rsid w:val="00127BDC"/>
    <w:rsid w:val="001404AB"/>
    <w:rsid w:val="001419AA"/>
    <w:rsid w:val="00156F3C"/>
    <w:rsid w:val="00160860"/>
    <w:rsid w:val="00161AFB"/>
    <w:rsid w:val="00162BF7"/>
    <w:rsid w:val="001635CC"/>
    <w:rsid w:val="001803BF"/>
    <w:rsid w:val="00181267"/>
    <w:rsid w:val="00181523"/>
    <w:rsid w:val="00181FC8"/>
    <w:rsid w:val="00186F99"/>
    <w:rsid w:val="00190AEA"/>
    <w:rsid w:val="00193DB5"/>
    <w:rsid w:val="001A1088"/>
    <w:rsid w:val="001A7163"/>
    <w:rsid w:val="001B06A5"/>
    <w:rsid w:val="001B0CFA"/>
    <w:rsid w:val="001B4B04"/>
    <w:rsid w:val="001C24EB"/>
    <w:rsid w:val="001C61C2"/>
    <w:rsid w:val="001C6663"/>
    <w:rsid w:val="001C7895"/>
    <w:rsid w:val="001C7955"/>
    <w:rsid w:val="001D26DF"/>
    <w:rsid w:val="001E47FD"/>
    <w:rsid w:val="001E7774"/>
    <w:rsid w:val="001F3EC1"/>
    <w:rsid w:val="001F67DF"/>
    <w:rsid w:val="00211E0B"/>
    <w:rsid w:val="00214DD4"/>
    <w:rsid w:val="00215E86"/>
    <w:rsid w:val="00222EE5"/>
    <w:rsid w:val="002379F5"/>
    <w:rsid w:val="002405A7"/>
    <w:rsid w:val="0025322D"/>
    <w:rsid w:val="00257E45"/>
    <w:rsid w:val="00262488"/>
    <w:rsid w:val="0027183E"/>
    <w:rsid w:val="002734BF"/>
    <w:rsid w:val="00277A2E"/>
    <w:rsid w:val="00290F53"/>
    <w:rsid w:val="00292BA5"/>
    <w:rsid w:val="002A5B0C"/>
    <w:rsid w:val="002A7BDD"/>
    <w:rsid w:val="002B49C0"/>
    <w:rsid w:val="002D59D3"/>
    <w:rsid w:val="002E426E"/>
    <w:rsid w:val="003002C0"/>
    <w:rsid w:val="003042A5"/>
    <w:rsid w:val="003057D1"/>
    <w:rsid w:val="003107FA"/>
    <w:rsid w:val="003127A2"/>
    <w:rsid w:val="00312C2A"/>
    <w:rsid w:val="003229D8"/>
    <w:rsid w:val="0032550E"/>
    <w:rsid w:val="00326A95"/>
    <w:rsid w:val="0033745A"/>
    <w:rsid w:val="0034280C"/>
    <w:rsid w:val="00343C63"/>
    <w:rsid w:val="00350101"/>
    <w:rsid w:val="00357F1B"/>
    <w:rsid w:val="00360460"/>
    <w:rsid w:val="003608D4"/>
    <w:rsid w:val="003642AF"/>
    <w:rsid w:val="00366CA7"/>
    <w:rsid w:val="003735AA"/>
    <w:rsid w:val="00386E2E"/>
    <w:rsid w:val="00390A12"/>
    <w:rsid w:val="0039277A"/>
    <w:rsid w:val="003971BF"/>
    <w:rsid w:val="003972E0"/>
    <w:rsid w:val="003A3A56"/>
    <w:rsid w:val="003A4536"/>
    <w:rsid w:val="003B3A99"/>
    <w:rsid w:val="003C2CC4"/>
    <w:rsid w:val="003C3936"/>
    <w:rsid w:val="003D4B23"/>
    <w:rsid w:val="003E4E25"/>
    <w:rsid w:val="003E686D"/>
    <w:rsid w:val="003F0366"/>
    <w:rsid w:val="003F1ED3"/>
    <w:rsid w:val="003F40CC"/>
    <w:rsid w:val="00406162"/>
    <w:rsid w:val="00407255"/>
    <w:rsid w:val="004075CE"/>
    <w:rsid w:val="00411689"/>
    <w:rsid w:val="00421612"/>
    <w:rsid w:val="00421B79"/>
    <w:rsid w:val="00426B22"/>
    <w:rsid w:val="004325CB"/>
    <w:rsid w:val="0043517E"/>
    <w:rsid w:val="00440EFE"/>
    <w:rsid w:val="00446DE4"/>
    <w:rsid w:val="00454B64"/>
    <w:rsid w:val="00460DD9"/>
    <w:rsid w:val="00462FA0"/>
    <w:rsid w:val="00465864"/>
    <w:rsid w:val="00467F71"/>
    <w:rsid w:val="0047652A"/>
    <w:rsid w:val="004845AC"/>
    <w:rsid w:val="004A41CA"/>
    <w:rsid w:val="004B4ABB"/>
    <w:rsid w:val="004C534F"/>
    <w:rsid w:val="004C5B0B"/>
    <w:rsid w:val="004C7299"/>
    <w:rsid w:val="004D1D51"/>
    <w:rsid w:val="004E0788"/>
    <w:rsid w:val="004E7ED6"/>
    <w:rsid w:val="0050282D"/>
    <w:rsid w:val="00503228"/>
    <w:rsid w:val="00503662"/>
    <w:rsid w:val="00504B99"/>
    <w:rsid w:val="00505384"/>
    <w:rsid w:val="005062BB"/>
    <w:rsid w:val="00510F50"/>
    <w:rsid w:val="00513F9E"/>
    <w:rsid w:val="00516EB8"/>
    <w:rsid w:val="005211AE"/>
    <w:rsid w:val="0052219D"/>
    <w:rsid w:val="00532EF8"/>
    <w:rsid w:val="00536FB7"/>
    <w:rsid w:val="005420F2"/>
    <w:rsid w:val="00546947"/>
    <w:rsid w:val="005576A6"/>
    <w:rsid w:val="005679BD"/>
    <w:rsid w:val="00567C13"/>
    <w:rsid w:val="00586F70"/>
    <w:rsid w:val="0059369E"/>
    <w:rsid w:val="005A25D0"/>
    <w:rsid w:val="005B08F8"/>
    <w:rsid w:val="005B2C89"/>
    <w:rsid w:val="005B3DB3"/>
    <w:rsid w:val="005C1F03"/>
    <w:rsid w:val="005C2CD2"/>
    <w:rsid w:val="005C6113"/>
    <w:rsid w:val="005E22FE"/>
    <w:rsid w:val="005E3EF0"/>
    <w:rsid w:val="005E7E9C"/>
    <w:rsid w:val="005F27E6"/>
    <w:rsid w:val="00604313"/>
    <w:rsid w:val="0060576C"/>
    <w:rsid w:val="00605A87"/>
    <w:rsid w:val="00606569"/>
    <w:rsid w:val="00611FC4"/>
    <w:rsid w:val="00614DA7"/>
    <w:rsid w:val="006176FB"/>
    <w:rsid w:val="00627ED0"/>
    <w:rsid w:val="0063283C"/>
    <w:rsid w:val="00632A9E"/>
    <w:rsid w:val="00640B26"/>
    <w:rsid w:val="00644135"/>
    <w:rsid w:val="00651BC5"/>
    <w:rsid w:val="00654EB6"/>
    <w:rsid w:val="00665595"/>
    <w:rsid w:val="0067301B"/>
    <w:rsid w:val="00682B5D"/>
    <w:rsid w:val="00691F20"/>
    <w:rsid w:val="00693543"/>
    <w:rsid w:val="006A7392"/>
    <w:rsid w:val="006A7757"/>
    <w:rsid w:val="006B3AEC"/>
    <w:rsid w:val="006C2CEE"/>
    <w:rsid w:val="006D771F"/>
    <w:rsid w:val="006E564B"/>
    <w:rsid w:val="006F3872"/>
    <w:rsid w:val="006F387E"/>
    <w:rsid w:val="00701FAE"/>
    <w:rsid w:val="00706FD1"/>
    <w:rsid w:val="0071349F"/>
    <w:rsid w:val="00713BDB"/>
    <w:rsid w:val="007141F5"/>
    <w:rsid w:val="0071517D"/>
    <w:rsid w:val="00720D44"/>
    <w:rsid w:val="00720DEB"/>
    <w:rsid w:val="0072632A"/>
    <w:rsid w:val="007314F7"/>
    <w:rsid w:val="00733AAE"/>
    <w:rsid w:val="0073447E"/>
    <w:rsid w:val="00744418"/>
    <w:rsid w:val="00761358"/>
    <w:rsid w:val="0076297C"/>
    <w:rsid w:val="00765460"/>
    <w:rsid w:val="00765969"/>
    <w:rsid w:val="00766856"/>
    <w:rsid w:val="00766D34"/>
    <w:rsid w:val="00781A60"/>
    <w:rsid w:val="00791E30"/>
    <w:rsid w:val="00792D6F"/>
    <w:rsid w:val="00795203"/>
    <w:rsid w:val="007A0B22"/>
    <w:rsid w:val="007A7259"/>
    <w:rsid w:val="007B2C90"/>
    <w:rsid w:val="007B5461"/>
    <w:rsid w:val="007B6BA5"/>
    <w:rsid w:val="007C3390"/>
    <w:rsid w:val="007C4F4B"/>
    <w:rsid w:val="007D024A"/>
    <w:rsid w:val="007F0B83"/>
    <w:rsid w:val="007F28E8"/>
    <w:rsid w:val="007F320F"/>
    <w:rsid w:val="007F48EF"/>
    <w:rsid w:val="007F4FCD"/>
    <w:rsid w:val="007F6611"/>
    <w:rsid w:val="00802053"/>
    <w:rsid w:val="008055CB"/>
    <w:rsid w:val="00806D1B"/>
    <w:rsid w:val="00811DA1"/>
    <w:rsid w:val="00812F3B"/>
    <w:rsid w:val="0081732C"/>
    <w:rsid w:val="008175E9"/>
    <w:rsid w:val="008242D7"/>
    <w:rsid w:val="0082556A"/>
    <w:rsid w:val="008256AC"/>
    <w:rsid w:val="00827E05"/>
    <w:rsid w:val="008311A3"/>
    <w:rsid w:val="00832886"/>
    <w:rsid w:val="00836AF7"/>
    <w:rsid w:val="00864BFC"/>
    <w:rsid w:val="00871FD5"/>
    <w:rsid w:val="00876F95"/>
    <w:rsid w:val="00880562"/>
    <w:rsid w:val="00885EED"/>
    <w:rsid w:val="0089630E"/>
    <w:rsid w:val="008965DC"/>
    <w:rsid w:val="008979B1"/>
    <w:rsid w:val="008A43E0"/>
    <w:rsid w:val="008A6B25"/>
    <w:rsid w:val="008A6C4F"/>
    <w:rsid w:val="008B161A"/>
    <w:rsid w:val="008B523B"/>
    <w:rsid w:val="008B6E26"/>
    <w:rsid w:val="008B7B93"/>
    <w:rsid w:val="008C1DEB"/>
    <w:rsid w:val="008C6FCF"/>
    <w:rsid w:val="008D44C7"/>
    <w:rsid w:val="008E0E46"/>
    <w:rsid w:val="008E30E7"/>
    <w:rsid w:val="008E4C4C"/>
    <w:rsid w:val="008E656C"/>
    <w:rsid w:val="009008D3"/>
    <w:rsid w:val="00905DFB"/>
    <w:rsid w:val="00907AD2"/>
    <w:rsid w:val="00911047"/>
    <w:rsid w:val="00926FBC"/>
    <w:rsid w:val="00933602"/>
    <w:rsid w:val="00934EE8"/>
    <w:rsid w:val="0094010F"/>
    <w:rsid w:val="009435A6"/>
    <w:rsid w:val="009455BD"/>
    <w:rsid w:val="00963CBA"/>
    <w:rsid w:val="009650E6"/>
    <w:rsid w:val="00965932"/>
    <w:rsid w:val="0097053D"/>
    <w:rsid w:val="00974A8D"/>
    <w:rsid w:val="0098464A"/>
    <w:rsid w:val="0099001C"/>
    <w:rsid w:val="00991261"/>
    <w:rsid w:val="00993E70"/>
    <w:rsid w:val="00994453"/>
    <w:rsid w:val="00994FDB"/>
    <w:rsid w:val="009B4C87"/>
    <w:rsid w:val="009B5995"/>
    <w:rsid w:val="009C41D9"/>
    <w:rsid w:val="009C5E02"/>
    <w:rsid w:val="009D4474"/>
    <w:rsid w:val="009E181E"/>
    <w:rsid w:val="009F17DC"/>
    <w:rsid w:val="009F3A17"/>
    <w:rsid w:val="009F3D53"/>
    <w:rsid w:val="00A03F10"/>
    <w:rsid w:val="00A103F7"/>
    <w:rsid w:val="00A1427D"/>
    <w:rsid w:val="00A30AAE"/>
    <w:rsid w:val="00A361BE"/>
    <w:rsid w:val="00A40454"/>
    <w:rsid w:val="00A426FB"/>
    <w:rsid w:val="00A452D7"/>
    <w:rsid w:val="00A55FB2"/>
    <w:rsid w:val="00A576C0"/>
    <w:rsid w:val="00A6575A"/>
    <w:rsid w:val="00A72F22"/>
    <w:rsid w:val="00A748A6"/>
    <w:rsid w:val="00A76C6D"/>
    <w:rsid w:val="00A80459"/>
    <w:rsid w:val="00A805EB"/>
    <w:rsid w:val="00A8760B"/>
    <w:rsid w:val="00A879A4"/>
    <w:rsid w:val="00A954BE"/>
    <w:rsid w:val="00A96A3F"/>
    <w:rsid w:val="00A96F24"/>
    <w:rsid w:val="00AA4168"/>
    <w:rsid w:val="00AA496B"/>
    <w:rsid w:val="00AA779E"/>
    <w:rsid w:val="00AB4896"/>
    <w:rsid w:val="00AC501D"/>
    <w:rsid w:val="00AD3AAD"/>
    <w:rsid w:val="00AE046A"/>
    <w:rsid w:val="00AE0EDE"/>
    <w:rsid w:val="00AE5240"/>
    <w:rsid w:val="00AE71F3"/>
    <w:rsid w:val="00AE78C2"/>
    <w:rsid w:val="00AF12A3"/>
    <w:rsid w:val="00B070C3"/>
    <w:rsid w:val="00B13229"/>
    <w:rsid w:val="00B134DD"/>
    <w:rsid w:val="00B14DA4"/>
    <w:rsid w:val="00B16065"/>
    <w:rsid w:val="00B167B7"/>
    <w:rsid w:val="00B22E0B"/>
    <w:rsid w:val="00B2564C"/>
    <w:rsid w:val="00B30179"/>
    <w:rsid w:val="00B30E8F"/>
    <w:rsid w:val="00B32386"/>
    <w:rsid w:val="00B33EC0"/>
    <w:rsid w:val="00B35DF8"/>
    <w:rsid w:val="00B445B2"/>
    <w:rsid w:val="00B462AE"/>
    <w:rsid w:val="00B773DD"/>
    <w:rsid w:val="00B81E12"/>
    <w:rsid w:val="00B912A2"/>
    <w:rsid w:val="00B97D28"/>
    <w:rsid w:val="00BC6251"/>
    <w:rsid w:val="00BC74E9"/>
    <w:rsid w:val="00BD2146"/>
    <w:rsid w:val="00BE4F74"/>
    <w:rsid w:val="00BE618E"/>
    <w:rsid w:val="00BF2E08"/>
    <w:rsid w:val="00C03388"/>
    <w:rsid w:val="00C05C36"/>
    <w:rsid w:val="00C05FCE"/>
    <w:rsid w:val="00C17699"/>
    <w:rsid w:val="00C1778D"/>
    <w:rsid w:val="00C2520A"/>
    <w:rsid w:val="00C252D0"/>
    <w:rsid w:val="00C37199"/>
    <w:rsid w:val="00C37434"/>
    <w:rsid w:val="00C41A28"/>
    <w:rsid w:val="00C463DD"/>
    <w:rsid w:val="00C51910"/>
    <w:rsid w:val="00C6210B"/>
    <w:rsid w:val="00C65B43"/>
    <w:rsid w:val="00C71E7C"/>
    <w:rsid w:val="00C745C3"/>
    <w:rsid w:val="00C80466"/>
    <w:rsid w:val="00C817E9"/>
    <w:rsid w:val="00C82A9B"/>
    <w:rsid w:val="00C853E3"/>
    <w:rsid w:val="00C945EB"/>
    <w:rsid w:val="00C947EC"/>
    <w:rsid w:val="00CA02E6"/>
    <w:rsid w:val="00CA6859"/>
    <w:rsid w:val="00CB162B"/>
    <w:rsid w:val="00CC65B7"/>
    <w:rsid w:val="00CE4435"/>
    <w:rsid w:val="00CE4A8F"/>
    <w:rsid w:val="00CE4B5C"/>
    <w:rsid w:val="00CF1D14"/>
    <w:rsid w:val="00CF1E77"/>
    <w:rsid w:val="00CF701F"/>
    <w:rsid w:val="00D02AE7"/>
    <w:rsid w:val="00D055EB"/>
    <w:rsid w:val="00D16379"/>
    <w:rsid w:val="00D16961"/>
    <w:rsid w:val="00D2031B"/>
    <w:rsid w:val="00D25272"/>
    <w:rsid w:val="00D25FE2"/>
    <w:rsid w:val="00D313F8"/>
    <w:rsid w:val="00D317BB"/>
    <w:rsid w:val="00D35D8F"/>
    <w:rsid w:val="00D4140A"/>
    <w:rsid w:val="00D43252"/>
    <w:rsid w:val="00D46A4C"/>
    <w:rsid w:val="00D506B1"/>
    <w:rsid w:val="00D50BD6"/>
    <w:rsid w:val="00D576E3"/>
    <w:rsid w:val="00D61334"/>
    <w:rsid w:val="00D63881"/>
    <w:rsid w:val="00D7387D"/>
    <w:rsid w:val="00D96FA3"/>
    <w:rsid w:val="00D978C6"/>
    <w:rsid w:val="00DA67AD"/>
    <w:rsid w:val="00DB5082"/>
    <w:rsid w:val="00DB5D0F"/>
    <w:rsid w:val="00DB6193"/>
    <w:rsid w:val="00DC058D"/>
    <w:rsid w:val="00DC3242"/>
    <w:rsid w:val="00DD2F8D"/>
    <w:rsid w:val="00DE07CE"/>
    <w:rsid w:val="00DE740F"/>
    <w:rsid w:val="00DE7F20"/>
    <w:rsid w:val="00DF12F7"/>
    <w:rsid w:val="00DF2C64"/>
    <w:rsid w:val="00E00F27"/>
    <w:rsid w:val="00E02C81"/>
    <w:rsid w:val="00E04A75"/>
    <w:rsid w:val="00E06EAB"/>
    <w:rsid w:val="00E130AB"/>
    <w:rsid w:val="00E23D05"/>
    <w:rsid w:val="00E31C87"/>
    <w:rsid w:val="00E4535F"/>
    <w:rsid w:val="00E500B7"/>
    <w:rsid w:val="00E5709E"/>
    <w:rsid w:val="00E677EC"/>
    <w:rsid w:val="00E70DF5"/>
    <w:rsid w:val="00E7260F"/>
    <w:rsid w:val="00E80F5F"/>
    <w:rsid w:val="00E81147"/>
    <w:rsid w:val="00E84493"/>
    <w:rsid w:val="00E849BA"/>
    <w:rsid w:val="00E87921"/>
    <w:rsid w:val="00E87E69"/>
    <w:rsid w:val="00E96630"/>
    <w:rsid w:val="00EA1071"/>
    <w:rsid w:val="00EA264E"/>
    <w:rsid w:val="00EA3A41"/>
    <w:rsid w:val="00EA6348"/>
    <w:rsid w:val="00EB64C9"/>
    <w:rsid w:val="00EC1703"/>
    <w:rsid w:val="00EC3D3B"/>
    <w:rsid w:val="00ED1541"/>
    <w:rsid w:val="00ED3F89"/>
    <w:rsid w:val="00ED71D9"/>
    <w:rsid w:val="00ED7A2A"/>
    <w:rsid w:val="00EE503A"/>
    <w:rsid w:val="00EE5440"/>
    <w:rsid w:val="00EF0A29"/>
    <w:rsid w:val="00EF1083"/>
    <w:rsid w:val="00EF1D7F"/>
    <w:rsid w:val="00EF358F"/>
    <w:rsid w:val="00F112A7"/>
    <w:rsid w:val="00F124A0"/>
    <w:rsid w:val="00F23990"/>
    <w:rsid w:val="00F41EF2"/>
    <w:rsid w:val="00F42625"/>
    <w:rsid w:val="00F44068"/>
    <w:rsid w:val="00F52210"/>
    <w:rsid w:val="00F52939"/>
    <w:rsid w:val="00F53EDA"/>
    <w:rsid w:val="00F73015"/>
    <w:rsid w:val="00F7753D"/>
    <w:rsid w:val="00F85F34"/>
    <w:rsid w:val="00F92ADB"/>
    <w:rsid w:val="00FA06F7"/>
    <w:rsid w:val="00FA2DCC"/>
    <w:rsid w:val="00FA44E6"/>
    <w:rsid w:val="00FB14F5"/>
    <w:rsid w:val="00FB171A"/>
    <w:rsid w:val="00FB50A4"/>
    <w:rsid w:val="00FC09B8"/>
    <w:rsid w:val="00FC36E5"/>
    <w:rsid w:val="00FC5C58"/>
    <w:rsid w:val="00FC68B7"/>
    <w:rsid w:val="00FD4F7E"/>
    <w:rsid w:val="00FD7BF6"/>
    <w:rsid w:val="00FE4C89"/>
    <w:rsid w:val="00FF215E"/>
    <w:rsid w:val="00FF68B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C8E9B7"/>
  <w15:docId w15:val="{F07AA7A8-304E-454F-8854-80900101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40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0EFE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C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C53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53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C5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534F"/>
    <w:rPr>
      <w:b/>
      <w:bCs/>
      <w:lang w:eastAsia="en-US"/>
    </w:rPr>
  </w:style>
  <w:style w:type="character" w:customStyle="1" w:styleId="H1GChar">
    <w:name w:val="_ H_1_G Char"/>
    <w:link w:val="H1G"/>
    <w:rsid w:val="00605A87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11689"/>
    <w:pPr>
      <w:ind w:left="720"/>
      <w:contextualSpacing/>
    </w:pPr>
  </w:style>
  <w:style w:type="paragraph" w:customStyle="1" w:styleId="ParNoG">
    <w:name w:val="_ParNo_G"/>
    <w:basedOn w:val="SingleTxtG"/>
    <w:qFormat/>
    <w:rsid w:val="00C65B43"/>
    <w:pPr>
      <w:suppressAutoHyphens w:val="0"/>
      <w:ind w:left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26F9-B3CE-4786-9672-5DF81DFBA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BB138-C510-4ECC-BEA7-F91760268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CA6C4-D65A-4D0E-9A38-7656F6048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FE045-7830-465F-BC16-DDFC415B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11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subject/>
  <dc:creator>Susann Wothe</dc:creator>
  <cp:keywords/>
  <dc:description/>
  <cp:lastModifiedBy>Rosa</cp:lastModifiedBy>
  <cp:revision>13</cp:revision>
  <cp:lastPrinted>2020-11-09T10:05:00Z</cp:lastPrinted>
  <dcterms:created xsi:type="dcterms:W3CDTF">2020-11-09T10:10:00Z</dcterms:created>
  <dcterms:modified xsi:type="dcterms:W3CDTF">2020-11-09T13:55:00Z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7f76a36a-e94f-4d4b-bdd5-210902cd990e</vt:lpwstr>
  </property>
  <property fmtid="{D5CDD505-2E9C-101B-9397-08002B2CF9AE}" pid="3" name="Content_Steward">
    <vt:lpwstr>Corvaro M u584849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2018-09-10T10:49:59Z</vt:filetime>
  </property>
  <property fmtid="{D5CDD505-2E9C-101B-9397-08002B2CF9AE}" pid="9" name="Retention_Period_Start_Date">
    <vt:filetime>2018-12-10T13:25:36Z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ContentTypeId">
    <vt:lpwstr>0x0101003B8422D08C252547BB1CFA7F78E2CB83</vt:lpwstr>
  </property>
</Properties>
</file>