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825C9" w14:paraId="03CA7DD4" w14:textId="77777777" w:rsidTr="000216CC">
        <w:trPr>
          <w:trHeight w:val="851"/>
        </w:trPr>
        <w:tc>
          <w:tcPr>
            <w:tcW w:w="1259" w:type="dxa"/>
            <w:tcBorders>
              <w:top w:val="nil"/>
              <w:left w:val="nil"/>
              <w:bottom w:val="single" w:sz="4" w:space="0" w:color="auto"/>
              <w:right w:val="nil"/>
            </w:tcBorders>
            <w:shd w:val="clear" w:color="auto" w:fill="auto"/>
          </w:tcPr>
          <w:p w14:paraId="124F777A" w14:textId="77777777" w:rsidR="00446DE4" w:rsidRPr="004825C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0DA742B7" w14:textId="77777777" w:rsidR="00446DE4" w:rsidRPr="004825C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64B70D37" w14:textId="47FD2D8E" w:rsidR="00FC215C" w:rsidRPr="004825C9" w:rsidRDefault="00FC215C" w:rsidP="00FC215C">
            <w:pPr>
              <w:jc w:val="right"/>
              <w:rPr>
                <w:b/>
                <w:sz w:val="40"/>
                <w:szCs w:val="40"/>
              </w:rPr>
            </w:pPr>
            <w:r w:rsidRPr="004825C9">
              <w:rPr>
                <w:b/>
                <w:sz w:val="40"/>
                <w:szCs w:val="40"/>
              </w:rPr>
              <w:t>UN/SCE</w:t>
            </w:r>
            <w:r w:rsidR="002221BB">
              <w:rPr>
                <w:b/>
                <w:sz w:val="40"/>
                <w:szCs w:val="40"/>
              </w:rPr>
              <w:t>GHS</w:t>
            </w:r>
            <w:r w:rsidRPr="004825C9">
              <w:rPr>
                <w:b/>
                <w:sz w:val="40"/>
                <w:szCs w:val="40"/>
              </w:rPr>
              <w:t>/</w:t>
            </w:r>
            <w:r w:rsidR="002221BB">
              <w:rPr>
                <w:b/>
                <w:sz w:val="40"/>
                <w:szCs w:val="40"/>
              </w:rPr>
              <w:t>3</w:t>
            </w:r>
            <w:r w:rsidR="00F87796">
              <w:rPr>
                <w:b/>
                <w:sz w:val="40"/>
                <w:szCs w:val="40"/>
              </w:rPr>
              <w:t>9</w:t>
            </w:r>
            <w:r w:rsidRPr="004825C9">
              <w:rPr>
                <w:b/>
                <w:sz w:val="40"/>
                <w:szCs w:val="40"/>
              </w:rPr>
              <w:t>/INF.</w:t>
            </w:r>
            <w:r w:rsidR="00C647F5">
              <w:rPr>
                <w:b/>
                <w:sz w:val="40"/>
                <w:szCs w:val="40"/>
              </w:rPr>
              <w:t>21</w:t>
            </w:r>
          </w:p>
          <w:p w14:paraId="5D82F3A9" w14:textId="77777777" w:rsidR="000216CC" w:rsidRPr="004825C9"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9645"/>
      </w:tblGrid>
      <w:tr w:rsidR="00645A0B" w:rsidRPr="004825C9" w14:paraId="578C7ABA" w14:textId="77777777" w:rsidTr="00165735">
        <w:tc>
          <w:tcPr>
            <w:tcW w:w="9645" w:type="dxa"/>
            <w:tcMar>
              <w:top w:w="142" w:type="dxa"/>
              <w:left w:w="108" w:type="dxa"/>
              <w:bottom w:w="142" w:type="dxa"/>
              <w:right w:w="108" w:type="dxa"/>
            </w:tcMar>
          </w:tcPr>
          <w:p w14:paraId="4F930DFD" w14:textId="7ED29E82" w:rsidR="00645A0B" w:rsidRPr="004825C9" w:rsidRDefault="00645A0B" w:rsidP="002B1069">
            <w:pPr>
              <w:tabs>
                <w:tab w:val="right" w:pos="9214"/>
              </w:tabs>
            </w:pPr>
            <w:r w:rsidRPr="004825C9">
              <w:rPr>
                <w:b/>
                <w:sz w:val="24"/>
                <w:szCs w:val="24"/>
              </w:rPr>
              <w:t>Committee of Experts on the Transport of Dangerous Goods</w:t>
            </w:r>
            <w:r w:rsidRPr="004825C9">
              <w:rPr>
                <w:b/>
                <w:sz w:val="24"/>
                <w:szCs w:val="24"/>
              </w:rPr>
              <w:tab/>
            </w:r>
            <w:r w:rsidRPr="004825C9">
              <w:rPr>
                <w:b/>
                <w:sz w:val="24"/>
                <w:szCs w:val="24"/>
              </w:rPr>
              <w:br/>
              <w:t>and on the Globally Harmonized System of Classification</w:t>
            </w:r>
            <w:r w:rsidRPr="004825C9">
              <w:rPr>
                <w:b/>
                <w:sz w:val="24"/>
                <w:szCs w:val="24"/>
              </w:rPr>
              <w:br/>
              <w:t>and Labelling of Chemicals</w:t>
            </w:r>
            <w:r w:rsidRPr="004825C9">
              <w:rPr>
                <w:b/>
              </w:rPr>
              <w:tab/>
            </w:r>
            <w:r w:rsidR="00C647F5">
              <w:rPr>
                <w:b/>
              </w:rPr>
              <w:t>6</w:t>
            </w:r>
            <w:r w:rsidR="002221BB">
              <w:rPr>
                <w:b/>
              </w:rPr>
              <w:t xml:space="preserve"> November</w:t>
            </w:r>
            <w:r w:rsidR="00A739E7" w:rsidRPr="0064618C">
              <w:rPr>
                <w:b/>
              </w:rPr>
              <w:t xml:space="preserve"> </w:t>
            </w:r>
            <w:r w:rsidR="00CE74ED" w:rsidRPr="0064618C">
              <w:rPr>
                <w:b/>
              </w:rPr>
              <w:t>20</w:t>
            </w:r>
            <w:r w:rsidR="00F87796">
              <w:rPr>
                <w:b/>
              </w:rPr>
              <w:t>20</w:t>
            </w:r>
          </w:p>
        </w:tc>
      </w:tr>
      <w:tr w:rsidR="002221BB" w:rsidRPr="004825C9" w14:paraId="469535E0" w14:textId="77777777" w:rsidTr="00AF29E1">
        <w:tc>
          <w:tcPr>
            <w:tcW w:w="9645" w:type="dxa"/>
            <w:tcMar>
              <w:top w:w="57" w:type="dxa"/>
              <w:left w:w="108" w:type="dxa"/>
              <w:bottom w:w="0" w:type="dxa"/>
              <w:right w:w="108" w:type="dxa"/>
            </w:tcMar>
            <w:vAlign w:val="center"/>
          </w:tcPr>
          <w:p w14:paraId="7D0F1493" w14:textId="12DA96B6" w:rsidR="002221BB" w:rsidRPr="004825C9" w:rsidRDefault="002221BB" w:rsidP="00165735">
            <w:pPr>
              <w:spacing w:before="120"/>
              <w:rPr>
                <w:b/>
              </w:rPr>
            </w:pPr>
            <w:r w:rsidRPr="004825C9">
              <w:rPr>
                <w:b/>
              </w:rPr>
              <w:t xml:space="preserve">Sub-Committee of Experts on the </w:t>
            </w:r>
            <w:r>
              <w:rPr>
                <w:b/>
              </w:rPr>
              <w:t xml:space="preserve">Globally Harmonized </w:t>
            </w:r>
            <w:r>
              <w:rPr>
                <w:b/>
              </w:rPr>
              <w:br/>
              <w:t>System of Classification and Labelling of Chemicals</w:t>
            </w:r>
            <w:r w:rsidRPr="004825C9">
              <w:rPr>
                <w:b/>
              </w:rPr>
              <w:t xml:space="preserve"> </w:t>
            </w:r>
          </w:p>
        </w:tc>
      </w:tr>
      <w:tr w:rsidR="002221BB" w:rsidRPr="004825C9" w14:paraId="20BD5CB8" w14:textId="77777777" w:rsidTr="00AF29E1">
        <w:trPr>
          <w:trHeight w:val="1697"/>
        </w:trPr>
        <w:tc>
          <w:tcPr>
            <w:tcW w:w="9645" w:type="dxa"/>
            <w:tcMar>
              <w:top w:w="57" w:type="dxa"/>
              <w:left w:w="108" w:type="dxa"/>
              <w:bottom w:w="0" w:type="dxa"/>
              <w:right w:w="108" w:type="dxa"/>
            </w:tcMar>
          </w:tcPr>
          <w:p w14:paraId="2492D01A" w14:textId="518D2B8B" w:rsidR="002221BB" w:rsidRPr="004825C9" w:rsidRDefault="002221BB" w:rsidP="009874A5">
            <w:pPr>
              <w:spacing w:before="120"/>
              <w:ind w:left="34" w:hanging="34"/>
              <w:rPr>
                <w:b/>
              </w:rPr>
            </w:pPr>
            <w:r>
              <w:rPr>
                <w:b/>
              </w:rPr>
              <w:t>Thirty-</w:t>
            </w:r>
            <w:r w:rsidR="00F87796">
              <w:rPr>
                <w:b/>
              </w:rPr>
              <w:t>nin</w:t>
            </w:r>
            <w:r w:rsidR="00492CB5">
              <w:rPr>
                <w:b/>
              </w:rPr>
              <w:t>t</w:t>
            </w:r>
            <w:r>
              <w:rPr>
                <w:b/>
              </w:rPr>
              <w:t>h</w:t>
            </w:r>
            <w:r w:rsidRPr="004825C9">
              <w:rPr>
                <w:b/>
              </w:rPr>
              <w:t xml:space="preserve"> session</w:t>
            </w:r>
          </w:p>
          <w:p w14:paraId="2F463AC1" w14:textId="4B21F9AC" w:rsidR="002221BB" w:rsidRPr="004825C9" w:rsidRDefault="002221BB" w:rsidP="00CE74ED">
            <w:pPr>
              <w:tabs>
                <w:tab w:val="left" w:pos="6361"/>
                <w:tab w:val="left" w:pos="6939"/>
              </w:tabs>
              <w:spacing w:before="40"/>
              <w:outlineLvl w:val="0"/>
              <w:rPr>
                <w:bCs/>
              </w:rPr>
            </w:pPr>
            <w:r w:rsidRPr="004825C9">
              <w:t xml:space="preserve">Geneva, </w:t>
            </w:r>
            <w:r w:rsidR="00492CB5">
              <w:t>9</w:t>
            </w:r>
            <w:r>
              <w:t>-</w:t>
            </w:r>
            <w:r w:rsidR="00492CB5">
              <w:t>11</w:t>
            </w:r>
            <w:r>
              <w:t xml:space="preserve"> December</w:t>
            </w:r>
            <w:r w:rsidRPr="004825C9">
              <w:t xml:space="preserve"> 20</w:t>
            </w:r>
            <w:r w:rsidR="00492CB5">
              <w:t>20</w:t>
            </w:r>
          </w:p>
          <w:p w14:paraId="3448D8A1" w14:textId="08A8E4DD" w:rsidR="002221BB" w:rsidRPr="001B03EA" w:rsidRDefault="002221BB" w:rsidP="002221BB">
            <w:pPr>
              <w:spacing w:before="40"/>
            </w:pPr>
            <w:r w:rsidRPr="001B03EA">
              <w:t xml:space="preserve">Item </w:t>
            </w:r>
            <w:r w:rsidR="00D71021">
              <w:t>8</w:t>
            </w:r>
            <w:r w:rsidRPr="000E4528">
              <w:t xml:space="preserve"> </w:t>
            </w:r>
            <w:r w:rsidRPr="001B03EA">
              <w:t>of the provisional agenda</w:t>
            </w:r>
          </w:p>
          <w:p w14:paraId="7DC24426" w14:textId="48856C13" w:rsidR="002221BB" w:rsidRPr="00EA2944" w:rsidRDefault="00EA2944" w:rsidP="000B6AD1">
            <w:pPr>
              <w:spacing w:before="40"/>
              <w:rPr>
                <w:b/>
                <w:bCs/>
              </w:rPr>
            </w:pPr>
            <w:r w:rsidRPr="00EA2944">
              <w:rPr>
                <w:b/>
                <w:bCs/>
              </w:rPr>
              <w:t>Programme of work for the biennium 2021-2022</w:t>
            </w:r>
            <w:r w:rsidR="00AF29E1" w:rsidRPr="00EA2944">
              <w:rPr>
                <w:b/>
                <w:bCs/>
              </w:rPr>
              <w:t xml:space="preserve"> </w:t>
            </w:r>
            <w:bookmarkStart w:id="0" w:name="_GoBack"/>
            <w:bookmarkEnd w:id="0"/>
          </w:p>
        </w:tc>
      </w:tr>
    </w:tbl>
    <w:p w14:paraId="5F757AAB" w14:textId="60F19242" w:rsidR="002221BB" w:rsidRPr="003C761B" w:rsidRDefault="002221BB" w:rsidP="00C647F5">
      <w:pPr>
        <w:pStyle w:val="HChG"/>
      </w:pPr>
      <w:r>
        <w:tab/>
      </w:r>
      <w:r>
        <w:tab/>
      </w:r>
      <w:r w:rsidRPr="003C761B">
        <w:t xml:space="preserve">Proposed work plan </w:t>
      </w:r>
      <w:r w:rsidR="00986100">
        <w:rPr>
          <w:lang w:val="en-GB"/>
        </w:rPr>
        <w:t xml:space="preserve">for 2021-2022 </w:t>
      </w:r>
      <w:r w:rsidRPr="003C761B">
        <w:t xml:space="preserve">for the </w:t>
      </w:r>
      <w:r>
        <w:t>informal working</w:t>
      </w:r>
      <w:r w:rsidRPr="003C761B">
        <w:t xml:space="preserve"> group on the improvement of </w:t>
      </w:r>
      <w:r>
        <w:t>A</w:t>
      </w:r>
      <w:r w:rsidRPr="003C761B">
        <w:t xml:space="preserve">nnexes 1-3 of the GHS  </w:t>
      </w:r>
    </w:p>
    <w:p w14:paraId="38EFD0AF" w14:textId="77777777" w:rsidR="002221BB" w:rsidRPr="003C761B" w:rsidRDefault="002221BB" w:rsidP="00C647F5">
      <w:pPr>
        <w:pStyle w:val="H1G"/>
        <w:rPr>
          <w:rFonts w:eastAsia="MS Mincho"/>
        </w:rPr>
      </w:pPr>
      <w:r w:rsidRPr="003C761B">
        <w:rPr>
          <w:rFonts w:eastAsia="MS Mincho"/>
        </w:rPr>
        <w:tab/>
      </w:r>
      <w:r w:rsidRPr="003C761B">
        <w:rPr>
          <w:rFonts w:eastAsia="MS Mincho"/>
        </w:rPr>
        <w:tab/>
        <w:t xml:space="preserve">Transmitted by the expert from the United Kingdom on behalf of the </w:t>
      </w:r>
      <w:r>
        <w:rPr>
          <w:rFonts w:eastAsia="MS Mincho"/>
        </w:rPr>
        <w:t>working</w:t>
      </w:r>
      <w:r w:rsidRPr="003C761B">
        <w:rPr>
          <w:rFonts w:eastAsia="MS Mincho"/>
        </w:rPr>
        <w:t xml:space="preserve"> group</w:t>
      </w:r>
    </w:p>
    <w:p w14:paraId="6325915B" w14:textId="666CAF70" w:rsidR="002221BB" w:rsidRPr="006B44DF" w:rsidRDefault="002221BB" w:rsidP="00F21951">
      <w:pPr>
        <w:pStyle w:val="SingleTxtG"/>
        <w:rPr>
          <w:rFonts w:eastAsia="MS Mincho"/>
        </w:rPr>
      </w:pPr>
      <w:r w:rsidRPr="006B44DF">
        <w:rPr>
          <w:rFonts w:eastAsia="MS Mincho"/>
        </w:rPr>
        <w:t>1.</w:t>
      </w:r>
      <w:r w:rsidRPr="006B44DF">
        <w:rPr>
          <w:rFonts w:eastAsia="MS Mincho"/>
        </w:rPr>
        <w:tab/>
        <w:t xml:space="preserve">The </w:t>
      </w:r>
      <w:r>
        <w:rPr>
          <w:rFonts w:eastAsia="MS Mincho"/>
        </w:rPr>
        <w:t>informal working</w:t>
      </w:r>
      <w:r w:rsidRPr="006B44DF">
        <w:rPr>
          <w:rFonts w:eastAsia="MS Mincho"/>
        </w:rPr>
        <w:t xml:space="preserve"> group on improving </w:t>
      </w:r>
      <w:r>
        <w:rPr>
          <w:rFonts w:eastAsia="MS Mincho"/>
        </w:rPr>
        <w:t>A</w:t>
      </w:r>
      <w:r w:rsidRPr="006B44DF">
        <w:rPr>
          <w:rFonts w:eastAsia="MS Mincho"/>
        </w:rPr>
        <w:t xml:space="preserve">nnexes 1 to 3 of the GHS proposes the following plan of work for the biennium </w:t>
      </w:r>
      <w:r w:rsidR="006320C1" w:rsidRPr="006B44DF">
        <w:rPr>
          <w:rFonts w:eastAsia="MS Mincho"/>
        </w:rPr>
        <w:t>20</w:t>
      </w:r>
      <w:r w:rsidR="006320C1">
        <w:rPr>
          <w:rFonts w:eastAsia="MS Mincho"/>
          <w:lang w:val="en-GB"/>
        </w:rPr>
        <w:t>21</w:t>
      </w:r>
      <w:r w:rsidRPr="006B44DF">
        <w:rPr>
          <w:rFonts w:eastAsia="MS Mincho"/>
        </w:rPr>
        <w:t>-</w:t>
      </w:r>
      <w:r w:rsidR="006320C1">
        <w:rPr>
          <w:rFonts w:eastAsia="MS Mincho"/>
        </w:rPr>
        <w:t>20</w:t>
      </w:r>
      <w:r w:rsidR="006320C1">
        <w:rPr>
          <w:rFonts w:eastAsia="MS Mincho"/>
          <w:lang w:val="en-GB"/>
        </w:rPr>
        <w:t>22</w:t>
      </w:r>
      <w:r w:rsidRPr="006B44DF">
        <w:rPr>
          <w:rFonts w:eastAsia="MS Mincho"/>
        </w:rPr>
        <w:t>.</w:t>
      </w:r>
    </w:p>
    <w:p w14:paraId="33462A59" w14:textId="77777777" w:rsidR="002221BB" w:rsidRPr="006B44DF" w:rsidRDefault="002221BB" w:rsidP="002221BB">
      <w:pPr>
        <w:pStyle w:val="SingleTxtG"/>
        <w:rPr>
          <w:rFonts w:eastAsia="MS Mincho"/>
        </w:rPr>
      </w:pPr>
      <w:r w:rsidRPr="006B44DF">
        <w:rPr>
          <w:rFonts w:eastAsia="MS Mincho"/>
        </w:rPr>
        <w:t>2.</w:t>
      </w:r>
      <w:r w:rsidRPr="006B44DF">
        <w:rPr>
          <w:rFonts w:eastAsia="MS Mincho"/>
        </w:rPr>
        <w:tab/>
        <w:t xml:space="preserve">The overall goal remains the improvement of </w:t>
      </w:r>
      <w:r>
        <w:rPr>
          <w:rFonts w:eastAsia="MS Mincho"/>
        </w:rPr>
        <w:t>A</w:t>
      </w:r>
      <w:r w:rsidRPr="006B44DF">
        <w:rPr>
          <w:rFonts w:eastAsia="MS Mincho"/>
        </w:rPr>
        <w:t xml:space="preserve">nnexes 1-3 and further rationalisation of precautionary statements.  Within this there are three </w:t>
      </w:r>
      <w:r>
        <w:rPr>
          <w:rFonts w:eastAsia="MS Mincho"/>
        </w:rPr>
        <w:t>key areas of focus</w:t>
      </w:r>
      <w:r w:rsidRPr="006B44DF">
        <w:rPr>
          <w:rFonts w:eastAsia="MS Mincho"/>
        </w:rPr>
        <w:t>:</w:t>
      </w:r>
    </w:p>
    <w:p w14:paraId="25D36D74" w14:textId="77777777" w:rsidR="002221BB" w:rsidRDefault="002221BB" w:rsidP="002221BB">
      <w:pPr>
        <w:pStyle w:val="SingleTxtG"/>
        <w:ind w:left="1701"/>
        <w:rPr>
          <w:rFonts w:eastAsia="MS Mincho"/>
        </w:rPr>
      </w:pPr>
      <w:r w:rsidRPr="003C761B">
        <w:rPr>
          <w:rFonts w:eastAsia="MS Mincho"/>
        </w:rPr>
        <w:t>(</w:t>
      </w:r>
      <w:r>
        <w:rPr>
          <w:rFonts w:eastAsia="MS Mincho"/>
        </w:rPr>
        <w:t>a</w:t>
      </w:r>
      <w:r w:rsidRPr="003C761B">
        <w:rPr>
          <w:rFonts w:eastAsia="MS Mincho"/>
        </w:rPr>
        <w:t>)</w:t>
      </w:r>
      <w:r w:rsidRPr="003C761B">
        <w:rPr>
          <w:rFonts w:eastAsia="MS Mincho"/>
        </w:rPr>
        <w:tab/>
      </w:r>
      <w:r>
        <w:rPr>
          <w:rFonts w:eastAsia="MS Mincho"/>
        </w:rPr>
        <w:t>T</w:t>
      </w:r>
      <w:r w:rsidRPr="003C761B">
        <w:rPr>
          <w:rFonts w:eastAsia="MS Mincho"/>
        </w:rPr>
        <w:t>o develop proposals to rationalise and improve the</w:t>
      </w:r>
      <w:r w:rsidRPr="008F6E65">
        <w:rPr>
          <w:rFonts w:eastAsia="MS Mincho"/>
        </w:rPr>
        <w:t xml:space="preserve"> comprehensibility of hazard and precautionary statements for users, while taking into account usability for labelling practitioners. This may</w:t>
      </w:r>
      <w:r>
        <w:rPr>
          <w:rFonts w:eastAsia="MS Mincho"/>
        </w:rPr>
        <w:t xml:space="preserve"> include proposals to rationalis</w:t>
      </w:r>
      <w:r w:rsidRPr="008F6E65">
        <w:rPr>
          <w:rFonts w:eastAsia="MS Mincho"/>
        </w:rPr>
        <w:t>e and clarify ambiguous or unhelpful instructional precautionary statements, such as statements relating to disposal.</w:t>
      </w:r>
    </w:p>
    <w:p w14:paraId="3B1ABBCE" w14:textId="77777777" w:rsidR="002221BB" w:rsidRPr="003C761B" w:rsidRDefault="002221BB" w:rsidP="002221BB">
      <w:pPr>
        <w:pStyle w:val="SingleTxtG"/>
        <w:ind w:left="1701"/>
        <w:rPr>
          <w:rFonts w:eastAsia="MS Mincho"/>
        </w:rPr>
      </w:pPr>
      <w:r w:rsidRPr="003C761B">
        <w:rPr>
          <w:rFonts w:eastAsia="MS Mincho"/>
        </w:rPr>
        <w:t>(</w:t>
      </w:r>
      <w:r>
        <w:rPr>
          <w:rFonts w:eastAsia="MS Mincho"/>
        </w:rPr>
        <w:t>b</w:t>
      </w:r>
      <w:r w:rsidRPr="003C761B">
        <w:rPr>
          <w:rFonts w:eastAsia="MS Mincho"/>
        </w:rPr>
        <w:t>)</w:t>
      </w:r>
      <w:r w:rsidRPr="003C761B">
        <w:rPr>
          <w:rFonts w:eastAsia="MS Mincho"/>
        </w:rPr>
        <w:tab/>
      </w:r>
      <w:r>
        <w:rPr>
          <w:rFonts w:eastAsia="MS Mincho"/>
        </w:rPr>
        <w:t>T</w:t>
      </w:r>
      <w:r w:rsidRPr="003C761B">
        <w:rPr>
          <w:rFonts w:eastAsia="MS Mincho"/>
        </w:rPr>
        <w:t>o eliminate inconsistencies in the presentation of precautionary statements in Annex 3, including looking at disparities between the application of precautionary statements for different hazard classes/categories.</w:t>
      </w:r>
    </w:p>
    <w:p w14:paraId="0BA39E50" w14:textId="77777777" w:rsidR="002221BB" w:rsidRPr="003C761B" w:rsidRDefault="002221BB" w:rsidP="002221BB">
      <w:pPr>
        <w:pStyle w:val="SingleTxtG"/>
        <w:ind w:left="1701"/>
        <w:rPr>
          <w:rFonts w:eastAsia="MS Mincho"/>
        </w:rPr>
      </w:pPr>
      <w:r w:rsidRPr="003C761B">
        <w:rPr>
          <w:rFonts w:eastAsia="MS Mincho"/>
        </w:rPr>
        <w:t>(</w:t>
      </w:r>
      <w:r>
        <w:rPr>
          <w:rFonts w:eastAsia="MS Mincho"/>
        </w:rPr>
        <w:t>c</w:t>
      </w:r>
      <w:r w:rsidRPr="003C761B">
        <w:rPr>
          <w:rFonts w:eastAsia="MS Mincho"/>
        </w:rPr>
        <w:t>)</w:t>
      </w:r>
      <w:r w:rsidRPr="003C761B">
        <w:rPr>
          <w:rFonts w:eastAsia="MS Mincho"/>
        </w:rPr>
        <w:tab/>
      </w:r>
      <w:r>
        <w:rPr>
          <w:rFonts w:eastAsia="MS Mincho"/>
        </w:rPr>
        <w:t>T</w:t>
      </w:r>
      <w:r w:rsidRPr="003C761B">
        <w:rPr>
          <w:rFonts w:eastAsia="MS Mincho"/>
        </w:rPr>
        <w:t xml:space="preserve">o consider and address other issues within the </w:t>
      </w:r>
      <w:r>
        <w:rPr>
          <w:rFonts w:eastAsia="MS Mincho"/>
        </w:rPr>
        <w:t xml:space="preserve">working group’s </w:t>
      </w:r>
      <w:r w:rsidRPr="003C761B">
        <w:rPr>
          <w:rFonts w:eastAsia="MS Mincho"/>
        </w:rPr>
        <w:t>terms of reference as they arise.</w:t>
      </w:r>
    </w:p>
    <w:p w14:paraId="2F2CCA51" w14:textId="77777777" w:rsidR="00291A17" w:rsidRDefault="002221BB" w:rsidP="00B679CB">
      <w:pPr>
        <w:pStyle w:val="SingleTxtG"/>
        <w:rPr>
          <w:lang w:val="en-GB"/>
        </w:rPr>
      </w:pPr>
      <w:r w:rsidRPr="006B44DF">
        <w:rPr>
          <w:rFonts w:eastAsia="MS Mincho"/>
        </w:rPr>
        <w:t>3.</w:t>
      </w:r>
      <w:r w:rsidRPr="006B44DF">
        <w:rPr>
          <w:rFonts w:eastAsia="MS Mincho"/>
        </w:rPr>
        <w:tab/>
      </w:r>
      <w:r>
        <w:rPr>
          <w:rFonts w:eastAsia="MS Mincho"/>
        </w:rPr>
        <w:t xml:space="preserve">The </w:t>
      </w:r>
      <w:r w:rsidR="002E1F83">
        <w:rPr>
          <w:rFonts w:eastAsia="MS Mincho"/>
          <w:lang w:val="en-GB"/>
        </w:rPr>
        <w:t xml:space="preserve">working </w:t>
      </w:r>
      <w:r w:rsidR="00202CAC">
        <w:rPr>
          <w:rFonts w:eastAsia="MS Mincho"/>
          <w:lang w:val="en-GB"/>
        </w:rPr>
        <w:t>g</w:t>
      </w:r>
      <w:proofErr w:type="spellStart"/>
      <w:r>
        <w:rPr>
          <w:rFonts w:eastAsia="MS Mincho"/>
        </w:rPr>
        <w:t>roup</w:t>
      </w:r>
      <w:proofErr w:type="spellEnd"/>
      <w:r>
        <w:rPr>
          <w:rFonts w:eastAsia="MS Mincho"/>
        </w:rPr>
        <w:t xml:space="preserve"> has delivered on </w:t>
      </w:r>
      <w:r w:rsidR="00EC2C88">
        <w:rPr>
          <w:rFonts w:eastAsia="MS Mincho"/>
          <w:lang w:val="en-GB"/>
        </w:rPr>
        <w:t>t</w:t>
      </w:r>
      <w:r w:rsidR="009F221C">
        <w:rPr>
          <w:rFonts w:eastAsia="MS Mincho"/>
          <w:lang w:val="en-GB"/>
        </w:rPr>
        <w:t>hree</w:t>
      </w:r>
      <w:r w:rsidR="00EC2C88">
        <w:rPr>
          <w:rFonts w:eastAsia="MS Mincho"/>
        </w:rPr>
        <w:t xml:space="preserve"> </w:t>
      </w:r>
      <w:r>
        <w:rPr>
          <w:rFonts w:eastAsia="MS Mincho"/>
        </w:rPr>
        <w:t>items in its extensive work</w:t>
      </w:r>
      <w:r w:rsidR="00F62E87">
        <w:rPr>
          <w:rFonts w:eastAsia="MS Mincho"/>
          <w:lang w:val="en-GB"/>
        </w:rPr>
        <w:t xml:space="preserve"> </w:t>
      </w:r>
      <w:r>
        <w:rPr>
          <w:rFonts w:eastAsia="MS Mincho"/>
        </w:rPr>
        <w:t>plan for 201</w:t>
      </w:r>
      <w:r w:rsidR="00CF686F">
        <w:rPr>
          <w:rFonts w:eastAsia="MS Mincho"/>
          <w:lang w:val="en-GB"/>
        </w:rPr>
        <w:t>9</w:t>
      </w:r>
      <w:r>
        <w:rPr>
          <w:rFonts w:eastAsia="MS Mincho"/>
        </w:rPr>
        <w:t>-20</w:t>
      </w:r>
      <w:r w:rsidR="00CF686F">
        <w:rPr>
          <w:rFonts w:eastAsia="MS Mincho"/>
          <w:lang w:val="en-GB"/>
        </w:rPr>
        <w:t>20</w:t>
      </w:r>
      <w:r>
        <w:rPr>
          <w:rFonts w:eastAsia="MS Mincho"/>
        </w:rPr>
        <w:t xml:space="preserve"> including: </w:t>
      </w:r>
      <w:r w:rsidR="006970FC">
        <w:rPr>
          <w:rFonts w:eastAsia="MS Mincho"/>
          <w:lang w:val="en-GB"/>
        </w:rPr>
        <w:t>Proposed changes to</w:t>
      </w:r>
      <w:r w:rsidR="00111462">
        <w:rPr>
          <w:rFonts w:eastAsia="MS Mincho"/>
          <w:lang w:val="en-GB"/>
        </w:rPr>
        <w:t xml:space="preserve"> </w:t>
      </w:r>
      <w:r w:rsidR="00EC329B">
        <w:rPr>
          <w:rFonts w:eastAsia="MS Mincho"/>
          <w:lang w:val="en-GB"/>
        </w:rPr>
        <w:t xml:space="preserve">presentation of flammable gas </w:t>
      </w:r>
      <w:r w:rsidR="00111462">
        <w:rPr>
          <w:rFonts w:eastAsia="MS Mincho"/>
          <w:lang w:val="en-GB"/>
        </w:rPr>
        <w:t>categories and subcategories in Annex 3</w:t>
      </w:r>
      <w:r>
        <w:rPr>
          <w:rStyle w:val="FootnoteReference"/>
        </w:rPr>
        <w:footnoteReference w:id="2"/>
      </w:r>
      <w:r w:rsidRPr="003861BB">
        <w:t xml:space="preserve">; </w:t>
      </w:r>
      <w:r w:rsidR="00111462">
        <w:rPr>
          <w:lang w:val="en-GB"/>
        </w:rPr>
        <w:t xml:space="preserve">Proposed changes to </w:t>
      </w:r>
      <w:r w:rsidR="00EC329B">
        <w:rPr>
          <w:rFonts w:eastAsia="MS Mincho"/>
          <w:lang w:val="en-GB"/>
        </w:rPr>
        <w:t>Annex 1</w:t>
      </w:r>
      <w:r>
        <w:rPr>
          <w:rStyle w:val="FootnoteReference"/>
          <w:rFonts w:eastAsia="MS Mincho"/>
        </w:rPr>
        <w:footnoteReference w:id="3"/>
      </w:r>
      <w:r w:rsidR="00995C73">
        <w:rPr>
          <w:rFonts w:eastAsia="MS Mincho"/>
          <w:lang w:val="en-GB"/>
        </w:rPr>
        <w:t xml:space="preserve">; and </w:t>
      </w:r>
      <w:r w:rsidR="00594AAF">
        <w:rPr>
          <w:rFonts w:eastAsia="MS Mincho"/>
          <w:lang w:val="en-GB"/>
        </w:rPr>
        <w:t>on</w:t>
      </w:r>
      <w:r w:rsidR="000003FB">
        <w:rPr>
          <w:rFonts w:eastAsia="MS Mincho"/>
          <w:lang w:val="en-GB"/>
        </w:rPr>
        <w:t xml:space="preserve"> corrections and amendments to </w:t>
      </w:r>
      <w:r w:rsidR="00E558B2">
        <w:rPr>
          <w:rFonts w:eastAsia="MS Mincho"/>
          <w:lang w:val="en-GB"/>
        </w:rPr>
        <w:t>Annex 3</w:t>
      </w:r>
      <w:r w:rsidR="00E558B2">
        <w:rPr>
          <w:rStyle w:val="FootnoteReference"/>
          <w:rFonts w:eastAsia="MS Mincho"/>
          <w:lang w:val="en-GB"/>
        </w:rPr>
        <w:footnoteReference w:id="4"/>
      </w:r>
      <w:r w:rsidR="00995C73">
        <w:rPr>
          <w:rFonts w:eastAsia="MS Mincho"/>
          <w:lang w:val="en-GB"/>
        </w:rPr>
        <w:t xml:space="preserve">. The group has also </w:t>
      </w:r>
      <w:r w:rsidR="00186544">
        <w:rPr>
          <w:rFonts w:eastAsia="MS Mincho"/>
          <w:lang w:val="en-GB"/>
        </w:rPr>
        <w:t xml:space="preserve">put forward </w:t>
      </w:r>
      <w:r w:rsidR="001D57F3">
        <w:rPr>
          <w:rFonts w:eastAsia="MS Mincho"/>
          <w:lang w:val="en-GB"/>
        </w:rPr>
        <w:t xml:space="preserve">formal </w:t>
      </w:r>
      <w:r w:rsidR="00186544">
        <w:rPr>
          <w:rFonts w:eastAsia="MS Mincho"/>
          <w:lang w:val="en-GB"/>
        </w:rPr>
        <w:t>proposals on</w:t>
      </w:r>
      <w:r w:rsidR="00EB1E19">
        <w:rPr>
          <w:rFonts w:eastAsia="MS Mincho"/>
          <w:lang w:val="en-GB"/>
        </w:rPr>
        <w:t xml:space="preserve"> the</w:t>
      </w:r>
      <w:r w:rsidR="00186544">
        <w:rPr>
          <w:rFonts w:eastAsia="MS Mincho"/>
          <w:lang w:val="en-GB"/>
        </w:rPr>
        <w:t xml:space="preserve"> hand-eye </w:t>
      </w:r>
      <w:r w:rsidR="001C5E05">
        <w:rPr>
          <w:rFonts w:eastAsia="MS Mincho"/>
          <w:lang w:val="en-GB"/>
        </w:rPr>
        <w:t xml:space="preserve">contact </w:t>
      </w:r>
      <w:r w:rsidR="00186544">
        <w:rPr>
          <w:rFonts w:eastAsia="MS Mincho"/>
          <w:lang w:val="en-GB"/>
        </w:rPr>
        <w:t xml:space="preserve">issue for the consideration of the Sub-Committee </w:t>
      </w:r>
      <w:r w:rsidR="001D57F3">
        <w:rPr>
          <w:rFonts w:eastAsia="MS Mincho"/>
          <w:lang w:val="en-GB"/>
        </w:rPr>
        <w:t>at the thirty-ninth session</w:t>
      </w:r>
      <w:r w:rsidR="00D4706B">
        <w:rPr>
          <w:rStyle w:val="FootnoteReference"/>
          <w:rFonts w:eastAsia="MS Mincho"/>
          <w:lang w:val="en-GB"/>
        </w:rPr>
        <w:footnoteReference w:id="5"/>
      </w:r>
      <w:r w:rsidR="001D57F3">
        <w:rPr>
          <w:rFonts w:eastAsia="MS Mincho"/>
          <w:lang w:val="en-GB"/>
        </w:rPr>
        <w:t>.</w:t>
      </w:r>
      <w:r w:rsidR="00733B3F">
        <w:rPr>
          <w:rFonts w:eastAsia="MS Mincho"/>
          <w:lang w:val="en-GB"/>
        </w:rPr>
        <w:t xml:space="preserve"> </w:t>
      </w:r>
      <w:r w:rsidR="00430D0B">
        <w:rPr>
          <w:lang w:val="en-GB"/>
        </w:rPr>
        <w:t xml:space="preserve">In addition, </w:t>
      </w:r>
      <w:r w:rsidR="00ED3F1A">
        <w:rPr>
          <w:lang w:val="en-GB"/>
        </w:rPr>
        <w:t xml:space="preserve">in July 2019 </w:t>
      </w:r>
      <w:r w:rsidR="00512541" w:rsidRPr="00FF5DAC">
        <w:t xml:space="preserve">the </w:t>
      </w:r>
      <w:r w:rsidR="00512541">
        <w:t xml:space="preserve">working </w:t>
      </w:r>
      <w:r w:rsidR="00512541" w:rsidRPr="00FF5DAC">
        <w:t>group</w:t>
      </w:r>
      <w:r w:rsidR="00F45866">
        <w:rPr>
          <w:lang w:val="en-GB"/>
        </w:rPr>
        <w:t xml:space="preserve"> </w:t>
      </w:r>
      <w:r w:rsidR="00A776C3">
        <w:rPr>
          <w:lang w:val="en-GB"/>
        </w:rPr>
        <w:t xml:space="preserve">informed the Sub-Committee </w:t>
      </w:r>
      <w:r w:rsidR="00AB2910">
        <w:rPr>
          <w:lang w:val="en-GB"/>
        </w:rPr>
        <w:t xml:space="preserve">that </w:t>
      </w:r>
      <w:r w:rsidR="00ED3F1A">
        <w:rPr>
          <w:lang w:val="en-GB"/>
        </w:rPr>
        <w:t xml:space="preserve">following due </w:t>
      </w:r>
    </w:p>
    <w:p w14:paraId="778A41F4" w14:textId="77777777" w:rsidR="00291A17" w:rsidRDefault="00291A17">
      <w:pPr>
        <w:suppressAutoHyphens w:val="0"/>
        <w:spacing w:line="240" w:lineRule="auto"/>
      </w:pPr>
      <w:r>
        <w:br w:type="page"/>
      </w:r>
    </w:p>
    <w:p w14:paraId="3A5AF291" w14:textId="645A4EB4" w:rsidR="00B679CB" w:rsidRDefault="00ED3F1A" w:rsidP="00B679CB">
      <w:pPr>
        <w:pStyle w:val="SingleTxtG"/>
      </w:pPr>
      <w:r>
        <w:rPr>
          <w:lang w:val="en-GB"/>
        </w:rPr>
        <w:lastRenderedPageBreak/>
        <w:t xml:space="preserve">consideration </w:t>
      </w:r>
      <w:r w:rsidR="000E5C5C">
        <w:rPr>
          <w:lang w:val="en-GB"/>
        </w:rPr>
        <w:t xml:space="preserve">it </w:t>
      </w:r>
      <w:r w:rsidR="00F45866">
        <w:rPr>
          <w:lang w:val="en-GB"/>
        </w:rPr>
        <w:t>no longer</w:t>
      </w:r>
      <w:r w:rsidR="001317F4">
        <w:rPr>
          <w:lang w:val="en-GB"/>
        </w:rPr>
        <w:t xml:space="preserve"> support</w:t>
      </w:r>
      <w:r w:rsidR="00F45866">
        <w:rPr>
          <w:lang w:val="en-GB"/>
        </w:rPr>
        <w:t xml:space="preserve">ed </w:t>
      </w:r>
      <w:r w:rsidR="001317F4">
        <w:rPr>
          <w:lang w:val="en-GB"/>
        </w:rPr>
        <w:t>taking</w:t>
      </w:r>
      <w:r w:rsidR="001C2902">
        <w:rPr>
          <w:lang w:val="en-GB"/>
        </w:rPr>
        <w:t xml:space="preserve"> forward item 2 o</w:t>
      </w:r>
      <w:r w:rsidR="00D41F04">
        <w:rPr>
          <w:lang w:val="en-GB"/>
        </w:rPr>
        <w:t>n</w:t>
      </w:r>
      <w:r w:rsidR="001C2902">
        <w:rPr>
          <w:lang w:val="en-GB"/>
        </w:rPr>
        <w:t xml:space="preserve"> the 2019-2020 work</w:t>
      </w:r>
      <w:r w:rsidR="00F62E87">
        <w:rPr>
          <w:lang w:val="en-GB"/>
        </w:rPr>
        <w:t xml:space="preserve"> </w:t>
      </w:r>
      <w:r w:rsidR="001C2902">
        <w:rPr>
          <w:lang w:val="en-GB"/>
        </w:rPr>
        <w:t>plan regarding the</w:t>
      </w:r>
      <w:r w:rsidR="00512541" w:rsidRPr="00FF5DAC">
        <w:t xml:space="preserve"> conditional use of P102 “Keep out of reach of children” precautionary pictograms </w:t>
      </w:r>
      <w:r w:rsidR="009715AF">
        <w:rPr>
          <w:lang w:val="en-GB"/>
        </w:rPr>
        <w:t xml:space="preserve">and </w:t>
      </w:r>
      <w:r w:rsidR="000E5C5C">
        <w:rPr>
          <w:lang w:val="en-GB"/>
        </w:rPr>
        <w:t>this was removed from the groups work plan</w:t>
      </w:r>
      <w:r w:rsidR="003412D6">
        <w:rPr>
          <w:rStyle w:val="FootnoteReference"/>
          <w:lang w:val="en-GB"/>
        </w:rPr>
        <w:footnoteReference w:id="6"/>
      </w:r>
      <w:r w:rsidR="00B679CB" w:rsidRPr="00FF5DAC">
        <w:t>.</w:t>
      </w:r>
    </w:p>
    <w:p w14:paraId="1EFD19B0" w14:textId="655A0D7E" w:rsidR="002221BB" w:rsidRPr="006B44DF" w:rsidRDefault="009812F7" w:rsidP="002221BB">
      <w:pPr>
        <w:pStyle w:val="SingleTxtG"/>
        <w:rPr>
          <w:rFonts w:eastAsia="MS Mincho"/>
        </w:rPr>
      </w:pPr>
      <w:r>
        <w:rPr>
          <w:rFonts w:eastAsia="MS Mincho"/>
          <w:lang w:val="en-GB"/>
        </w:rPr>
        <w:t>4.</w:t>
      </w:r>
      <w:r>
        <w:rPr>
          <w:rFonts w:eastAsia="MS Mincho"/>
          <w:lang w:val="en-GB"/>
        </w:rPr>
        <w:tab/>
      </w:r>
      <w:r w:rsidR="00494F98">
        <w:rPr>
          <w:rFonts w:eastAsia="MS Mincho"/>
          <w:lang w:val="en-GB"/>
        </w:rPr>
        <w:t xml:space="preserve">Although the </w:t>
      </w:r>
      <w:r w:rsidR="00494F98">
        <w:rPr>
          <w:rFonts w:eastAsia="MS Mincho"/>
        </w:rPr>
        <w:t>informal working</w:t>
      </w:r>
      <w:r w:rsidR="00494F98" w:rsidRPr="006B44DF">
        <w:rPr>
          <w:rFonts w:eastAsia="MS Mincho"/>
        </w:rPr>
        <w:t xml:space="preserve"> group </w:t>
      </w:r>
      <w:r w:rsidR="00494F98">
        <w:rPr>
          <w:rFonts w:eastAsia="MS Mincho"/>
          <w:lang w:val="en-GB"/>
        </w:rPr>
        <w:t xml:space="preserve">has </w:t>
      </w:r>
      <w:r w:rsidR="003C29A8">
        <w:rPr>
          <w:rFonts w:eastAsia="MS Mincho"/>
          <w:lang w:val="en-GB"/>
        </w:rPr>
        <w:t>work</w:t>
      </w:r>
      <w:r w:rsidR="009065B3">
        <w:rPr>
          <w:rFonts w:eastAsia="MS Mincho"/>
          <w:lang w:val="en-GB"/>
        </w:rPr>
        <w:t xml:space="preserve"> hard</w:t>
      </w:r>
      <w:r w:rsidR="003C29A8">
        <w:rPr>
          <w:rFonts w:eastAsia="MS Mincho"/>
          <w:lang w:val="en-GB"/>
        </w:rPr>
        <w:t xml:space="preserve"> towards completing</w:t>
      </w:r>
      <w:r w:rsidR="00494F98">
        <w:rPr>
          <w:rFonts w:eastAsia="MS Mincho"/>
          <w:lang w:val="en-GB"/>
        </w:rPr>
        <w:t xml:space="preserve"> its 2019-2020 work</w:t>
      </w:r>
      <w:r w:rsidR="00913D02">
        <w:rPr>
          <w:rFonts w:eastAsia="MS Mincho"/>
          <w:lang w:val="en-GB"/>
        </w:rPr>
        <w:t xml:space="preserve"> </w:t>
      </w:r>
      <w:r w:rsidR="00494F98">
        <w:rPr>
          <w:rFonts w:eastAsia="MS Mincho"/>
          <w:lang w:val="en-GB"/>
        </w:rPr>
        <w:t>plan</w:t>
      </w:r>
      <w:r w:rsidR="002221BB">
        <w:rPr>
          <w:rFonts w:eastAsia="MS Mincho"/>
        </w:rPr>
        <w:t xml:space="preserve">, some specific items of work </w:t>
      </w:r>
      <w:r w:rsidR="000C0017">
        <w:rPr>
          <w:rFonts w:eastAsia="MS Mincho"/>
          <w:lang w:val="en-GB"/>
        </w:rPr>
        <w:t xml:space="preserve">(1-3) </w:t>
      </w:r>
      <w:r w:rsidR="002221BB">
        <w:rPr>
          <w:rFonts w:eastAsia="MS Mincho"/>
        </w:rPr>
        <w:t>have been carried over to the next biennium</w:t>
      </w:r>
      <w:r w:rsidR="000C0017">
        <w:rPr>
          <w:rFonts w:eastAsia="MS Mincho"/>
          <w:lang w:val="en-GB"/>
        </w:rPr>
        <w:t>, with two new tasks added</w:t>
      </w:r>
      <w:r w:rsidR="00753649">
        <w:rPr>
          <w:rFonts w:eastAsia="MS Mincho"/>
          <w:lang w:val="en-GB"/>
        </w:rPr>
        <w:t xml:space="preserve"> to the work plan</w:t>
      </w:r>
      <w:r w:rsidR="002221BB">
        <w:rPr>
          <w:rFonts w:eastAsia="MS Mincho"/>
        </w:rPr>
        <w:t xml:space="preserve">. </w:t>
      </w:r>
      <w:r w:rsidR="002221BB" w:rsidRPr="006B44DF">
        <w:rPr>
          <w:rFonts w:eastAsia="MS Mincho"/>
        </w:rPr>
        <w:t>More tasks will be added in the course of the biennium as appropriate</w:t>
      </w:r>
      <w:r w:rsidR="002221BB">
        <w:rPr>
          <w:rFonts w:eastAsia="MS Mincho"/>
        </w:rPr>
        <w:t>, including any issues the Sub-Committee may allocate to the working group to take forward</w:t>
      </w:r>
      <w:r w:rsidR="002221BB" w:rsidRPr="006B44DF">
        <w:rPr>
          <w:rFonts w:eastAsia="MS Mincho"/>
        </w:rPr>
        <w:t>.</w:t>
      </w:r>
    </w:p>
    <w:p w14:paraId="5E99CB8C" w14:textId="45270CD1" w:rsidR="003337C3" w:rsidRDefault="00FF6F6D" w:rsidP="002221BB">
      <w:pPr>
        <w:pStyle w:val="SingleTxtG"/>
        <w:rPr>
          <w:rFonts w:eastAsia="MS Mincho"/>
        </w:rPr>
      </w:pPr>
      <w:r>
        <w:rPr>
          <w:rFonts w:eastAsia="MS Mincho"/>
          <w:lang w:val="en-GB"/>
        </w:rPr>
        <w:t>5.</w:t>
      </w:r>
      <w:r>
        <w:rPr>
          <w:rFonts w:eastAsia="MS Mincho"/>
          <w:lang w:val="en-GB"/>
        </w:rPr>
        <w:tab/>
      </w:r>
      <w:r w:rsidR="003337C3" w:rsidRPr="006B44DF">
        <w:rPr>
          <w:rFonts w:eastAsia="MS Mincho"/>
        </w:rPr>
        <w:t xml:space="preserve">The current list of tasks that the </w:t>
      </w:r>
      <w:r w:rsidR="003337C3">
        <w:rPr>
          <w:rFonts w:eastAsia="MS Mincho"/>
        </w:rPr>
        <w:t>informal working</w:t>
      </w:r>
      <w:r w:rsidR="003337C3" w:rsidRPr="006B44DF">
        <w:rPr>
          <w:rFonts w:eastAsia="MS Mincho"/>
        </w:rPr>
        <w:t xml:space="preserve"> group proposes to tackle in the next biennium is in the Annex to this paper.</w:t>
      </w:r>
    </w:p>
    <w:p w14:paraId="427ABE13" w14:textId="13721CFC" w:rsidR="00A739E7" w:rsidRDefault="00FF6F6D" w:rsidP="002221BB">
      <w:pPr>
        <w:pStyle w:val="SingleTxtG"/>
        <w:rPr>
          <w:rFonts w:eastAsia="MS Mincho"/>
        </w:rPr>
      </w:pPr>
      <w:r>
        <w:rPr>
          <w:rFonts w:eastAsia="MS Mincho"/>
          <w:lang w:val="en-GB"/>
        </w:rPr>
        <w:t>6</w:t>
      </w:r>
      <w:r w:rsidR="002221BB" w:rsidRPr="006B44DF">
        <w:rPr>
          <w:rFonts w:eastAsia="MS Mincho"/>
        </w:rPr>
        <w:t>.</w:t>
      </w:r>
      <w:r w:rsidR="002221BB" w:rsidRPr="006B44DF">
        <w:rPr>
          <w:rFonts w:eastAsia="MS Mincho"/>
        </w:rPr>
        <w:tab/>
        <w:t>The Sub-</w:t>
      </w:r>
      <w:r w:rsidR="003671E7">
        <w:rPr>
          <w:rFonts w:eastAsia="MS Mincho"/>
          <w:lang w:val="fr-CH"/>
        </w:rPr>
        <w:t>C</w:t>
      </w:r>
      <w:proofErr w:type="spellStart"/>
      <w:r w:rsidR="002221BB" w:rsidRPr="006B44DF">
        <w:rPr>
          <w:rFonts w:eastAsia="MS Mincho"/>
        </w:rPr>
        <w:t>ommittee</w:t>
      </w:r>
      <w:proofErr w:type="spellEnd"/>
      <w:r w:rsidR="002221BB" w:rsidRPr="006B44DF">
        <w:rPr>
          <w:rFonts w:eastAsia="MS Mincho"/>
        </w:rPr>
        <w:t xml:space="preserve"> is invited to agree the proposed plan of work.</w:t>
      </w:r>
    </w:p>
    <w:p w14:paraId="2491D54D" w14:textId="77777777" w:rsidR="002221BB" w:rsidRDefault="002221BB" w:rsidP="002221BB">
      <w:pPr>
        <w:pStyle w:val="SingleTxtG"/>
        <w:rPr>
          <w:u w:val="single"/>
          <w:lang w:val="en-GB"/>
        </w:rPr>
        <w:sectPr w:rsidR="002221BB" w:rsidSect="0039260F">
          <w:headerReference w:type="even" r:id="rId11"/>
          <w:headerReference w:type="default" r:id="rId12"/>
          <w:footerReference w:type="even" r:id="rId13"/>
          <w:footerReference w:type="default" r:id="rId14"/>
          <w:headerReference w:type="first" r:id="rId15"/>
          <w:endnotePr>
            <w:numFmt w:val="decimal"/>
          </w:endnotePr>
          <w:type w:val="oddPage"/>
          <w:pgSz w:w="11907" w:h="16840" w:code="9"/>
          <w:pgMar w:top="1701" w:right="1134" w:bottom="2268" w:left="1134" w:header="964" w:footer="1701" w:gutter="0"/>
          <w:cols w:space="720"/>
          <w:titlePg/>
          <w:docGrid w:linePitch="272"/>
        </w:sectPr>
      </w:pPr>
    </w:p>
    <w:p w14:paraId="6A3FB192" w14:textId="3C54EC3F" w:rsidR="002221BB" w:rsidRDefault="002221BB" w:rsidP="00281678">
      <w:pPr>
        <w:pStyle w:val="HChG"/>
        <w:spacing w:after="120"/>
      </w:pPr>
      <w:r>
        <w:lastRenderedPageBreak/>
        <w:t>Annex</w:t>
      </w:r>
    </w:p>
    <w:tbl>
      <w:tblPr>
        <w:tblStyle w:val="TableGrid"/>
        <w:tblW w:w="12204"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2131"/>
        <w:gridCol w:w="4975"/>
        <w:gridCol w:w="4639"/>
      </w:tblGrid>
      <w:tr w:rsidR="002221BB" w:rsidRPr="002E00EE" w14:paraId="615B2C34" w14:textId="77777777" w:rsidTr="00AF29E1">
        <w:trPr>
          <w:tblHeader/>
        </w:trPr>
        <w:tc>
          <w:tcPr>
            <w:tcW w:w="459" w:type="dxa"/>
            <w:tcBorders>
              <w:top w:val="single" w:sz="4" w:space="0" w:color="auto"/>
              <w:bottom w:val="single" w:sz="12" w:space="0" w:color="auto"/>
            </w:tcBorders>
            <w:shd w:val="clear" w:color="auto" w:fill="auto"/>
            <w:vAlign w:val="bottom"/>
          </w:tcPr>
          <w:p w14:paraId="001A4C72" w14:textId="77777777" w:rsidR="002221BB" w:rsidRPr="002E00EE" w:rsidRDefault="002221BB" w:rsidP="00AF29E1">
            <w:pPr>
              <w:spacing w:before="80" w:after="80" w:line="200" w:lineRule="exact"/>
              <w:ind w:right="113"/>
              <w:rPr>
                <w:i/>
                <w:sz w:val="18"/>
                <w:szCs w:val="18"/>
              </w:rPr>
            </w:pPr>
            <w:r w:rsidRPr="002E00EE">
              <w:rPr>
                <w:i/>
                <w:sz w:val="18"/>
                <w:szCs w:val="18"/>
              </w:rPr>
              <w:t>No.</w:t>
            </w:r>
          </w:p>
        </w:tc>
        <w:tc>
          <w:tcPr>
            <w:tcW w:w="2131" w:type="dxa"/>
            <w:tcBorders>
              <w:top w:val="single" w:sz="4" w:space="0" w:color="auto"/>
              <w:bottom w:val="single" w:sz="12" w:space="0" w:color="auto"/>
            </w:tcBorders>
            <w:shd w:val="clear" w:color="auto" w:fill="auto"/>
            <w:vAlign w:val="bottom"/>
          </w:tcPr>
          <w:p w14:paraId="0BF363C5" w14:textId="77777777" w:rsidR="002221BB" w:rsidRPr="002E00EE" w:rsidRDefault="002221BB" w:rsidP="00AF29E1">
            <w:pPr>
              <w:spacing w:before="80" w:after="80" w:line="200" w:lineRule="exact"/>
              <w:ind w:right="113"/>
              <w:rPr>
                <w:i/>
                <w:sz w:val="18"/>
                <w:szCs w:val="18"/>
              </w:rPr>
            </w:pPr>
            <w:r w:rsidRPr="002E00EE">
              <w:rPr>
                <w:i/>
                <w:sz w:val="18"/>
                <w:szCs w:val="18"/>
              </w:rPr>
              <w:t>Topic</w:t>
            </w:r>
          </w:p>
        </w:tc>
        <w:tc>
          <w:tcPr>
            <w:tcW w:w="4975" w:type="dxa"/>
            <w:tcBorders>
              <w:top w:val="single" w:sz="4" w:space="0" w:color="auto"/>
              <w:bottom w:val="single" w:sz="12" w:space="0" w:color="auto"/>
            </w:tcBorders>
            <w:shd w:val="clear" w:color="auto" w:fill="auto"/>
            <w:vAlign w:val="bottom"/>
          </w:tcPr>
          <w:p w14:paraId="13473272" w14:textId="77777777" w:rsidR="002221BB" w:rsidRPr="002E00EE" w:rsidRDefault="002221BB" w:rsidP="00AF29E1">
            <w:pPr>
              <w:spacing w:before="80" w:after="80" w:line="200" w:lineRule="exact"/>
              <w:ind w:right="113"/>
              <w:rPr>
                <w:i/>
                <w:sz w:val="18"/>
                <w:szCs w:val="18"/>
              </w:rPr>
            </w:pPr>
            <w:r w:rsidRPr="002E00EE">
              <w:rPr>
                <w:i/>
                <w:sz w:val="18"/>
                <w:szCs w:val="18"/>
              </w:rPr>
              <w:t>Issue</w:t>
            </w:r>
          </w:p>
        </w:tc>
        <w:tc>
          <w:tcPr>
            <w:tcW w:w="4639" w:type="dxa"/>
            <w:tcBorders>
              <w:top w:val="single" w:sz="4" w:space="0" w:color="auto"/>
              <w:bottom w:val="single" w:sz="12" w:space="0" w:color="auto"/>
            </w:tcBorders>
            <w:shd w:val="clear" w:color="auto" w:fill="auto"/>
            <w:vAlign w:val="bottom"/>
          </w:tcPr>
          <w:p w14:paraId="2D66F1E8" w14:textId="77777777" w:rsidR="002221BB" w:rsidRPr="002E00EE" w:rsidRDefault="002221BB" w:rsidP="00AF29E1">
            <w:pPr>
              <w:spacing w:before="80" w:after="80" w:line="200" w:lineRule="exact"/>
              <w:ind w:right="113"/>
              <w:rPr>
                <w:i/>
                <w:sz w:val="18"/>
                <w:szCs w:val="18"/>
              </w:rPr>
            </w:pPr>
            <w:r w:rsidRPr="002E00EE">
              <w:rPr>
                <w:i/>
                <w:sz w:val="18"/>
                <w:szCs w:val="18"/>
              </w:rPr>
              <w:t>Proposed work</w:t>
            </w:r>
          </w:p>
        </w:tc>
      </w:tr>
      <w:tr w:rsidR="002221BB" w:rsidRPr="002E00EE" w14:paraId="164CB8A2" w14:textId="77777777" w:rsidTr="00AF29E1">
        <w:tc>
          <w:tcPr>
            <w:tcW w:w="459" w:type="dxa"/>
            <w:shd w:val="clear" w:color="auto" w:fill="auto"/>
          </w:tcPr>
          <w:p w14:paraId="01BBC410" w14:textId="77777777" w:rsidR="002221BB" w:rsidRPr="002E00EE" w:rsidRDefault="002221BB" w:rsidP="00AF29E1">
            <w:pPr>
              <w:spacing w:before="40" w:after="120"/>
              <w:ind w:right="113"/>
              <w:rPr>
                <w:sz w:val="18"/>
                <w:szCs w:val="18"/>
              </w:rPr>
            </w:pPr>
            <w:r>
              <w:rPr>
                <w:sz w:val="18"/>
                <w:szCs w:val="18"/>
              </w:rPr>
              <w:t>1</w:t>
            </w:r>
          </w:p>
        </w:tc>
        <w:tc>
          <w:tcPr>
            <w:tcW w:w="2131" w:type="dxa"/>
            <w:shd w:val="clear" w:color="auto" w:fill="auto"/>
          </w:tcPr>
          <w:p w14:paraId="1B5D4AAB" w14:textId="77777777" w:rsidR="002221BB" w:rsidRPr="002E00EE" w:rsidRDefault="002221BB" w:rsidP="00AF29E1">
            <w:pPr>
              <w:suppressAutoHyphens w:val="0"/>
              <w:spacing w:line="240" w:lineRule="auto"/>
              <w:rPr>
                <w:sz w:val="18"/>
                <w:szCs w:val="18"/>
                <w:u w:val="single"/>
              </w:rPr>
            </w:pPr>
            <w:r w:rsidRPr="002E00EE">
              <w:rPr>
                <w:sz w:val="18"/>
                <w:szCs w:val="18"/>
                <w:u w:val="single"/>
              </w:rPr>
              <w:t>P501 – Waste disposal PS</w:t>
            </w:r>
          </w:p>
        </w:tc>
        <w:tc>
          <w:tcPr>
            <w:tcW w:w="4975" w:type="dxa"/>
            <w:shd w:val="clear" w:color="auto" w:fill="auto"/>
          </w:tcPr>
          <w:p w14:paraId="65064615" w14:textId="77777777" w:rsidR="002221BB" w:rsidRPr="002E00EE" w:rsidRDefault="002221BB" w:rsidP="00AF29E1">
            <w:pPr>
              <w:spacing w:before="40" w:after="120"/>
              <w:ind w:right="113"/>
              <w:rPr>
                <w:sz w:val="18"/>
                <w:szCs w:val="18"/>
              </w:rPr>
            </w:pPr>
            <w:r w:rsidRPr="002E00EE">
              <w:rPr>
                <w:sz w:val="18"/>
                <w:szCs w:val="18"/>
              </w:rPr>
              <w:t>P501 tends to result in labels telling users to dispose of ‘contents/container to a waste disposal site in accordance with national regulation’. This places the burden on the user to find the appropriate disposal outlet and does not encourage recycling. The condition for use is also currently used as a continuation of the precautionary statement by manufacturers/suppliers and is inconsistent with other PS. P501 also appears on some workplace-only products where it is unnecessary.</w:t>
            </w:r>
          </w:p>
        </w:tc>
        <w:tc>
          <w:tcPr>
            <w:tcW w:w="4639" w:type="dxa"/>
            <w:shd w:val="clear" w:color="auto" w:fill="auto"/>
          </w:tcPr>
          <w:p w14:paraId="3CBB7ACE" w14:textId="77777777" w:rsidR="002221BB" w:rsidRPr="002E00EE" w:rsidRDefault="002221BB" w:rsidP="00AF29E1">
            <w:pPr>
              <w:pStyle w:val="Bullet1G"/>
              <w:tabs>
                <w:tab w:val="clear" w:pos="1701"/>
              </w:tabs>
              <w:ind w:left="190" w:right="111" w:hanging="141"/>
              <w:rPr>
                <w:sz w:val="18"/>
                <w:szCs w:val="18"/>
              </w:rPr>
            </w:pPr>
            <w:r w:rsidRPr="002E00EE">
              <w:rPr>
                <w:sz w:val="18"/>
                <w:szCs w:val="18"/>
              </w:rPr>
              <w:t xml:space="preserve">Look into the viability of instructing users to dispose of products at specific sites, including looking at varying disposal requirements </w:t>
            </w:r>
            <w:r>
              <w:rPr>
                <w:sz w:val="18"/>
                <w:szCs w:val="18"/>
              </w:rPr>
              <w:t>for consumers and workers</w:t>
            </w:r>
            <w:r w:rsidRPr="002E00EE">
              <w:rPr>
                <w:sz w:val="18"/>
                <w:szCs w:val="18"/>
              </w:rPr>
              <w:t>, via a change to the PS and/or condition for use.</w:t>
            </w:r>
          </w:p>
          <w:p w14:paraId="7F630F3E" w14:textId="77777777" w:rsidR="002221BB" w:rsidRPr="002E00EE" w:rsidRDefault="002221BB" w:rsidP="00AF29E1">
            <w:pPr>
              <w:pStyle w:val="Bullet1G"/>
              <w:tabs>
                <w:tab w:val="clear" w:pos="1701"/>
              </w:tabs>
              <w:ind w:left="190" w:right="111" w:hanging="141"/>
              <w:rPr>
                <w:sz w:val="18"/>
                <w:szCs w:val="18"/>
              </w:rPr>
            </w:pPr>
            <w:r w:rsidRPr="002E00EE">
              <w:rPr>
                <w:sz w:val="18"/>
                <w:szCs w:val="18"/>
              </w:rPr>
              <w:t xml:space="preserve">Consider limiting </w:t>
            </w:r>
            <w:r>
              <w:rPr>
                <w:sz w:val="18"/>
                <w:szCs w:val="18"/>
              </w:rPr>
              <w:t xml:space="preserve">application of </w:t>
            </w:r>
            <w:r w:rsidRPr="002E00EE">
              <w:rPr>
                <w:sz w:val="18"/>
                <w:szCs w:val="18"/>
              </w:rPr>
              <w:t>P501 for the workplace when normal chemical waste disposal procedures suffice.</w:t>
            </w:r>
          </w:p>
        </w:tc>
      </w:tr>
      <w:tr w:rsidR="002221BB" w:rsidRPr="002E00EE" w14:paraId="019BF15B" w14:textId="77777777" w:rsidTr="00AF29E1">
        <w:tc>
          <w:tcPr>
            <w:tcW w:w="459" w:type="dxa"/>
            <w:shd w:val="clear" w:color="auto" w:fill="auto"/>
          </w:tcPr>
          <w:p w14:paraId="726B1CB6" w14:textId="67E37490" w:rsidR="002221BB" w:rsidRPr="002E00EE" w:rsidRDefault="002E3F71" w:rsidP="00AF29E1">
            <w:pPr>
              <w:spacing w:before="40" w:after="120"/>
              <w:ind w:right="113"/>
              <w:rPr>
                <w:sz w:val="18"/>
                <w:szCs w:val="18"/>
              </w:rPr>
            </w:pPr>
            <w:r>
              <w:rPr>
                <w:sz w:val="18"/>
                <w:szCs w:val="18"/>
              </w:rPr>
              <w:t>2</w:t>
            </w:r>
          </w:p>
        </w:tc>
        <w:tc>
          <w:tcPr>
            <w:tcW w:w="2131" w:type="dxa"/>
            <w:shd w:val="clear" w:color="auto" w:fill="auto"/>
          </w:tcPr>
          <w:p w14:paraId="123968E2" w14:textId="77777777" w:rsidR="002221BB" w:rsidRPr="002E00EE" w:rsidRDefault="002221BB" w:rsidP="00AF29E1">
            <w:pPr>
              <w:spacing w:before="40" w:after="120"/>
              <w:ind w:right="113"/>
              <w:rPr>
                <w:sz w:val="18"/>
                <w:szCs w:val="18"/>
              </w:rPr>
            </w:pPr>
            <w:r w:rsidRPr="002E00EE">
              <w:rPr>
                <w:sz w:val="18"/>
                <w:szCs w:val="18"/>
                <w:u w:val="single"/>
              </w:rPr>
              <w:t>Combination statements</w:t>
            </w:r>
          </w:p>
        </w:tc>
        <w:tc>
          <w:tcPr>
            <w:tcW w:w="4975" w:type="dxa"/>
            <w:shd w:val="clear" w:color="auto" w:fill="auto"/>
          </w:tcPr>
          <w:p w14:paraId="3F7955D5" w14:textId="77777777" w:rsidR="002221BB" w:rsidRPr="002E00EE" w:rsidRDefault="002221BB" w:rsidP="00AF29E1">
            <w:pPr>
              <w:spacing w:before="40" w:after="120"/>
              <w:ind w:right="113"/>
              <w:rPr>
                <w:sz w:val="18"/>
                <w:szCs w:val="18"/>
              </w:rPr>
            </w:pPr>
            <w:r w:rsidRPr="002E00EE">
              <w:rPr>
                <w:sz w:val="18"/>
                <w:szCs w:val="18"/>
              </w:rPr>
              <w:t>Combination statements are presented inconsistently in Annex 3. Some combination statements are shown in the tables while others are not. In the PS matrix the presentation of combination statements can be misleading, especially in routes of exposure + response whereby the route of exposure is presented as only applying to one response rather than multiple.</w:t>
            </w:r>
          </w:p>
        </w:tc>
        <w:tc>
          <w:tcPr>
            <w:tcW w:w="4639" w:type="dxa"/>
            <w:shd w:val="clear" w:color="auto" w:fill="auto"/>
          </w:tcPr>
          <w:p w14:paraId="2CDE9AE8" w14:textId="77777777" w:rsidR="002221BB" w:rsidRPr="002E00EE" w:rsidRDefault="002221BB" w:rsidP="00AF29E1">
            <w:pPr>
              <w:pStyle w:val="Bullet1G"/>
              <w:tabs>
                <w:tab w:val="clear" w:pos="1701"/>
              </w:tabs>
              <w:ind w:left="190" w:right="111" w:hanging="141"/>
              <w:rPr>
                <w:sz w:val="18"/>
                <w:szCs w:val="18"/>
              </w:rPr>
            </w:pPr>
            <w:r w:rsidRPr="002E00EE">
              <w:rPr>
                <w:sz w:val="18"/>
                <w:szCs w:val="18"/>
              </w:rPr>
              <w:t>Discuss the value of presenting combination statements in the PS tables and consider their removal.</w:t>
            </w:r>
          </w:p>
          <w:p w14:paraId="72E9778A" w14:textId="77777777" w:rsidR="002221BB" w:rsidRPr="002E00EE" w:rsidRDefault="002221BB" w:rsidP="00AF29E1">
            <w:pPr>
              <w:pStyle w:val="Bullet1G"/>
              <w:tabs>
                <w:tab w:val="clear" w:pos="1701"/>
              </w:tabs>
              <w:ind w:left="190" w:right="111" w:hanging="141"/>
              <w:rPr>
                <w:sz w:val="18"/>
                <w:szCs w:val="18"/>
              </w:rPr>
            </w:pPr>
            <w:r w:rsidRPr="002E00EE">
              <w:rPr>
                <w:sz w:val="18"/>
                <w:szCs w:val="18"/>
              </w:rPr>
              <w:t>Consider changing the presentation in the matrix to show that routes of exposure do not only apply to one response – possibly by avoiding putting multiple PS on the same line.</w:t>
            </w:r>
          </w:p>
        </w:tc>
      </w:tr>
      <w:tr w:rsidR="002221BB" w:rsidRPr="002E00EE" w14:paraId="009710A0" w14:textId="77777777" w:rsidTr="00AF29E1">
        <w:tc>
          <w:tcPr>
            <w:tcW w:w="459" w:type="dxa"/>
            <w:shd w:val="clear" w:color="auto" w:fill="auto"/>
          </w:tcPr>
          <w:p w14:paraId="5686EC3A" w14:textId="1BFBA93B" w:rsidR="002221BB" w:rsidRPr="002E00EE" w:rsidRDefault="002E3F71" w:rsidP="00AF29E1">
            <w:pPr>
              <w:spacing w:before="40" w:after="120"/>
              <w:ind w:right="113"/>
              <w:rPr>
                <w:sz w:val="18"/>
                <w:szCs w:val="18"/>
              </w:rPr>
            </w:pPr>
            <w:r>
              <w:rPr>
                <w:sz w:val="18"/>
                <w:szCs w:val="18"/>
              </w:rPr>
              <w:t>3</w:t>
            </w:r>
          </w:p>
        </w:tc>
        <w:tc>
          <w:tcPr>
            <w:tcW w:w="2131" w:type="dxa"/>
            <w:shd w:val="clear" w:color="auto" w:fill="auto"/>
          </w:tcPr>
          <w:p w14:paraId="11214172" w14:textId="77777777" w:rsidR="002221BB" w:rsidRPr="002E00EE" w:rsidRDefault="002221BB" w:rsidP="00AF29E1">
            <w:pPr>
              <w:spacing w:before="40" w:after="120"/>
              <w:ind w:right="113"/>
              <w:rPr>
                <w:sz w:val="18"/>
                <w:szCs w:val="18"/>
              </w:rPr>
            </w:pPr>
            <w:r w:rsidRPr="002E00EE">
              <w:rPr>
                <w:sz w:val="18"/>
                <w:szCs w:val="18"/>
                <w:u w:val="single"/>
              </w:rPr>
              <w:t>Sensitisation - respiratory</w:t>
            </w:r>
          </w:p>
        </w:tc>
        <w:tc>
          <w:tcPr>
            <w:tcW w:w="4975" w:type="dxa"/>
            <w:shd w:val="clear" w:color="auto" w:fill="auto"/>
          </w:tcPr>
          <w:p w14:paraId="43D85F39" w14:textId="77777777" w:rsidR="002221BB" w:rsidRPr="002E00EE" w:rsidRDefault="002221BB" w:rsidP="00AF29E1">
            <w:pPr>
              <w:spacing w:before="40" w:after="120"/>
              <w:ind w:right="113"/>
              <w:rPr>
                <w:sz w:val="18"/>
                <w:szCs w:val="18"/>
              </w:rPr>
            </w:pPr>
            <w:r w:rsidRPr="002E00EE">
              <w:rPr>
                <w:sz w:val="18"/>
                <w:szCs w:val="18"/>
              </w:rPr>
              <w:t>The PS for “Sensitisation – respiratory” does not include any reference to specific immediate treatment to alleviate symptoms, although these might be available.</w:t>
            </w:r>
          </w:p>
        </w:tc>
        <w:tc>
          <w:tcPr>
            <w:tcW w:w="4639" w:type="dxa"/>
            <w:shd w:val="clear" w:color="auto" w:fill="auto"/>
          </w:tcPr>
          <w:p w14:paraId="5EC9D902" w14:textId="77777777" w:rsidR="002221BB" w:rsidRPr="002E00EE" w:rsidRDefault="002221BB" w:rsidP="00AF29E1">
            <w:pPr>
              <w:pStyle w:val="Bullet1G"/>
              <w:tabs>
                <w:tab w:val="clear" w:pos="1701"/>
              </w:tabs>
              <w:ind w:left="190" w:right="111" w:hanging="141"/>
              <w:rPr>
                <w:sz w:val="18"/>
                <w:szCs w:val="18"/>
              </w:rPr>
            </w:pPr>
            <w:r w:rsidRPr="002E00EE">
              <w:rPr>
                <w:sz w:val="18"/>
                <w:szCs w:val="18"/>
              </w:rPr>
              <w:t>Consider applying an extra PS for “Sensitisation – respiration”, perhaps using P271, “Specific treatment (see … on this label)”.</w:t>
            </w:r>
          </w:p>
        </w:tc>
      </w:tr>
      <w:tr w:rsidR="00791DD9" w:rsidRPr="002E00EE" w14:paraId="620C0357" w14:textId="77777777" w:rsidTr="00AF29E1">
        <w:tc>
          <w:tcPr>
            <w:tcW w:w="459" w:type="dxa"/>
            <w:shd w:val="clear" w:color="auto" w:fill="auto"/>
          </w:tcPr>
          <w:p w14:paraId="13F1E977" w14:textId="1F889283" w:rsidR="00791DD9" w:rsidRDefault="0004602F" w:rsidP="00AF29E1">
            <w:pPr>
              <w:spacing w:before="40" w:after="120"/>
              <w:ind w:right="113"/>
              <w:rPr>
                <w:sz w:val="18"/>
                <w:szCs w:val="18"/>
              </w:rPr>
            </w:pPr>
            <w:r>
              <w:rPr>
                <w:sz w:val="18"/>
                <w:szCs w:val="18"/>
              </w:rPr>
              <w:t>4</w:t>
            </w:r>
          </w:p>
        </w:tc>
        <w:tc>
          <w:tcPr>
            <w:tcW w:w="2131" w:type="dxa"/>
            <w:shd w:val="clear" w:color="auto" w:fill="auto"/>
          </w:tcPr>
          <w:p w14:paraId="42964396" w14:textId="082BFB30" w:rsidR="00791DD9" w:rsidRPr="007E4A8E" w:rsidRDefault="00EC3F47" w:rsidP="00AF29E1">
            <w:pPr>
              <w:spacing w:before="40" w:after="120"/>
              <w:ind w:right="113"/>
              <w:rPr>
                <w:sz w:val="18"/>
                <w:szCs w:val="18"/>
                <w:u w:val="single"/>
              </w:rPr>
            </w:pPr>
            <w:r w:rsidRPr="007E4A8E">
              <w:rPr>
                <w:sz w:val="18"/>
                <w:szCs w:val="18"/>
                <w:u w:val="single"/>
              </w:rPr>
              <w:t>Review of the use of</w:t>
            </w:r>
            <w:r w:rsidR="00E36F91" w:rsidRPr="007E4A8E">
              <w:rPr>
                <w:sz w:val="18"/>
                <w:szCs w:val="18"/>
                <w:u w:val="single"/>
              </w:rPr>
              <w:t xml:space="preserve"> slash</w:t>
            </w:r>
            <w:r w:rsidR="00367718">
              <w:rPr>
                <w:sz w:val="18"/>
                <w:szCs w:val="18"/>
                <w:u w:val="single"/>
              </w:rPr>
              <w:t>es</w:t>
            </w:r>
            <w:r w:rsidR="00E36F91" w:rsidRPr="007E4A8E">
              <w:rPr>
                <w:sz w:val="18"/>
                <w:szCs w:val="18"/>
                <w:u w:val="single"/>
              </w:rPr>
              <w:t xml:space="preserve"> </w:t>
            </w:r>
            <w:r w:rsidR="003F0566">
              <w:rPr>
                <w:sz w:val="18"/>
                <w:szCs w:val="18"/>
                <w:u w:val="single"/>
              </w:rPr>
              <w:t>and</w:t>
            </w:r>
            <w:r w:rsidR="00E36F91" w:rsidRPr="007E4A8E">
              <w:rPr>
                <w:sz w:val="18"/>
                <w:szCs w:val="18"/>
                <w:u w:val="single"/>
              </w:rPr>
              <w:t xml:space="preserve"> dots in PSs</w:t>
            </w:r>
            <w:r w:rsidRPr="007E4A8E">
              <w:rPr>
                <w:sz w:val="18"/>
                <w:szCs w:val="18"/>
                <w:u w:val="single"/>
              </w:rPr>
              <w:t xml:space="preserve"> </w:t>
            </w:r>
          </w:p>
        </w:tc>
        <w:tc>
          <w:tcPr>
            <w:tcW w:w="4975" w:type="dxa"/>
            <w:shd w:val="clear" w:color="auto" w:fill="auto"/>
          </w:tcPr>
          <w:p w14:paraId="19ABA4AA" w14:textId="0A80D8B5" w:rsidR="00791DD9" w:rsidRPr="002E00EE" w:rsidRDefault="006D5C98" w:rsidP="00866D1D">
            <w:pPr>
              <w:spacing w:before="40" w:after="120"/>
              <w:ind w:right="113"/>
              <w:rPr>
                <w:sz w:val="18"/>
                <w:szCs w:val="18"/>
              </w:rPr>
            </w:pPr>
            <w:r w:rsidRPr="00AB2219">
              <w:rPr>
                <w:sz w:val="18"/>
                <w:szCs w:val="18"/>
              </w:rPr>
              <w:t>Many PSs</w:t>
            </w:r>
            <w:r w:rsidR="00866D1D">
              <w:rPr>
                <w:sz w:val="18"/>
                <w:szCs w:val="18"/>
              </w:rPr>
              <w:t>,</w:t>
            </w:r>
            <w:r w:rsidR="00556DC5" w:rsidRPr="00AB2219">
              <w:rPr>
                <w:sz w:val="18"/>
                <w:szCs w:val="18"/>
              </w:rPr>
              <w:t xml:space="preserve"> </w:t>
            </w:r>
            <w:r w:rsidR="00B416FD">
              <w:rPr>
                <w:sz w:val="18"/>
                <w:szCs w:val="18"/>
              </w:rPr>
              <w:t>such as P280</w:t>
            </w:r>
            <w:r w:rsidR="00866D1D">
              <w:rPr>
                <w:sz w:val="18"/>
                <w:szCs w:val="18"/>
              </w:rPr>
              <w:t>,</w:t>
            </w:r>
            <w:r w:rsidR="00B416FD">
              <w:rPr>
                <w:sz w:val="18"/>
                <w:szCs w:val="18"/>
              </w:rPr>
              <w:t xml:space="preserve"> </w:t>
            </w:r>
            <w:r w:rsidR="00556DC5" w:rsidRPr="00AB2219">
              <w:rPr>
                <w:sz w:val="18"/>
                <w:szCs w:val="18"/>
              </w:rPr>
              <w:t xml:space="preserve">use slashes and dots </w:t>
            </w:r>
            <w:r w:rsidR="00AB2219" w:rsidRPr="00AB2219">
              <w:rPr>
                <w:sz w:val="18"/>
                <w:szCs w:val="18"/>
              </w:rPr>
              <w:t>to indicate</w:t>
            </w:r>
            <w:r w:rsidR="00556DC5" w:rsidRPr="00AB2219">
              <w:rPr>
                <w:sz w:val="18"/>
                <w:szCs w:val="18"/>
              </w:rPr>
              <w:t xml:space="preserve"> </w:t>
            </w:r>
            <w:r w:rsidR="00AB2219" w:rsidRPr="00AB2219">
              <w:rPr>
                <w:sz w:val="18"/>
                <w:szCs w:val="18"/>
              </w:rPr>
              <w:t>that a</w:t>
            </w:r>
            <w:r w:rsidR="00AB2219">
              <w:rPr>
                <w:sz w:val="18"/>
                <w:szCs w:val="18"/>
                <w:u w:val="single"/>
              </w:rPr>
              <w:t xml:space="preserve"> </w:t>
            </w:r>
            <w:r w:rsidR="00AB2219" w:rsidRPr="002E00EE">
              <w:rPr>
                <w:sz w:val="18"/>
                <w:szCs w:val="18"/>
              </w:rPr>
              <w:t>manufacturers/supplier</w:t>
            </w:r>
            <w:r w:rsidR="00AB2219">
              <w:rPr>
                <w:sz w:val="18"/>
                <w:szCs w:val="18"/>
              </w:rPr>
              <w:t xml:space="preserve"> </w:t>
            </w:r>
            <w:r w:rsidR="00F279DB">
              <w:rPr>
                <w:sz w:val="18"/>
                <w:szCs w:val="18"/>
              </w:rPr>
              <w:t>should</w:t>
            </w:r>
            <w:r w:rsidR="004F2F07">
              <w:rPr>
                <w:sz w:val="18"/>
                <w:szCs w:val="18"/>
              </w:rPr>
              <w:t xml:space="preserve"> choose the </w:t>
            </w:r>
            <w:r w:rsidR="00594C7F">
              <w:rPr>
                <w:sz w:val="18"/>
                <w:szCs w:val="18"/>
              </w:rPr>
              <w:t xml:space="preserve">most </w:t>
            </w:r>
            <w:r w:rsidR="004F2F07">
              <w:rPr>
                <w:sz w:val="18"/>
                <w:szCs w:val="18"/>
              </w:rPr>
              <w:t>relevant</w:t>
            </w:r>
            <w:r w:rsidR="00E921C9">
              <w:rPr>
                <w:sz w:val="18"/>
                <w:szCs w:val="18"/>
              </w:rPr>
              <w:t xml:space="preserve"> </w:t>
            </w:r>
            <w:r w:rsidR="00FB7CB9">
              <w:rPr>
                <w:sz w:val="18"/>
                <w:szCs w:val="18"/>
              </w:rPr>
              <w:t>statement</w:t>
            </w:r>
            <w:r w:rsidR="00F074A4">
              <w:rPr>
                <w:sz w:val="18"/>
                <w:szCs w:val="18"/>
              </w:rPr>
              <w:t>(s)</w:t>
            </w:r>
            <w:r w:rsidR="00C020E0">
              <w:rPr>
                <w:sz w:val="18"/>
                <w:szCs w:val="18"/>
              </w:rPr>
              <w:t xml:space="preserve"> </w:t>
            </w:r>
            <w:r w:rsidR="00D2256D">
              <w:rPr>
                <w:sz w:val="18"/>
                <w:szCs w:val="18"/>
              </w:rPr>
              <w:t xml:space="preserve">from those provided </w:t>
            </w:r>
            <w:r w:rsidR="00E774D0">
              <w:rPr>
                <w:sz w:val="18"/>
                <w:szCs w:val="18"/>
              </w:rPr>
              <w:t xml:space="preserve">in </w:t>
            </w:r>
            <w:r w:rsidR="00243D53">
              <w:rPr>
                <w:sz w:val="18"/>
                <w:szCs w:val="18"/>
              </w:rPr>
              <w:t xml:space="preserve">a specific PS </w:t>
            </w:r>
            <w:r w:rsidR="003350D4">
              <w:rPr>
                <w:sz w:val="18"/>
                <w:szCs w:val="18"/>
              </w:rPr>
              <w:t>for the</w:t>
            </w:r>
            <w:r w:rsidR="00E25B72">
              <w:rPr>
                <w:sz w:val="18"/>
                <w:szCs w:val="18"/>
              </w:rPr>
              <w:t xml:space="preserve"> </w:t>
            </w:r>
            <w:r w:rsidR="007A260A">
              <w:rPr>
                <w:sz w:val="18"/>
                <w:szCs w:val="18"/>
              </w:rPr>
              <w:t>listed</w:t>
            </w:r>
            <w:r w:rsidR="00E25B72">
              <w:rPr>
                <w:sz w:val="18"/>
                <w:szCs w:val="18"/>
              </w:rPr>
              <w:t xml:space="preserve"> </w:t>
            </w:r>
            <w:r w:rsidR="00C020E0">
              <w:rPr>
                <w:sz w:val="18"/>
                <w:szCs w:val="18"/>
              </w:rPr>
              <w:t>hazard class or categor</w:t>
            </w:r>
            <w:r w:rsidR="00CF5A6F">
              <w:rPr>
                <w:sz w:val="18"/>
                <w:szCs w:val="18"/>
              </w:rPr>
              <w:t>ies</w:t>
            </w:r>
            <w:r w:rsidR="00594C7F">
              <w:rPr>
                <w:sz w:val="18"/>
                <w:szCs w:val="18"/>
              </w:rPr>
              <w:t>, though frequently</w:t>
            </w:r>
            <w:r w:rsidR="001B3EBD">
              <w:rPr>
                <w:sz w:val="18"/>
                <w:szCs w:val="18"/>
              </w:rPr>
              <w:t xml:space="preserve"> the choice is not made and</w:t>
            </w:r>
            <w:r w:rsidR="00594C7F">
              <w:rPr>
                <w:sz w:val="18"/>
                <w:szCs w:val="18"/>
              </w:rPr>
              <w:t xml:space="preserve"> all </w:t>
            </w:r>
            <w:r w:rsidR="00183B7D">
              <w:rPr>
                <w:sz w:val="18"/>
                <w:szCs w:val="18"/>
              </w:rPr>
              <w:t xml:space="preserve">the </w:t>
            </w:r>
            <w:r w:rsidR="00364C69">
              <w:rPr>
                <w:sz w:val="18"/>
                <w:szCs w:val="18"/>
              </w:rPr>
              <w:t xml:space="preserve">statements </w:t>
            </w:r>
            <w:r w:rsidR="00183B7D">
              <w:rPr>
                <w:sz w:val="18"/>
                <w:szCs w:val="18"/>
              </w:rPr>
              <w:t xml:space="preserve">provided </w:t>
            </w:r>
            <w:r w:rsidR="00554700">
              <w:rPr>
                <w:sz w:val="18"/>
                <w:szCs w:val="18"/>
              </w:rPr>
              <w:t>within the PS</w:t>
            </w:r>
            <w:r w:rsidR="003B3BEF">
              <w:rPr>
                <w:sz w:val="18"/>
                <w:szCs w:val="18"/>
              </w:rPr>
              <w:t>,</w:t>
            </w:r>
            <w:r w:rsidR="00554700">
              <w:rPr>
                <w:sz w:val="18"/>
                <w:szCs w:val="18"/>
              </w:rPr>
              <w:t xml:space="preserve"> </w:t>
            </w:r>
            <w:r w:rsidR="00364C69">
              <w:rPr>
                <w:sz w:val="18"/>
                <w:szCs w:val="18"/>
              </w:rPr>
              <w:t xml:space="preserve">including the slashes </w:t>
            </w:r>
            <w:r w:rsidR="00DD4A90">
              <w:rPr>
                <w:sz w:val="18"/>
                <w:szCs w:val="18"/>
              </w:rPr>
              <w:t>and the dots</w:t>
            </w:r>
            <w:r w:rsidR="003B3BEF">
              <w:rPr>
                <w:sz w:val="18"/>
                <w:szCs w:val="18"/>
              </w:rPr>
              <w:t>,</w:t>
            </w:r>
            <w:r w:rsidR="00DD4A90">
              <w:rPr>
                <w:sz w:val="18"/>
                <w:szCs w:val="18"/>
              </w:rPr>
              <w:t xml:space="preserve"> appear on labels creating </w:t>
            </w:r>
            <w:r w:rsidR="00F24845">
              <w:rPr>
                <w:sz w:val="18"/>
                <w:szCs w:val="18"/>
              </w:rPr>
              <w:t xml:space="preserve">potential </w:t>
            </w:r>
            <w:r w:rsidR="00DD4A90">
              <w:rPr>
                <w:sz w:val="18"/>
                <w:szCs w:val="18"/>
              </w:rPr>
              <w:t>confusion</w:t>
            </w:r>
            <w:r w:rsidR="008F2FF0">
              <w:rPr>
                <w:sz w:val="18"/>
                <w:szCs w:val="18"/>
              </w:rPr>
              <w:t xml:space="preserve"> </w:t>
            </w:r>
            <w:r w:rsidR="00E24C7C">
              <w:rPr>
                <w:sz w:val="18"/>
                <w:szCs w:val="18"/>
              </w:rPr>
              <w:t xml:space="preserve">and clutter </w:t>
            </w:r>
            <w:r w:rsidR="005C4BC4">
              <w:rPr>
                <w:sz w:val="18"/>
                <w:szCs w:val="18"/>
              </w:rPr>
              <w:t>through the use of</w:t>
            </w:r>
            <w:r w:rsidR="00C91D73">
              <w:rPr>
                <w:sz w:val="18"/>
                <w:szCs w:val="18"/>
              </w:rPr>
              <w:t xml:space="preserve"> irrelevant</w:t>
            </w:r>
            <w:r w:rsidR="00755AE1">
              <w:rPr>
                <w:sz w:val="18"/>
                <w:szCs w:val="18"/>
              </w:rPr>
              <w:t xml:space="preserve"> text</w:t>
            </w:r>
            <w:r w:rsidR="005C4BC4">
              <w:rPr>
                <w:sz w:val="18"/>
                <w:szCs w:val="18"/>
              </w:rPr>
              <w:t>.</w:t>
            </w:r>
            <w:r w:rsidR="00A93BE8">
              <w:rPr>
                <w:sz w:val="18"/>
                <w:szCs w:val="18"/>
              </w:rPr>
              <w:t xml:space="preserve"> </w:t>
            </w:r>
          </w:p>
        </w:tc>
        <w:tc>
          <w:tcPr>
            <w:tcW w:w="4639" w:type="dxa"/>
            <w:shd w:val="clear" w:color="auto" w:fill="auto"/>
          </w:tcPr>
          <w:p w14:paraId="2D444807" w14:textId="5E48287D" w:rsidR="00B7515B" w:rsidRPr="006A1D2A" w:rsidRDefault="00E66140" w:rsidP="006A1D2A">
            <w:pPr>
              <w:pStyle w:val="Bullet1G"/>
              <w:tabs>
                <w:tab w:val="clear" w:pos="1701"/>
              </w:tabs>
              <w:ind w:left="235" w:right="0"/>
              <w:rPr>
                <w:sz w:val="18"/>
                <w:szCs w:val="18"/>
              </w:rPr>
            </w:pPr>
            <w:r w:rsidRPr="006A1D2A">
              <w:rPr>
                <w:sz w:val="18"/>
                <w:szCs w:val="18"/>
              </w:rPr>
              <w:t xml:space="preserve">Consider how PSs </w:t>
            </w:r>
            <w:r w:rsidR="0005397B" w:rsidRPr="006A1D2A">
              <w:rPr>
                <w:sz w:val="18"/>
                <w:szCs w:val="18"/>
              </w:rPr>
              <w:t>that</w:t>
            </w:r>
            <w:r w:rsidR="00C75B50" w:rsidRPr="006A1D2A">
              <w:rPr>
                <w:sz w:val="18"/>
                <w:szCs w:val="18"/>
              </w:rPr>
              <w:t xml:space="preserve"> contain</w:t>
            </w:r>
            <w:r w:rsidR="0005397B" w:rsidRPr="006A1D2A">
              <w:rPr>
                <w:sz w:val="18"/>
                <w:szCs w:val="18"/>
              </w:rPr>
              <w:t xml:space="preserve"> slashes and dots </w:t>
            </w:r>
            <w:r w:rsidR="000273C8" w:rsidRPr="006A1D2A">
              <w:rPr>
                <w:sz w:val="18"/>
                <w:szCs w:val="18"/>
              </w:rPr>
              <w:t>could be revised</w:t>
            </w:r>
            <w:r w:rsidR="00971449" w:rsidRPr="006A1D2A">
              <w:rPr>
                <w:sz w:val="18"/>
                <w:szCs w:val="18"/>
              </w:rPr>
              <w:t xml:space="preserve"> </w:t>
            </w:r>
            <w:r w:rsidRPr="006A1D2A">
              <w:rPr>
                <w:sz w:val="18"/>
                <w:szCs w:val="18"/>
              </w:rPr>
              <w:t xml:space="preserve">to </w:t>
            </w:r>
            <w:r w:rsidR="005B7334" w:rsidRPr="006A1D2A">
              <w:rPr>
                <w:sz w:val="18"/>
                <w:szCs w:val="18"/>
              </w:rPr>
              <w:t xml:space="preserve">help </w:t>
            </w:r>
            <w:r w:rsidRPr="006A1D2A">
              <w:rPr>
                <w:sz w:val="18"/>
                <w:szCs w:val="18"/>
              </w:rPr>
              <w:t xml:space="preserve">reduce </w:t>
            </w:r>
            <w:r w:rsidR="00A84506" w:rsidRPr="006A1D2A">
              <w:rPr>
                <w:sz w:val="18"/>
                <w:szCs w:val="18"/>
              </w:rPr>
              <w:t xml:space="preserve">irrelevant text </w:t>
            </w:r>
            <w:r w:rsidR="00C75B50" w:rsidRPr="006A1D2A">
              <w:rPr>
                <w:sz w:val="18"/>
                <w:szCs w:val="18"/>
              </w:rPr>
              <w:t>appearin</w:t>
            </w:r>
            <w:r w:rsidR="005B7334" w:rsidRPr="006A1D2A">
              <w:rPr>
                <w:sz w:val="18"/>
                <w:szCs w:val="18"/>
              </w:rPr>
              <w:t xml:space="preserve">g </w:t>
            </w:r>
            <w:r w:rsidR="004408C6" w:rsidRPr="006A1D2A">
              <w:rPr>
                <w:sz w:val="18"/>
                <w:szCs w:val="18"/>
              </w:rPr>
              <w:t>on labels</w:t>
            </w:r>
            <w:r w:rsidR="00B1699D">
              <w:rPr>
                <w:sz w:val="18"/>
                <w:szCs w:val="18"/>
              </w:rPr>
              <w:t xml:space="preserve"> and confusion</w:t>
            </w:r>
            <w:r w:rsidR="002422D9">
              <w:rPr>
                <w:sz w:val="18"/>
                <w:szCs w:val="18"/>
              </w:rPr>
              <w:t xml:space="preserve"> of those PSs</w:t>
            </w:r>
            <w:r w:rsidR="00E77E40" w:rsidRPr="006A1D2A">
              <w:rPr>
                <w:sz w:val="18"/>
                <w:szCs w:val="18"/>
              </w:rPr>
              <w:t>;</w:t>
            </w:r>
          </w:p>
          <w:p w14:paraId="68D8D90F" w14:textId="25D55999" w:rsidR="00791DD9" w:rsidRPr="002E00EE" w:rsidRDefault="00791DD9" w:rsidP="00A93BE8">
            <w:pPr>
              <w:pStyle w:val="Bullet1G"/>
              <w:numPr>
                <w:ilvl w:val="0"/>
                <w:numId w:val="0"/>
              </w:numPr>
              <w:ind w:left="235" w:right="0"/>
            </w:pPr>
          </w:p>
        </w:tc>
      </w:tr>
      <w:tr w:rsidR="00727A3C" w:rsidRPr="002E00EE" w14:paraId="515E74A7" w14:textId="77777777" w:rsidTr="00AF29E1">
        <w:tc>
          <w:tcPr>
            <w:tcW w:w="459" w:type="dxa"/>
            <w:shd w:val="clear" w:color="auto" w:fill="auto"/>
          </w:tcPr>
          <w:p w14:paraId="495E27CD" w14:textId="750F0D41" w:rsidR="00727A3C" w:rsidRDefault="001371EC" w:rsidP="00AF29E1">
            <w:pPr>
              <w:spacing w:before="40" w:after="120"/>
              <w:ind w:right="113"/>
              <w:rPr>
                <w:sz w:val="18"/>
                <w:szCs w:val="18"/>
              </w:rPr>
            </w:pPr>
            <w:r>
              <w:rPr>
                <w:sz w:val="18"/>
                <w:szCs w:val="18"/>
              </w:rPr>
              <w:t>5</w:t>
            </w:r>
          </w:p>
        </w:tc>
        <w:tc>
          <w:tcPr>
            <w:tcW w:w="2131" w:type="dxa"/>
            <w:shd w:val="clear" w:color="auto" w:fill="auto"/>
          </w:tcPr>
          <w:p w14:paraId="37CBC1A6" w14:textId="275C1F23" w:rsidR="00B23DE0" w:rsidRPr="008E6FDC" w:rsidRDefault="001106FD" w:rsidP="00AF29E1">
            <w:pPr>
              <w:spacing w:before="40" w:after="120"/>
              <w:ind w:right="113"/>
              <w:rPr>
                <w:bCs/>
                <w:sz w:val="18"/>
                <w:szCs w:val="18"/>
                <w:u w:val="single"/>
              </w:rPr>
            </w:pPr>
            <w:r w:rsidRPr="008E6FDC">
              <w:rPr>
                <w:bCs/>
                <w:sz w:val="18"/>
                <w:szCs w:val="18"/>
                <w:u w:val="single"/>
              </w:rPr>
              <w:t xml:space="preserve">Corrections &amp; amendments to </w:t>
            </w:r>
            <w:r w:rsidR="009204B6" w:rsidRPr="008E6FDC">
              <w:rPr>
                <w:bCs/>
                <w:sz w:val="18"/>
                <w:szCs w:val="18"/>
                <w:u w:val="single"/>
              </w:rPr>
              <w:t>PSs</w:t>
            </w:r>
            <w:r w:rsidR="0027364F" w:rsidRPr="008E6FDC">
              <w:rPr>
                <w:bCs/>
                <w:sz w:val="18"/>
                <w:szCs w:val="18"/>
                <w:u w:val="single"/>
              </w:rPr>
              <w:t xml:space="preserve"> </w:t>
            </w:r>
            <w:r w:rsidR="009204B6" w:rsidRPr="008E6FDC">
              <w:rPr>
                <w:bCs/>
                <w:sz w:val="18"/>
                <w:szCs w:val="18"/>
                <w:u w:val="single"/>
              </w:rPr>
              <w:t xml:space="preserve">in </w:t>
            </w:r>
            <w:r w:rsidRPr="008E6FDC">
              <w:rPr>
                <w:bCs/>
                <w:sz w:val="18"/>
                <w:szCs w:val="18"/>
                <w:u w:val="single"/>
              </w:rPr>
              <w:t>Annex 3</w:t>
            </w:r>
          </w:p>
          <w:p w14:paraId="3C29BFB6" w14:textId="272A159E" w:rsidR="00727A3C" w:rsidRDefault="00727A3C" w:rsidP="00AF29E1">
            <w:pPr>
              <w:spacing w:before="40" w:after="120"/>
              <w:ind w:right="113"/>
              <w:rPr>
                <w:sz w:val="18"/>
                <w:szCs w:val="18"/>
                <w:u w:val="single"/>
              </w:rPr>
            </w:pPr>
          </w:p>
        </w:tc>
        <w:tc>
          <w:tcPr>
            <w:tcW w:w="4975" w:type="dxa"/>
            <w:shd w:val="clear" w:color="auto" w:fill="auto"/>
          </w:tcPr>
          <w:p w14:paraId="18F4BAE1" w14:textId="3197BAE3" w:rsidR="00727A3C" w:rsidRDefault="004C1E96" w:rsidP="00AF29E1">
            <w:pPr>
              <w:spacing w:before="40" w:after="120"/>
              <w:ind w:right="113"/>
              <w:rPr>
                <w:sz w:val="18"/>
                <w:szCs w:val="18"/>
              </w:rPr>
            </w:pPr>
            <w:r>
              <w:rPr>
                <w:sz w:val="18"/>
                <w:szCs w:val="18"/>
              </w:rPr>
              <w:t>The</w:t>
            </w:r>
            <w:r w:rsidR="00822A9E">
              <w:rPr>
                <w:sz w:val="18"/>
                <w:szCs w:val="18"/>
              </w:rPr>
              <w:t xml:space="preserve"> application of </w:t>
            </w:r>
            <w:proofErr w:type="gramStart"/>
            <w:r w:rsidR="00822A9E">
              <w:rPr>
                <w:sz w:val="18"/>
                <w:szCs w:val="18"/>
              </w:rPr>
              <w:t>a number of</w:t>
            </w:r>
            <w:proofErr w:type="gramEnd"/>
            <w:r w:rsidR="00822A9E">
              <w:rPr>
                <w:sz w:val="18"/>
                <w:szCs w:val="18"/>
              </w:rPr>
              <w:t xml:space="preserve"> PSs in relation to acute toxicity dermal hazard categories </w:t>
            </w:r>
            <w:r w:rsidR="00155057">
              <w:rPr>
                <w:sz w:val="18"/>
                <w:szCs w:val="18"/>
              </w:rPr>
              <w:t>3-5</w:t>
            </w:r>
            <w:r w:rsidR="00E92005">
              <w:rPr>
                <w:sz w:val="18"/>
                <w:szCs w:val="18"/>
              </w:rPr>
              <w:t xml:space="preserve"> are</w:t>
            </w:r>
            <w:r w:rsidR="003E0C0E">
              <w:rPr>
                <w:sz w:val="18"/>
                <w:szCs w:val="18"/>
              </w:rPr>
              <w:t xml:space="preserve"> inconsistent and requires </w:t>
            </w:r>
            <w:r w:rsidR="001D073A">
              <w:rPr>
                <w:sz w:val="18"/>
                <w:szCs w:val="18"/>
              </w:rPr>
              <w:t>review</w:t>
            </w:r>
            <w:r w:rsidR="000C1B22">
              <w:rPr>
                <w:sz w:val="18"/>
                <w:szCs w:val="18"/>
              </w:rPr>
              <w:t>.</w:t>
            </w:r>
          </w:p>
          <w:p w14:paraId="28AC7399" w14:textId="547DB17E" w:rsidR="005D3276" w:rsidRPr="002E00EE" w:rsidRDefault="00261B90" w:rsidP="00AF29E1">
            <w:pPr>
              <w:spacing w:before="40" w:after="120"/>
              <w:ind w:right="113"/>
              <w:rPr>
                <w:sz w:val="18"/>
                <w:szCs w:val="18"/>
              </w:rPr>
            </w:pPr>
            <w:r>
              <w:rPr>
                <w:sz w:val="18"/>
                <w:szCs w:val="18"/>
              </w:rPr>
              <w:t xml:space="preserve">Improvements to </w:t>
            </w:r>
            <w:r w:rsidR="002C6F23">
              <w:rPr>
                <w:sz w:val="18"/>
                <w:szCs w:val="18"/>
              </w:rPr>
              <w:t>P354</w:t>
            </w:r>
            <w:r w:rsidR="00B15BEE">
              <w:rPr>
                <w:sz w:val="18"/>
                <w:szCs w:val="18"/>
              </w:rPr>
              <w:t xml:space="preserve"> are necessary to</w:t>
            </w:r>
            <w:r w:rsidR="003C6ECA">
              <w:rPr>
                <w:sz w:val="18"/>
                <w:szCs w:val="18"/>
              </w:rPr>
              <w:t xml:space="preserve"> </w:t>
            </w:r>
            <w:r w:rsidR="00C40ACB">
              <w:rPr>
                <w:sz w:val="18"/>
                <w:szCs w:val="18"/>
              </w:rPr>
              <w:t xml:space="preserve">provide clarity </w:t>
            </w:r>
            <w:r w:rsidR="00BB7926">
              <w:rPr>
                <w:sz w:val="18"/>
                <w:szCs w:val="18"/>
              </w:rPr>
              <w:t xml:space="preserve">of the response required </w:t>
            </w:r>
            <w:r w:rsidR="00C40ACB">
              <w:rPr>
                <w:sz w:val="18"/>
                <w:szCs w:val="18"/>
              </w:rPr>
              <w:t xml:space="preserve">for the </w:t>
            </w:r>
            <w:r w:rsidR="00BB7926">
              <w:rPr>
                <w:sz w:val="18"/>
                <w:szCs w:val="18"/>
              </w:rPr>
              <w:t xml:space="preserve">listed hazard classes under </w:t>
            </w:r>
            <w:r w:rsidR="001371EC">
              <w:rPr>
                <w:sz w:val="18"/>
                <w:szCs w:val="18"/>
              </w:rPr>
              <w:t xml:space="preserve">this </w:t>
            </w:r>
            <w:r w:rsidR="00BB7926">
              <w:rPr>
                <w:sz w:val="18"/>
                <w:szCs w:val="18"/>
              </w:rPr>
              <w:t>PS</w:t>
            </w:r>
            <w:r w:rsidR="001371EC">
              <w:rPr>
                <w:sz w:val="18"/>
                <w:szCs w:val="18"/>
              </w:rPr>
              <w:t>.</w:t>
            </w:r>
          </w:p>
        </w:tc>
        <w:tc>
          <w:tcPr>
            <w:tcW w:w="4639" w:type="dxa"/>
            <w:shd w:val="clear" w:color="auto" w:fill="auto"/>
          </w:tcPr>
          <w:p w14:paraId="64B95357" w14:textId="77777777" w:rsidR="00ED02CF" w:rsidRDefault="0097008E" w:rsidP="00AF29E1">
            <w:pPr>
              <w:pStyle w:val="Bullet1G"/>
              <w:tabs>
                <w:tab w:val="clear" w:pos="1701"/>
              </w:tabs>
              <w:ind w:left="190" w:right="111" w:hanging="141"/>
              <w:rPr>
                <w:sz w:val="18"/>
                <w:szCs w:val="18"/>
              </w:rPr>
            </w:pPr>
            <w:r>
              <w:rPr>
                <w:sz w:val="18"/>
                <w:szCs w:val="18"/>
              </w:rPr>
              <w:t xml:space="preserve">Consider </w:t>
            </w:r>
            <w:r w:rsidR="0009761C">
              <w:rPr>
                <w:sz w:val="18"/>
                <w:szCs w:val="18"/>
              </w:rPr>
              <w:t xml:space="preserve">whether amendments </w:t>
            </w:r>
            <w:r w:rsidR="003B7F12">
              <w:rPr>
                <w:sz w:val="18"/>
                <w:szCs w:val="18"/>
              </w:rPr>
              <w:t xml:space="preserve">are necessary to ensure the correct application of various PSs </w:t>
            </w:r>
            <w:r w:rsidR="00726FDB">
              <w:rPr>
                <w:sz w:val="18"/>
                <w:szCs w:val="18"/>
              </w:rPr>
              <w:t>to acute toxicity dermal hazard categories 3-5</w:t>
            </w:r>
            <w:r w:rsidR="00ED02CF">
              <w:rPr>
                <w:sz w:val="18"/>
                <w:szCs w:val="18"/>
              </w:rPr>
              <w:t>.</w:t>
            </w:r>
          </w:p>
          <w:p w14:paraId="7ADB7D2F" w14:textId="3E75CF90" w:rsidR="00727A3C" w:rsidRPr="002E00EE" w:rsidRDefault="00806EE5" w:rsidP="00AF29E1">
            <w:pPr>
              <w:pStyle w:val="Bullet1G"/>
              <w:tabs>
                <w:tab w:val="clear" w:pos="1701"/>
              </w:tabs>
              <w:ind w:left="190" w:right="111" w:hanging="141"/>
              <w:rPr>
                <w:sz w:val="18"/>
                <w:szCs w:val="18"/>
              </w:rPr>
            </w:pPr>
            <w:r>
              <w:rPr>
                <w:sz w:val="18"/>
                <w:szCs w:val="18"/>
              </w:rPr>
              <w:t xml:space="preserve">Consider </w:t>
            </w:r>
            <w:r w:rsidR="00DF4D02">
              <w:rPr>
                <w:sz w:val="18"/>
                <w:szCs w:val="18"/>
              </w:rPr>
              <w:t xml:space="preserve">what improvements could be made to </w:t>
            </w:r>
            <w:r w:rsidR="00C759C1">
              <w:rPr>
                <w:sz w:val="18"/>
                <w:szCs w:val="18"/>
              </w:rPr>
              <w:t>P354 ‘Immediately rinse with water for several minutes’ to provide clarity for the listed hazard classes</w:t>
            </w:r>
            <w:r w:rsidR="00FC0B03">
              <w:rPr>
                <w:sz w:val="18"/>
                <w:szCs w:val="18"/>
              </w:rPr>
              <w:t>.</w:t>
            </w:r>
          </w:p>
        </w:tc>
      </w:tr>
    </w:tbl>
    <w:p w14:paraId="1BA8792F" w14:textId="64316D3C" w:rsidR="002221BB" w:rsidRPr="00281678" w:rsidRDefault="00281678" w:rsidP="00281678">
      <w:pPr>
        <w:spacing w:before="240"/>
        <w:jc w:val="center"/>
        <w:rPr>
          <w:u w:val="single"/>
        </w:rPr>
      </w:pPr>
      <w:r>
        <w:rPr>
          <w:u w:val="single"/>
        </w:rPr>
        <w:tab/>
      </w:r>
      <w:r>
        <w:rPr>
          <w:u w:val="single"/>
        </w:rPr>
        <w:tab/>
      </w:r>
      <w:r>
        <w:rPr>
          <w:u w:val="single"/>
        </w:rPr>
        <w:tab/>
      </w:r>
    </w:p>
    <w:sectPr w:rsidR="002221BB" w:rsidRPr="00281678" w:rsidSect="002221BB">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D4ECF" w14:textId="77777777" w:rsidR="00213260" w:rsidRDefault="00213260"/>
  </w:endnote>
  <w:endnote w:type="continuationSeparator" w:id="0">
    <w:p w14:paraId="595B5331" w14:textId="77777777" w:rsidR="00213260" w:rsidRDefault="00213260"/>
  </w:endnote>
  <w:endnote w:type="continuationNotice" w:id="1">
    <w:p w14:paraId="75FDF7BE" w14:textId="77777777" w:rsidR="00213260" w:rsidRDefault="00213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0103" w14:textId="3B833E0A" w:rsidR="00E05F2D" w:rsidRPr="001A6655" w:rsidRDefault="00E05F2D" w:rsidP="001A6655">
    <w:pPr>
      <w:pStyle w:val="Footer"/>
      <w:rPr>
        <w:rStyle w:val="PageNumber"/>
        <w:noProof/>
        <w:szCs w:val="18"/>
      </w:rPr>
    </w:pPr>
    <w:r w:rsidRPr="001A6655">
      <w:rPr>
        <w:rStyle w:val="PageNumber"/>
        <w:noProof/>
        <w:szCs w:val="18"/>
      </w:rPr>
      <w:fldChar w:fldCharType="begin"/>
    </w:r>
    <w:r w:rsidRPr="001A6655">
      <w:rPr>
        <w:rStyle w:val="PageNumber"/>
        <w:noProof/>
        <w:szCs w:val="18"/>
      </w:rPr>
      <w:instrText xml:space="preserve"> PAGE  \* MERGEFORMAT </w:instrText>
    </w:r>
    <w:r w:rsidRPr="001A6655">
      <w:rPr>
        <w:rStyle w:val="PageNumber"/>
        <w:noProof/>
        <w:szCs w:val="18"/>
      </w:rPr>
      <w:fldChar w:fldCharType="separate"/>
    </w:r>
    <w:r w:rsidRPr="001A6655">
      <w:rPr>
        <w:rStyle w:val="PageNumber"/>
        <w:noProof/>
        <w:szCs w:val="18"/>
      </w:rPr>
      <w:t>8</w:t>
    </w:r>
    <w:r w:rsidRPr="001A6655">
      <w:rPr>
        <w:rStyle w:val="PageNumber"/>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9FC8" w14:textId="6E9F962F" w:rsidR="00E05F2D" w:rsidRPr="000216CC" w:rsidRDefault="00E05F2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1848" w14:textId="51E2F08C" w:rsidR="002221BB" w:rsidRPr="002221BB" w:rsidRDefault="002221BB" w:rsidP="002221BB">
    <w:pPr>
      <w:pStyle w:val="Footer"/>
      <w:rPr>
        <w:rStyle w:val="PageNumber"/>
        <w:b w:val="0"/>
        <w:sz w:val="16"/>
      </w:rPr>
    </w:pPr>
    <w:r>
      <w:rPr>
        <w:noProof/>
      </w:rPr>
      <mc:AlternateContent>
        <mc:Choice Requires="wps">
          <w:drawing>
            <wp:anchor distT="0" distB="0" distL="114300" distR="114300" simplePos="0" relativeHeight="251658241" behindDoc="0" locked="0" layoutInCell="1" allowOverlap="1" wp14:anchorId="0A32FBDC" wp14:editId="32C0E0E2">
              <wp:simplePos x="0" y="0"/>
              <wp:positionH relativeFrom="margin">
                <wp:posOffset>-431800</wp:posOffset>
              </wp:positionH>
              <wp:positionV relativeFrom="margin">
                <wp:posOffset>0</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59D91829" w14:textId="77777777" w:rsidR="002221BB" w:rsidRPr="00F257D1" w:rsidRDefault="002221BB" w:rsidP="002221BB">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p w14:paraId="2334332C" w14:textId="77777777" w:rsidR="002221BB" w:rsidRDefault="002221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32FBDC" id="_x0000_t202" coordsize="21600,21600" o:spt="202" path="m,l,21600r21600,l21600,xe">
              <v:stroke joinstyle="miter"/>
              <v:path gradientshapeok="t" o:connecttype="rect"/>
            </v:shapetype>
            <v:shape id="_x0000_s1029" type="#_x0000_t202" style="position:absolute;margin-left:-34pt;margin-top:0;width:17.55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yRmJb4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p w14:paraId="59D91829" w14:textId="77777777" w:rsidR="002221BB" w:rsidRPr="00F257D1" w:rsidRDefault="002221BB" w:rsidP="002221BB">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p w14:paraId="2334332C" w14:textId="77777777" w:rsidR="002221BB" w:rsidRDefault="002221BB"/>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8DCF" w14:textId="3D9DC8FC" w:rsidR="002221BB" w:rsidRPr="000216CC" w:rsidRDefault="002221BB" w:rsidP="000216CC">
    <w:pPr>
      <w:pStyle w:val="Footer"/>
      <w:tabs>
        <w:tab w:val="right" w:pos="9638"/>
      </w:tabs>
      <w:rPr>
        <w:b/>
        <w:sz w:val="18"/>
      </w:rPr>
    </w:pPr>
    <w:r>
      <w:rPr>
        <w:noProof/>
      </w:rPr>
      <mc:AlternateContent>
        <mc:Choice Requires="wps">
          <w:drawing>
            <wp:anchor distT="45720" distB="45720" distL="114300" distR="114300" simplePos="0" relativeHeight="251658244" behindDoc="0" locked="0" layoutInCell="1" allowOverlap="1" wp14:anchorId="5ADD84D4" wp14:editId="2FA3F487">
              <wp:simplePos x="0" y="0"/>
              <wp:positionH relativeFrom="column">
                <wp:posOffset>-623399</wp:posOffset>
              </wp:positionH>
              <wp:positionV relativeFrom="paragraph">
                <wp:posOffset>-756038</wp:posOffset>
              </wp:positionV>
              <wp:extent cx="356870" cy="247650"/>
              <wp:effectExtent l="0" t="0" r="241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47650"/>
                      </a:xfrm>
                      <a:prstGeom prst="rect">
                        <a:avLst/>
                      </a:prstGeom>
                      <a:solidFill>
                        <a:srgbClr val="FFFFFF"/>
                      </a:solidFill>
                      <a:ln w="9525">
                        <a:solidFill>
                          <a:schemeClr val="bg1"/>
                        </a:solidFill>
                        <a:miter lim="800000"/>
                        <a:headEnd/>
                        <a:tailEnd/>
                      </a:ln>
                    </wps:spPr>
                    <wps:txbx>
                      <w:txbxContent>
                        <w:p w14:paraId="667EC6AD" w14:textId="051A366C" w:rsidR="002221BB" w:rsidRDefault="002221BB">
                          <w:r>
                            <w:t>3</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D84D4" id="_x0000_t202" coordsize="21600,21600" o:spt="202" path="m,l,21600r21600,l21600,xe">
              <v:stroke joinstyle="miter"/>
              <v:path gradientshapeok="t" o:connecttype="rect"/>
            </v:shapetype>
            <v:shape id="_x0000_s1030" type="#_x0000_t202" style="position:absolute;margin-left:-49.1pt;margin-top:-59.55pt;width:28.1pt;height:19.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" strokecolor="white [3212]">
              <v:textbox style="layout-flow:vertical-ideographic">
                <w:txbxContent>
                  <w:p w14:paraId="667EC6AD" w14:textId="051A366C" w:rsidR="002221BB" w:rsidRDefault="002221BB">
                    <w:r>
                      <w:t>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EF8A" w14:textId="77777777" w:rsidR="00213260" w:rsidRPr="000B175B" w:rsidRDefault="00213260" w:rsidP="000B175B">
      <w:pPr>
        <w:tabs>
          <w:tab w:val="right" w:pos="2155"/>
        </w:tabs>
        <w:spacing w:after="80"/>
        <w:ind w:left="680"/>
        <w:rPr>
          <w:u w:val="single"/>
        </w:rPr>
      </w:pPr>
      <w:r>
        <w:rPr>
          <w:u w:val="single"/>
        </w:rPr>
        <w:tab/>
      </w:r>
    </w:p>
  </w:footnote>
  <w:footnote w:type="continuationSeparator" w:id="0">
    <w:p w14:paraId="5A59BA43" w14:textId="77777777" w:rsidR="00213260" w:rsidRPr="00FC68B7" w:rsidRDefault="00213260" w:rsidP="00FC68B7">
      <w:pPr>
        <w:tabs>
          <w:tab w:val="left" w:pos="2155"/>
        </w:tabs>
        <w:spacing w:after="80"/>
        <w:ind w:left="680"/>
        <w:rPr>
          <w:u w:val="single"/>
        </w:rPr>
      </w:pPr>
      <w:r>
        <w:rPr>
          <w:u w:val="single"/>
        </w:rPr>
        <w:tab/>
      </w:r>
    </w:p>
  </w:footnote>
  <w:footnote w:type="continuationNotice" w:id="1">
    <w:p w14:paraId="4FE73304" w14:textId="77777777" w:rsidR="00213260" w:rsidRDefault="00213260"/>
  </w:footnote>
  <w:footnote w:id="2">
    <w:p w14:paraId="1EB280A3" w14:textId="46080899" w:rsidR="002221BB" w:rsidRPr="00434E9D" w:rsidRDefault="002221BB" w:rsidP="002221BB">
      <w:pPr>
        <w:pStyle w:val="FootnoteText"/>
        <w:ind w:firstLine="0"/>
        <w:rPr>
          <w:lang w:val="en-GB"/>
        </w:rPr>
      </w:pPr>
      <w:r>
        <w:rPr>
          <w:rStyle w:val="FootnoteReference"/>
        </w:rPr>
        <w:footnoteRef/>
      </w:r>
      <w:r>
        <w:t xml:space="preserve"> </w:t>
      </w:r>
      <w:r w:rsidRPr="00327615">
        <w:t>ST/SG/AC.10/C.4/201</w:t>
      </w:r>
      <w:r w:rsidR="009D4C3D">
        <w:rPr>
          <w:lang w:val="en-GB"/>
        </w:rPr>
        <w:t>9</w:t>
      </w:r>
      <w:r w:rsidRPr="00327615">
        <w:t>/</w:t>
      </w:r>
      <w:r w:rsidR="009D4C3D">
        <w:rPr>
          <w:lang w:val="en-GB"/>
        </w:rPr>
        <w:t>3</w:t>
      </w:r>
      <w:r>
        <w:t xml:space="preserve"> and ST/SG/AC.10/C.4</w:t>
      </w:r>
      <w:r w:rsidRPr="00327615">
        <w:t>/</w:t>
      </w:r>
      <w:r>
        <w:t>7</w:t>
      </w:r>
      <w:r w:rsidR="00434E9D">
        <w:rPr>
          <w:lang w:val="en-GB"/>
        </w:rPr>
        <w:t>4</w:t>
      </w:r>
    </w:p>
  </w:footnote>
  <w:footnote w:id="3">
    <w:p w14:paraId="40FDA4E3" w14:textId="3986BC59" w:rsidR="002221BB" w:rsidRPr="006869F7" w:rsidRDefault="002221BB" w:rsidP="002221BB">
      <w:pPr>
        <w:pStyle w:val="FootnoteText"/>
        <w:tabs>
          <w:tab w:val="clear" w:pos="1021"/>
        </w:tabs>
        <w:ind w:firstLine="0"/>
        <w:rPr>
          <w:lang w:val="en-GB"/>
        </w:rPr>
      </w:pPr>
      <w:r>
        <w:rPr>
          <w:rStyle w:val="FootnoteReference"/>
        </w:rPr>
        <w:footnoteRef/>
      </w:r>
      <w:r>
        <w:t xml:space="preserve"> </w:t>
      </w:r>
      <w:r w:rsidRPr="00327615">
        <w:t>ST/SG/AC.10/C.4/201</w:t>
      </w:r>
      <w:r w:rsidR="00C102D3">
        <w:rPr>
          <w:lang w:val="en-GB"/>
        </w:rPr>
        <w:t>9</w:t>
      </w:r>
      <w:r w:rsidRPr="00327615">
        <w:t>/</w:t>
      </w:r>
      <w:r w:rsidR="00C102D3">
        <w:rPr>
          <w:lang w:val="en-GB"/>
        </w:rPr>
        <w:t>12</w:t>
      </w:r>
      <w:r>
        <w:t xml:space="preserve"> and ST/SG/AC.10/C.4</w:t>
      </w:r>
      <w:r w:rsidRPr="00327615">
        <w:t>/</w:t>
      </w:r>
      <w:r>
        <w:t>7</w:t>
      </w:r>
      <w:r w:rsidR="006869F7">
        <w:rPr>
          <w:lang w:val="en-GB"/>
        </w:rPr>
        <w:t>6</w:t>
      </w:r>
    </w:p>
  </w:footnote>
  <w:footnote w:id="4">
    <w:p w14:paraId="0514540A" w14:textId="6DCF01D8" w:rsidR="00E558B2" w:rsidRPr="00E558B2" w:rsidRDefault="00E558B2" w:rsidP="00E558B2">
      <w:pPr>
        <w:pStyle w:val="FootnoteText"/>
        <w:ind w:firstLine="0"/>
        <w:rPr>
          <w:lang w:val="en-GB"/>
        </w:rPr>
      </w:pPr>
      <w:r>
        <w:rPr>
          <w:rStyle w:val="FootnoteReference"/>
        </w:rPr>
        <w:footnoteRef/>
      </w:r>
      <w:r>
        <w:t xml:space="preserve"> </w:t>
      </w:r>
      <w:r w:rsidR="00EF7725" w:rsidRPr="00327615">
        <w:t>ST/SG/AC.10/C.4/201</w:t>
      </w:r>
      <w:r w:rsidR="00EF7725">
        <w:rPr>
          <w:lang w:val="en-GB"/>
        </w:rPr>
        <w:t>9</w:t>
      </w:r>
      <w:r w:rsidR="00EF7725" w:rsidRPr="00327615">
        <w:t>/</w:t>
      </w:r>
      <w:r w:rsidR="00EF7725">
        <w:rPr>
          <w:lang w:val="en-GB"/>
        </w:rPr>
        <w:t>15</w:t>
      </w:r>
      <w:r w:rsidR="00EF7725">
        <w:t xml:space="preserve"> and ST/SG/AC.10/C.4</w:t>
      </w:r>
      <w:r w:rsidR="00EF7725" w:rsidRPr="00327615">
        <w:t>/</w:t>
      </w:r>
      <w:r w:rsidR="00EF7725">
        <w:t>7</w:t>
      </w:r>
      <w:r w:rsidR="00EF7725">
        <w:rPr>
          <w:lang w:val="en-GB"/>
        </w:rPr>
        <w:t>6</w:t>
      </w:r>
    </w:p>
  </w:footnote>
  <w:footnote w:id="5">
    <w:p w14:paraId="6D6F19BA" w14:textId="55711211" w:rsidR="00D4706B" w:rsidRPr="00D42A91" w:rsidRDefault="00D4706B" w:rsidP="00D4706B">
      <w:pPr>
        <w:pStyle w:val="FootnoteText"/>
        <w:ind w:firstLine="0"/>
        <w:rPr>
          <w:lang w:val="en-GB"/>
        </w:rPr>
      </w:pPr>
      <w:r>
        <w:rPr>
          <w:rStyle w:val="FootnoteReference"/>
        </w:rPr>
        <w:footnoteRef/>
      </w:r>
      <w:r>
        <w:t xml:space="preserve"> </w:t>
      </w:r>
      <w:r w:rsidRPr="00327615">
        <w:t>ST/SG/AC.10/C.4/20</w:t>
      </w:r>
      <w:r w:rsidR="00F811FA">
        <w:rPr>
          <w:lang w:val="en-GB"/>
        </w:rPr>
        <w:t>20</w:t>
      </w:r>
      <w:r w:rsidRPr="00327615">
        <w:t>/</w:t>
      </w:r>
      <w:r w:rsidR="00D42A91">
        <w:rPr>
          <w:lang w:val="en-GB"/>
        </w:rPr>
        <w:t>12</w:t>
      </w:r>
    </w:p>
  </w:footnote>
  <w:footnote w:id="6">
    <w:p w14:paraId="7171279F" w14:textId="5D2B00E5" w:rsidR="003412D6" w:rsidRPr="003412D6" w:rsidRDefault="003412D6" w:rsidP="000F7C95">
      <w:pPr>
        <w:pStyle w:val="FootnoteText"/>
        <w:ind w:firstLine="0"/>
        <w:rPr>
          <w:lang w:val="en-GB"/>
        </w:rPr>
      </w:pPr>
      <w:r>
        <w:rPr>
          <w:rStyle w:val="FootnoteReference"/>
        </w:rPr>
        <w:footnoteRef/>
      </w:r>
      <w:r>
        <w:t xml:space="preserve"> </w:t>
      </w:r>
      <w:r w:rsidR="000F7C95">
        <w:t>ST/SG/AC.10/C.4</w:t>
      </w:r>
      <w:r w:rsidR="000F7C95" w:rsidRPr="00327615">
        <w:t>/</w:t>
      </w:r>
      <w:r w:rsidR="000F7C95">
        <w:t>7</w:t>
      </w:r>
      <w:r w:rsidR="000F7C95">
        <w:rPr>
          <w:lang w:val="en-GB"/>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A21" w14:textId="5E28BDED" w:rsidR="00E05F2D" w:rsidRPr="00B5392B" w:rsidRDefault="00E05F2D">
    <w:pPr>
      <w:pStyle w:val="Header"/>
      <w:rPr>
        <w:lang w:val="nl-NL"/>
      </w:rPr>
    </w:pPr>
    <w:r w:rsidRPr="00460B22">
      <w:rPr>
        <w:lang w:val="nl-NL"/>
      </w:rPr>
      <w:t>UN/SCEG</w:t>
    </w:r>
    <w:r w:rsidR="00C50060">
      <w:rPr>
        <w:lang w:val="nl-NL"/>
      </w:rPr>
      <w:t>HS</w:t>
    </w:r>
    <w:r w:rsidRPr="00460B22">
      <w:rPr>
        <w:lang w:val="nl-NL"/>
      </w:rPr>
      <w:t>/</w:t>
    </w:r>
    <w:r w:rsidR="00C50060">
      <w:rPr>
        <w:lang w:val="nl-NL"/>
      </w:rPr>
      <w:t>39</w:t>
    </w:r>
    <w:r w:rsidRPr="00460B22">
      <w:rPr>
        <w:lang w:val="nl-NL"/>
      </w:rPr>
      <w:t>/INF.</w:t>
    </w:r>
    <w:r w:rsidR="00291A17">
      <w:rPr>
        <w:lang w:val="nl-NL"/>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8AB" w14:textId="0AEEFA07" w:rsidR="00E05F2D" w:rsidRPr="000216CC" w:rsidRDefault="002221BB" w:rsidP="000216CC">
    <w:pPr>
      <w:pStyle w:val="Header"/>
      <w:jc w:val="right"/>
    </w:pPr>
    <w:r>
      <w:rPr>
        <w:noProof/>
      </w:rPr>
      <mc:AlternateContent>
        <mc:Choice Requires="wps">
          <w:drawing>
            <wp:anchor distT="45720" distB="45720" distL="114300" distR="114300" simplePos="0" relativeHeight="251658242" behindDoc="0" locked="0" layoutInCell="1" allowOverlap="1" wp14:anchorId="0CFA8489" wp14:editId="25BEBBA3">
              <wp:simplePos x="0" y="0"/>
              <wp:positionH relativeFrom="column">
                <wp:posOffset>8486775</wp:posOffset>
              </wp:positionH>
              <wp:positionV relativeFrom="paragraph">
                <wp:posOffset>640080</wp:posOffset>
              </wp:positionV>
              <wp:extent cx="2360930" cy="140462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43FCE6A" w14:textId="15BE3B7C" w:rsidR="002221BB" w:rsidRDefault="002221BB" w:rsidP="002221BB">
                          <w:pPr>
                            <w:pBdr>
                              <w:bottom w:val="single" w:sz="4" w:space="1" w:color="auto"/>
                            </w:pBdr>
                          </w:pPr>
                          <w:r>
                            <w:t>UN/SCEGHS/36/INF.25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FA8489" id="_x0000_t202" coordsize="21600,21600" o:spt="202" path="m,l,21600r21600,l21600,xe">
              <v:stroke joinstyle="miter"/>
              <v:path gradientshapeok="t" o:connecttype="rect"/>
            </v:shapetype>
            <v:shape id="Text Box 2" o:spid="_x0000_s1026" type="#_x0000_t202" style="position:absolute;left:0;text-align:left;margin-left:668.25pt;margin-top:50.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" strokecolor="white [3212]">
              <v:textbox style="layout-flow:vertical-ideographic;mso-fit-shape-to-text:t">
                <w:txbxContent>
                  <w:p w14:paraId="343FCE6A" w14:textId="15BE3B7C" w:rsidR="002221BB" w:rsidRDefault="002221BB" w:rsidP="002221BB">
                    <w:pPr>
                      <w:pBdr>
                        <w:bottom w:val="single" w:sz="4" w:space="1" w:color="auto"/>
                      </w:pBdr>
                    </w:pPr>
                    <w:r>
                      <w:t>UN/SCEGHS/36/INF.25</w:t>
                    </w:r>
                  </w:p>
                </w:txbxContent>
              </v:textbox>
              <w10:wrap type="square"/>
            </v:shape>
          </w:pict>
        </mc:Fallback>
      </mc:AlternateContent>
    </w:r>
    <w:r w:rsidR="00E05F2D" w:rsidRPr="0059131E">
      <w:t>UN/SCETDG/53/INF.</w:t>
    </w:r>
    <w:r w:rsidR="00E05F2D">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C62" w14:textId="618A5054" w:rsidR="00E05F2D" w:rsidRDefault="00E05F2D" w:rsidP="00532F7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1D98" w14:textId="34DF689A" w:rsidR="002221BB" w:rsidRPr="002221BB" w:rsidRDefault="002221BB" w:rsidP="002221BB">
    <w:r>
      <w:rPr>
        <w:noProof/>
      </w:rPr>
      <mc:AlternateContent>
        <mc:Choice Requires="wps">
          <w:drawing>
            <wp:anchor distT="0" distB="0" distL="114300" distR="114300" simplePos="0" relativeHeight="251658240" behindDoc="0" locked="0" layoutInCell="1" allowOverlap="1" wp14:anchorId="79BCB688" wp14:editId="45F65530">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349CA9D0" w14:textId="27F89162" w:rsidR="002221BB" w:rsidRPr="00B5392B" w:rsidRDefault="002221BB" w:rsidP="002221BB">
                          <w:pPr>
                            <w:pStyle w:val="Header"/>
                            <w:rPr>
                              <w:lang w:val="nl-NL"/>
                            </w:rPr>
                          </w:pPr>
                          <w:r>
                            <w:rPr>
                              <w:lang w:val="nl-NL"/>
                            </w:rPr>
                            <w:t>UN/SCEG</w:t>
                          </w:r>
                          <w:r w:rsidR="00A11F98">
                            <w:rPr>
                              <w:lang w:val="nl-NL"/>
                            </w:rPr>
                            <w:t>HS</w:t>
                          </w:r>
                          <w:r>
                            <w:rPr>
                              <w:lang w:val="nl-NL"/>
                            </w:rPr>
                            <w:t>/</w:t>
                          </w:r>
                          <w:r w:rsidR="00A11F98">
                            <w:rPr>
                              <w:lang w:val="nl-NL"/>
                            </w:rPr>
                            <w:t>39</w:t>
                          </w:r>
                          <w:r w:rsidRPr="00460B22">
                            <w:rPr>
                              <w:lang w:val="nl-NL"/>
                            </w:rPr>
                            <w:t>/INF.</w:t>
                          </w:r>
                          <w:r w:rsidR="00A11F98" w:rsidRPr="00A11F98">
                            <w:rPr>
                              <w:highlight w:val="yellow"/>
                              <w:lang w:val="nl-NL"/>
                            </w:rPr>
                            <w:t>XX</w:t>
                          </w:r>
                        </w:p>
                        <w:p w14:paraId="2871007D" w14:textId="77777777" w:rsidR="002221BB" w:rsidRDefault="002221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BCB688" id="_x0000_t202" coordsize="21600,21600" o:spt="202" path="m,l,21600r21600,l21600,xe">
              <v:stroke joinstyle="miter"/>
              <v:path gradientshapeok="t" o:connecttype="rect"/>
            </v:shapetype>
            <v:shape id="Text Box 1" o:spid="_x0000_s1027" type="#_x0000_t202" style="position:absolute;margin-left:771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CthgIAACE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" fillcolor="white [3212]" stroked="f">
              <v:stroke joinstyle="round"/>
              <v:textbox style="layout-flow:vertical" inset="0,0,0,0">
                <w:txbxContent>
                  <w:p w14:paraId="349CA9D0" w14:textId="27F89162" w:rsidR="002221BB" w:rsidRPr="00B5392B" w:rsidRDefault="002221BB" w:rsidP="002221BB">
                    <w:pPr>
                      <w:pStyle w:val="Header"/>
                      <w:rPr>
                        <w:lang w:val="nl-NL"/>
                      </w:rPr>
                    </w:pPr>
                    <w:r>
                      <w:rPr>
                        <w:lang w:val="nl-NL"/>
                      </w:rPr>
                      <w:t>UN/SCEG</w:t>
                    </w:r>
                    <w:r w:rsidR="00A11F98">
                      <w:rPr>
                        <w:lang w:val="nl-NL"/>
                      </w:rPr>
                      <w:t>HS</w:t>
                    </w:r>
                    <w:r>
                      <w:rPr>
                        <w:lang w:val="nl-NL"/>
                      </w:rPr>
                      <w:t>/</w:t>
                    </w:r>
                    <w:r w:rsidR="00A11F98">
                      <w:rPr>
                        <w:lang w:val="nl-NL"/>
                      </w:rPr>
                      <w:t>39</w:t>
                    </w:r>
                    <w:r w:rsidRPr="00460B22">
                      <w:rPr>
                        <w:lang w:val="nl-NL"/>
                      </w:rPr>
                      <w:t>/INF.</w:t>
                    </w:r>
                    <w:r w:rsidR="00A11F98" w:rsidRPr="00A11F98">
                      <w:rPr>
                        <w:highlight w:val="yellow"/>
                        <w:lang w:val="nl-NL"/>
                      </w:rPr>
                      <w:t>XX</w:t>
                    </w:r>
                  </w:p>
                  <w:p w14:paraId="2871007D" w14:textId="77777777" w:rsidR="002221BB" w:rsidRDefault="002221B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F212" w14:textId="2810CCD0" w:rsidR="002221BB" w:rsidRPr="000216CC" w:rsidRDefault="002221BB" w:rsidP="002221BB">
    <w:pPr>
      <w:pStyle w:val="Header"/>
      <w:pBdr>
        <w:bottom w:val="none" w:sz="0" w:space="0" w:color="auto"/>
      </w:pBdr>
      <w:jc w:val="right"/>
    </w:pPr>
    <w:r>
      <w:rPr>
        <w:noProof/>
      </w:rPr>
      <mc:AlternateContent>
        <mc:Choice Requires="wps">
          <w:drawing>
            <wp:anchor distT="45720" distB="45720" distL="114300" distR="114300" simplePos="0" relativeHeight="251658243" behindDoc="0" locked="0" layoutInCell="1" allowOverlap="1" wp14:anchorId="57C363F2" wp14:editId="4F6F1D0A">
              <wp:simplePos x="0" y="0"/>
              <wp:positionH relativeFrom="column">
                <wp:posOffset>8484870</wp:posOffset>
              </wp:positionH>
              <wp:positionV relativeFrom="paragraph">
                <wp:posOffset>376555</wp:posOffset>
              </wp:positionV>
              <wp:extent cx="2360930" cy="590550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0"/>
                      </a:xfrm>
                      <a:prstGeom prst="rect">
                        <a:avLst/>
                      </a:prstGeom>
                      <a:solidFill>
                        <a:srgbClr val="FFFFFF"/>
                      </a:solidFill>
                      <a:ln w="9525">
                        <a:solidFill>
                          <a:schemeClr val="bg1"/>
                        </a:solidFill>
                        <a:miter lim="800000"/>
                        <a:headEnd/>
                        <a:tailEnd/>
                      </a:ln>
                    </wps:spPr>
                    <wps:txbx>
                      <w:txbxContent>
                        <w:p w14:paraId="27A6A39B" w14:textId="10FBB3D1" w:rsidR="002221BB" w:rsidRPr="002221BB" w:rsidRDefault="002221BB" w:rsidP="002221BB">
                          <w:pPr>
                            <w:pBdr>
                              <w:bottom w:val="single" w:sz="4" w:space="1" w:color="auto"/>
                            </w:pBdr>
                            <w:jc w:val="right"/>
                            <w:rPr>
                              <w:b/>
                              <w:bCs/>
                            </w:rPr>
                          </w:pPr>
                          <w:r w:rsidRPr="002221BB">
                            <w:rPr>
                              <w:b/>
                              <w:bCs/>
                            </w:rPr>
                            <w:t>UN/SCEGHS/3</w:t>
                          </w:r>
                          <w:r w:rsidR="00C50060">
                            <w:rPr>
                              <w:b/>
                              <w:bCs/>
                            </w:rPr>
                            <w:t>9</w:t>
                          </w:r>
                          <w:r w:rsidRPr="002221BB">
                            <w:rPr>
                              <w:b/>
                              <w:bCs/>
                            </w:rPr>
                            <w:t>/INF</w:t>
                          </w:r>
                          <w:r w:rsidR="00291A17">
                            <w:rPr>
                              <w:b/>
                              <w:bCs/>
                            </w:rPr>
                            <w:t>.21</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7C363F2" id="_x0000_t202" coordsize="21600,21600" o:spt="202" path="m,l,21600r21600,l21600,xe">
              <v:stroke joinstyle="miter"/>
              <v:path gradientshapeok="t" o:connecttype="rect"/>
            </v:shapetype>
            <v:shape id="_x0000_s1028" type="#_x0000_t202" style="position:absolute;left:0;text-align:left;margin-left:668.1pt;margin-top:29.65pt;width:185.9pt;height:465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" strokecolor="white [3212]">
              <v:textbox style="layout-flow:vertical-ideographic;mso-fit-shape-to-text:t">
                <w:txbxContent>
                  <w:p w14:paraId="27A6A39B" w14:textId="10FBB3D1" w:rsidR="002221BB" w:rsidRPr="002221BB" w:rsidRDefault="002221BB" w:rsidP="002221BB">
                    <w:pPr>
                      <w:pBdr>
                        <w:bottom w:val="single" w:sz="4" w:space="1" w:color="auto"/>
                      </w:pBdr>
                      <w:jc w:val="right"/>
                      <w:rPr>
                        <w:b/>
                        <w:bCs/>
                      </w:rPr>
                    </w:pPr>
                    <w:r w:rsidRPr="002221BB">
                      <w:rPr>
                        <w:b/>
                        <w:bCs/>
                      </w:rPr>
                      <w:t>UN/SCEGHS/3</w:t>
                    </w:r>
                    <w:r w:rsidR="00C50060">
                      <w:rPr>
                        <w:b/>
                        <w:bCs/>
                      </w:rPr>
                      <w:t>9</w:t>
                    </w:r>
                    <w:r w:rsidRPr="002221BB">
                      <w:rPr>
                        <w:b/>
                        <w:bCs/>
                      </w:rPr>
                      <w:t>/INF</w:t>
                    </w:r>
                    <w:r w:rsidR="00291A17">
                      <w:rPr>
                        <w:b/>
                        <w:bCs/>
                      </w:rPr>
                      <w:t>.21</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E897" w14:textId="77777777" w:rsidR="002221BB" w:rsidRDefault="002221BB"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35AAE"/>
    <w:multiLevelType w:val="hybridMultilevel"/>
    <w:tmpl w:val="F614FD44"/>
    <w:lvl w:ilvl="0" w:tplc="19B803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36AED"/>
    <w:multiLevelType w:val="hybridMultilevel"/>
    <w:tmpl w:val="D8442F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24841630"/>
    <w:multiLevelType w:val="hybridMultilevel"/>
    <w:tmpl w:val="E946AC9A"/>
    <w:lvl w:ilvl="0" w:tplc="08090001">
      <w:start w:val="1"/>
      <w:numFmt w:val="bullet"/>
      <w:lvlText w:val=""/>
      <w:lvlJc w:val="left"/>
      <w:pPr>
        <w:ind w:left="1134" w:hanging="360"/>
      </w:pPr>
      <w:rPr>
        <w:rFonts w:ascii="Symbol" w:hAnsi="Symbol"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start w:val="1"/>
      <w:numFmt w:val="bullet"/>
      <w:lvlText w:val=""/>
      <w:lvlJc w:val="left"/>
      <w:pPr>
        <w:ind w:left="3294" w:hanging="360"/>
      </w:pPr>
      <w:rPr>
        <w:rFonts w:ascii="Symbol" w:hAnsi="Symbol" w:hint="default"/>
      </w:rPr>
    </w:lvl>
    <w:lvl w:ilvl="4" w:tplc="08090003">
      <w:start w:val="1"/>
      <w:numFmt w:val="bullet"/>
      <w:lvlText w:val="o"/>
      <w:lvlJc w:val="left"/>
      <w:pPr>
        <w:ind w:left="4014" w:hanging="360"/>
      </w:pPr>
      <w:rPr>
        <w:rFonts w:ascii="Courier New" w:hAnsi="Courier New" w:cs="Courier New" w:hint="default"/>
      </w:rPr>
    </w:lvl>
    <w:lvl w:ilvl="5" w:tplc="08090005">
      <w:start w:val="1"/>
      <w:numFmt w:val="bullet"/>
      <w:lvlText w:val=""/>
      <w:lvlJc w:val="left"/>
      <w:pPr>
        <w:ind w:left="4734" w:hanging="360"/>
      </w:pPr>
      <w:rPr>
        <w:rFonts w:ascii="Wingdings" w:hAnsi="Wingdings" w:hint="default"/>
      </w:rPr>
    </w:lvl>
    <w:lvl w:ilvl="6" w:tplc="08090001">
      <w:start w:val="1"/>
      <w:numFmt w:val="bullet"/>
      <w:lvlText w:val=""/>
      <w:lvlJc w:val="left"/>
      <w:pPr>
        <w:ind w:left="5454" w:hanging="360"/>
      </w:pPr>
      <w:rPr>
        <w:rFonts w:ascii="Symbol" w:hAnsi="Symbol" w:hint="default"/>
      </w:rPr>
    </w:lvl>
    <w:lvl w:ilvl="7" w:tplc="08090003">
      <w:start w:val="1"/>
      <w:numFmt w:val="bullet"/>
      <w:lvlText w:val="o"/>
      <w:lvlJc w:val="left"/>
      <w:pPr>
        <w:ind w:left="6174" w:hanging="360"/>
      </w:pPr>
      <w:rPr>
        <w:rFonts w:ascii="Courier New" w:hAnsi="Courier New" w:cs="Courier New" w:hint="default"/>
      </w:rPr>
    </w:lvl>
    <w:lvl w:ilvl="8" w:tplc="08090005">
      <w:start w:val="1"/>
      <w:numFmt w:val="bullet"/>
      <w:lvlText w:val=""/>
      <w:lvlJc w:val="left"/>
      <w:pPr>
        <w:ind w:left="6894" w:hanging="360"/>
      </w:pPr>
      <w:rPr>
        <w:rFonts w:ascii="Wingdings" w:hAnsi="Wingdings" w:hint="default"/>
      </w:rPr>
    </w:lvl>
  </w:abstractNum>
  <w:abstractNum w:abstractNumId="15" w15:restartNumberingAfterBreak="0">
    <w:nsid w:val="34402A74"/>
    <w:multiLevelType w:val="hybridMultilevel"/>
    <w:tmpl w:val="C5E805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7C76AE4"/>
    <w:multiLevelType w:val="hybridMultilevel"/>
    <w:tmpl w:val="80C6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70A66"/>
    <w:multiLevelType w:val="hybridMultilevel"/>
    <w:tmpl w:val="16448D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BA82740"/>
    <w:multiLevelType w:val="hybridMultilevel"/>
    <w:tmpl w:val="547EDA46"/>
    <w:lvl w:ilvl="0" w:tplc="66F2DB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BCC0A23"/>
    <w:multiLevelType w:val="hybridMultilevel"/>
    <w:tmpl w:val="0CA0C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83ECD"/>
    <w:multiLevelType w:val="hybridMultilevel"/>
    <w:tmpl w:val="EC66C5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74CD29C3"/>
    <w:multiLevelType w:val="hybridMultilevel"/>
    <w:tmpl w:val="AF340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4D4344B"/>
    <w:multiLevelType w:val="hybridMultilevel"/>
    <w:tmpl w:val="B6E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035646"/>
    <w:multiLevelType w:val="hybridMultilevel"/>
    <w:tmpl w:val="01F8C5C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0"/>
  </w:num>
  <w:num w:numId="14">
    <w:abstractNumId w:val="21"/>
  </w:num>
  <w:num w:numId="15">
    <w:abstractNumId w:val="25"/>
  </w:num>
  <w:num w:numId="16">
    <w:abstractNumId w:val="18"/>
  </w:num>
  <w:num w:numId="17">
    <w:abstractNumId w:val="11"/>
  </w:num>
  <w:num w:numId="18">
    <w:abstractNumId w:val="16"/>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num>
  <w:num w:numId="23">
    <w:abstractNumId w:val="13"/>
  </w:num>
  <w:num w:numId="24">
    <w:abstractNumId w:val="22"/>
  </w:num>
  <w:num w:numId="25">
    <w:abstractNumId w:val="13"/>
  </w:num>
  <w:num w:numId="26">
    <w:abstractNumId w:val="19"/>
  </w:num>
  <w:num w:numId="27">
    <w:abstractNumId w:val="15"/>
  </w:num>
  <w:num w:numId="2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03FB"/>
    <w:rsid w:val="000019B8"/>
    <w:rsid w:val="000024EE"/>
    <w:rsid w:val="00006FAE"/>
    <w:rsid w:val="000133C5"/>
    <w:rsid w:val="00017D24"/>
    <w:rsid w:val="000216CC"/>
    <w:rsid w:val="000273C8"/>
    <w:rsid w:val="0003061F"/>
    <w:rsid w:val="00033128"/>
    <w:rsid w:val="0003375D"/>
    <w:rsid w:val="00042B4E"/>
    <w:rsid w:val="00043180"/>
    <w:rsid w:val="0004602F"/>
    <w:rsid w:val="000504CE"/>
    <w:rsid w:val="00050922"/>
    <w:rsid w:val="00050F6B"/>
    <w:rsid w:val="00053492"/>
    <w:rsid w:val="0005397B"/>
    <w:rsid w:val="0005710C"/>
    <w:rsid w:val="00064402"/>
    <w:rsid w:val="00067E6D"/>
    <w:rsid w:val="00070BF1"/>
    <w:rsid w:val="00072C8C"/>
    <w:rsid w:val="00073129"/>
    <w:rsid w:val="00075F99"/>
    <w:rsid w:val="00076A0A"/>
    <w:rsid w:val="00082CE1"/>
    <w:rsid w:val="00083598"/>
    <w:rsid w:val="00084632"/>
    <w:rsid w:val="00091046"/>
    <w:rsid w:val="00091419"/>
    <w:rsid w:val="00091CB3"/>
    <w:rsid w:val="000931C0"/>
    <w:rsid w:val="0009761C"/>
    <w:rsid w:val="000A2236"/>
    <w:rsid w:val="000A35F2"/>
    <w:rsid w:val="000A3A48"/>
    <w:rsid w:val="000A4C38"/>
    <w:rsid w:val="000B175B"/>
    <w:rsid w:val="000B196B"/>
    <w:rsid w:val="000B1DD0"/>
    <w:rsid w:val="000B3A0F"/>
    <w:rsid w:val="000B4919"/>
    <w:rsid w:val="000B6AD1"/>
    <w:rsid w:val="000B7AF2"/>
    <w:rsid w:val="000C0017"/>
    <w:rsid w:val="000C1B22"/>
    <w:rsid w:val="000C1ED8"/>
    <w:rsid w:val="000C5D4B"/>
    <w:rsid w:val="000C717F"/>
    <w:rsid w:val="000D0B8F"/>
    <w:rsid w:val="000D481F"/>
    <w:rsid w:val="000D6D97"/>
    <w:rsid w:val="000D7830"/>
    <w:rsid w:val="000E0415"/>
    <w:rsid w:val="000E5C5C"/>
    <w:rsid w:val="000F0347"/>
    <w:rsid w:val="000F19C9"/>
    <w:rsid w:val="000F52D6"/>
    <w:rsid w:val="000F6A20"/>
    <w:rsid w:val="000F7C95"/>
    <w:rsid w:val="001016E7"/>
    <w:rsid w:val="0010461A"/>
    <w:rsid w:val="00105161"/>
    <w:rsid w:val="001106FD"/>
    <w:rsid w:val="00111462"/>
    <w:rsid w:val="00115303"/>
    <w:rsid w:val="00116E43"/>
    <w:rsid w:val="00117787"/>
    <w:rsid w:val="00117D0D"/>
    <w:rsid w:val="001215FB"/>
    <w:rsid w:val="00121EB7"/>
    <w:rsid w:val="001317F4"/>
    <w:rsid w:val="00131B10"/>
    <w:rsid w:val="00131D42"/>
    <w:rsid w:val="00132BC7"/>
    <w:rsid w:val="00133C50"/>
    <w:rsid w:val="001371EC"/>
    <w:rsid w:val="00137204"/>
    <w:rsid w:val="001406F4"/>
    <w:rsid w:val="00140F48"/>
    <w:rsid w:val="00155057"/>
    <w:rsid w:val="001633FB"/>
    <w:rsid w:val="00163A1B"/>
    <w:rsid w:val="00165735"/>
    <w:rsid w:val="00167786"/>
    <w:rsid w:val="00181019"/>
    <w:rsid w:val="0018168F"/>
    <w:rsid w:val="001835BF"/>
    <w:rsid w:val="00183B7D"/>
    <w:rsid w:val="00184B86"/>
    <w:rsid w:val="00186544"/>
    <w:rsid w:val="001944F1"/>
    <w:rsid w:val="001A02A4"/>
    <w:rsid w:val="001A2A00"/>
    <w:rsid w:val="001A6655"/>
    <w:rsid w:val="001B35EE"/>
    <w:rsid w:val="001B3EBD"/>
    <w:rsid w:val="001B4B04"/>
    <w:rsid w:val="001B6B72"/>
    <w:rsid w:val="001C2902"/>
    <w:rsid w:val="001C429D"/>
    <w:rsid w:val="001C5E05"/>
    <w:rsid w:val="001C6663"/>
    <w:rsid w:val="001C7895"/>
    <w:rsid w:val="001D073A"/>
    <w:rsid w:val="001D26DF"/>
    <w:rsid w:val="001D2FDC"/>
    <w:rsid w:val="001D3123"/>
    <w:rsid w:val="001D3A88"/>
    <w:rsid w:val="001D49F7"/>
    <w:rsid w:val="001D4B2D"/>
    <w:rsid w:val="001D4E70"/>
    <w:rsid w:val="001D57F3"/>
    <w:rsid w:val="001E5053"/>
    <w:rsid w:val="001E797C"/>
    <w:rsid w:val="001F5E80"/>
    <w:rsid w:val="00202CAC"/>
    <w:rsid w:val="00211468"/>
    <w:rsid w:val="00211B12"/>
    <w:rsid w:val="00211E0B"/>
    <w:rsid w:val="00213260"/>
    <w:rsid w:val="0021481D"/>
    <w:rsid w:val="00221589"/>
    <w:rsid w:val="00221AC2"/>
    <w:rsid w:val="002221BB"/>
    <w:rsid w:val="00224CD9"/>
    <w:rsid w:val="002278A0"/>
    <w:rsid w:val="002309A7"/>
    <w:rsid w:val="00235381"/>
    <w:rsid w:val="00237785"/>
    <w:rsid w:val="00241178"/>
    <w:rsid w:val="00241466"/>
    <w:rsid w:val="002422D9"/>
    <w:rsid w:val="00243D53"/>
    <w:rsid w:val="002440E7"/>
    <w:rsid w:val="00247570"/>
    <w:rsid w:val="00257C1E"/>
    <w:rsid w:val="00261938"/>
    <w:rsid w:val="00261B71"/>
    <w:rsid w:val="00261B90"/>
    <w:rsid w:val="002621F5"/>
    <w:rsid w:val="002708B5"/>
    <w:rsid w:val="002725CA"/>
    <w:rsid w:val="0027364F"/>
    <w:rsid w:val="00273A92"/>
    <w:rsid w:val="00277896"/>
    <w:rsid w:val="00280EB7"/>
    <w:rsid w:val="00281678"/>
    <w:rsid w:val="00282C36"/>
    <w:rsid w:val="00291A17"/>
    <w:rsid w:val="00291A55"/>
    <w:rsid w:val="00294934"/>
    <w:rsid w:val="00295C28"/>
    <w:rsid w:val="002976CF"/>
    <w:rsid w:val="002A0BD2"/>
    <w:rsid w:val="002A5B17"/>
    <w:rsid w:val="002B067A"/>
    <w:rsid w:val="002B1069"/>
    <w:rsid w:val="002B1514"/>
    <w:rsid w:val="002B1CDA"/>
    <w:rsid w:val="002C4772"/>
    <w:rsid w:val="002C6F23"/>
    <w:rsid w:val="002C7F25"/>
    <w:rsid w:val="002D0FAB"/>
    <w:rsid w:val="002D5A85"/>
    <w:rsid w:val="002D5C7D"/>
    <w:rsid w:val="002E1F83"/>
    <w:rsid w:val="002E35BB"/>
    <w:rsid w:val="002E3F71"/>
    <w:rsid w:val="002F68FD"/>
    <w:rsid w:val="003037DC"/>
    <w:rsid w:val="003107FA"/>
    <w:rsid w:val="00313AC2"/>
    <w:rsid w:val="00315D73"/>
    <w:rsid w:val="00316FF9"/>
    <w:rsid w:val="00321716"/>
    <w:rsid w:val="003229D8"/>
    <w:rsid w:val="00327D0A"/>
    <w:rsid w:val="003337C3"/>
    <w:rsid w:val="003350D4"/>
    <w:rsid w:val="003412D6"/>
    <w:rsid w:val="00346488"/>
    <w:rsid w:val="003517C3"/>
    <w:rsid w:val="00355502"/>
    <w:rsid w:val="00356BC7"/>
    <w:rsid w:val="00357A20"/>
    <w:rsid w:val="00357F0E"/>
    <w:rsid w:val="00362531"/>
    <w:rsid w:val="00364C69"/>
    <w:rsid w:val="0036518A"/>
    <w:rsid w:val="003671E7"/>
    <w:rsid w:val="00367718"/>
    <w:rsid w:val="00372F06"/>
    <w:rsid w:val="00391647"/>
    <w:rsid w:val="003916DB"/>
    <w:rsid w:val="0039260F"/>
    <w:rsid w:val="0039277A"/>
    <w:rsid w:val="00396F6A"/>
    <w:rsid w:val="003972E0"/>
    <w:rsid w:val="003A1EC2"/>
    <w:rsid w:val="003A52D7"/>
    <w:rsid w:val="003A5A16"/>
    <w:rsid w:val="003B3BEF"/>
    <w:rsid w:val="003B7F12"/>
    <w:rsid w:val="003C0657"/>
    <w:rsid w:val="003C18C9"/>
    <w:rsid w:val="003C1ED8"/>
    <w:rsid w:val="003C29A8"/>
    <w:rsid w:val="003C2CC4"/>
    <w:rsid w:val="003C655D"/>
    <w:rsid w:val="003C6ECA"/>
    <w:rsid w:val="003D11CF"/>
    <w:rsid w:val="003D4B23"/>
    <w:rsid w:val="003E0C0E"/>
    <w:rsid w:val="003E0FC3"/>
    <w:rsid w:val="003F0566"/>
    <w:rsid w:val="003F23A4"/>
    <w:rsid w:val="003F5B52"/>
    <w:rsid w:val="00403EC6"/>
    <w:rsid w:val="00406CD4"/>
    <w:rsid w:val="00430086"/>
    <w:rsid w:val="00430918"/>
    <w:rsid w:val="00430D0B"/>
    <w:rsid w:val="004325CB"/>
    <w:rsid w:val="00434E9D"/>
    <w:rsid w:val="00437F3F"/>
    <w:rsid w:val="004408C6"/>
    <w:rsid w:val="00446DE4"/>
    <w:rsid w:val="004526E8"/>
    <w:rsid w:val="00452D10"/>
    <w:rsid w:val="00454036"/>
    <w:rsid w:val="004562AA"/>
    <w:rsid w:val="00460B22"/>
    <w:rsid w:val="0046443A"/>
    <w:rsid w:val="004653B3"/>
    <w:rsid w:val="004654C4"/>
    <w:rsid w:val="0046668F"/>
    <w:rsid w:val="0046773D"/>
    <w:rsid w:val="0046788D"/>
    <w:rsid w:val="004825C9"/>
    <w:rsid w:val="0048304D"/>
    <w:rsid w:val="00484A9B"/>
    <w:rsid w:val="00492AF9"/>
    <w:rsid w:val="00492CB5"/>
    <w:rsid w:val="00494C77"/>
    <w:rsid w:val="00494F98"/>
    <w:rsid w:val="00497711"/>
    <w:rsid w:val="004A0C77"/>
    <w:rsid w:val="004A25C4"/>
    <w:rsid w:val="004B2C9D"/>
    <w:rsid w:val="004B5939"/>
    <w:rsid w:val="004B5AC4"/>
    <w:rsid w:val="004B73D6"/>
    <w:rsid w:val="004C1E96"/>
    <w:rsid w:val="004C39D0"/>
    <w:rsid w:val="004C4F1A"/>
    <w:rsid w:val="004C6D6D"/>
    <w:rsid w:val="004C7B12"/>
    <w:rsid w:val="004E0C5D"/>
    <w:rsid w:val="004F1EA6"/>
    <w:rsid w:val="004F2F07"/>
    <w:rsid w:val="004F4240"/>
    <w:rsid w:val="004F77CD"/>
    <w:rsid w:val="00507CF1"/>
    <w:rsid w:val="00512541"/>
    <w:rsid w:val="00522177"/>
    <w:rsid w:val="0052730D"/>
    <w:rsid w:val="00527910"/>
    <w:rsid w:val="00532F73"/>
    <w:rsid w:val="00536C36"/>
    <w:rsid w:val="005420F2"/>
    <w:rsid w:val="00542505"/>
    <w:rsid w:val="00545485"/>
    <w:rsid w:val="005475D4"/>
    <w:rsid w:val="00554700"/>
    <w:rsid w:val="00555CDB"/>
    <w:rsid w:val="00556DC5"/>
    <w:rsid w:val="00561B6D"/>
    <w:rsid w:val="00562D45"/>
    <w:rsid w:val="0056615B"/>
    <w:rsid w:val="00567894"/>
    <w:rsid w:val="00567DFB"/>
    <w:rsid w:val="00571DAA"/>
    <w:rsid w:val="00572210"/>
    <w:rsid w:val="0058129D"/>
    <w:rsid w:val="00590144"/>
    <w:rsid w:val="0059131E"/>
    <w:rsid w:val="00594AAF"/>
    <w:rsid w:val="00594C7F"/>
    <w:rsid w:val="0059682C"/>
    <w:rsid w:val="005A64DD"/>
    <w:rsid w:val="005B09F0"/>
    <w:rsid w:val="005B0CED"/>
    <w:rsid w:val="005B1D0A"/>
    <w:rsid w:val="005B3DB3"/>
    <w:rsid w:val="005B528A"/>
    <w:rsid w:val="005B7334"/>
    <w:rsid w:val="005C1117"/>
    <w:rsid w:val="005C4BC4"/>
    <w:rsid w:val="005C4CB5"/>
    <w:rsid w:val="005D0C6C"/>
    <w:rsid w:val="005D1BB4"/>
    <w:rsid w:val="005D3276"/>
    <w:rsid w:val="005E5946"/>
    <w:rsid w:val="005F39EB"/>
    <w:rsid w:val="005F3A39"/>
    <w:rsid w:val="005F5C2F"/>
    <w:rsid w:val="005F7BB1"/>
    <w:rsid w:val="00602490"/>
    <w:rsid w:val="00603E3C"/>
    <w:rsid w:val="00611ECF"/>
    <w:rsid w:val="00611FC4"/>
    <w:rsid w:val="00612812"/>
    <w:rsid w:val="006176FB"/>
    <w:rsid w:val="00626B06"/>
    <w:rsid w:val="006279AC"/>
    <w:rsid w:val="006320C1"/>
    <w:rsid w:val="0063419C"/>
    <w:rsid w:val="0063483B"/>
    <w:rsid w:val="00635381"/>
    <w:rsid w:val="00636986"/>
    <w:rsid w:val="00637542"/>
    <w:rsid w:val="00640B26"/>
    <w:rsid w:val="00641194"/>
    <w:rsid w:val="00645A0B"/>
    <w:rsid w:val="0064618C"/>
    <w:rsid w:val="006500BA"/>
    <w:rsid w:val="006506DB"/>
    <w:rsid w:val="00662121"/>
    <w:rsid w:val="00662E09"/>
    <w:rsid w:val="00663B7D"/>
    <w:rsid w:val="00670CF0"/>
    <w:rsid w:val="00675F87"/>
    <w:rsid w:val="006869F7"/>
    <w:rsid w:val="00690CD6"/>
    <w:rsid w:val="006970FC"/>
    <w:rsid w:val="006A1D2A"/>
    <w:rsid w:val="006A3932"/>
    <w:rsid w:val="006A63E3"/>
    <w:rsid w:val="006A7392"/>
    <w:rsid w:val="006B1C55"/>
    <w:rsid w:val="006C0D34"/>
    <w:rsid w:val="006C251B"/>
    <w:rsid w:val="006C2F7E"/>
    <w:rsid w:val="006D3560"/>
    <w:rsid w:val="006D5C98"/>
    <w:rsid w:val="006E3B65"/>
    <w:rsid w:val="006E564B"/>
    <w:rsid w:val="007025C0"/>
    <w:rsid w:val="00707F04"/>
    <w:rsid w:val="007100F3"/>
    <w:rsid w:val="00711637"/>
    <w:rsid w:val="00714F4F"/>
    <w:rsid w:val="0072632A"/>
    <w:rsid w:val="00726FDB"/>
    <w:rsid w:val="00727A3C"/>
    <w:rsid w:val="00727E85"/>
    <w:rsid w:val="00733418"/>
    <w:rsid w:val="00733B3F"/>
    <w:rsid w:val="00736E6A"/>
    <w:rsid w:val="00741F59"/>
    <w:rsid w:val="0074697D"/>
    <w:rsid w:val="00753649"/>
    <w:rsid w:val="00755AE1"/>
    <w:rsid w:val="00755EBE"/>
    <w:rsid w:val="00761619"/>
    <w:rsid w:val="0076177C"/>
    <w:rsid w:val="00763C33"/>
    <w:rsid w:val="00764269"/>
    <w:rsid w:val="00765543"/>
    <w:rsid w:val="00766322"/>
    <w:rsid w:val="00770BCD"/>
    <w:rsid w:val="00771904"/>
    <w:rsid w:val="00773353"/>
    <w:rsid w:val="00774129"/>
    <w:rsid w:val="00774E8F"/>
    <w:rsid w:val="00774EAA"/>
    <w:rsid w:val="0078123B"/>
    <w:rsid w:val="00781834"/>
    <w:rsid w:val="00781B57"/>
    <w:rsid w:val="00784B60"/>
    <w:rsid w:val="00786434"/>
    <w:rsid w:val="00790791"/>
    <w:rsid w:val="00791DD9"/>
    <w:rsid w:val="00796F36"/>
    <w:rsid w:val="007A260A"/>
    <w:rsid w:val="007A2CDB"/>
    <w:rsid w:val="007A5500"/>
    <w:rsid w:val="007A62EC"/>
    <w:rsid w:val="007B1A7E"/>
    <w:rsid w:val="007B2BA8"/>
    <w:rsid w:val="007B6BA5"/>
    <w:rsid w:val="007C2C0D"/>
    <w:rsid w:val="007C3162"/>
    <w:rsid w:val="007C3390"/>
    <w:rsid w:val="007C4F4B"/>
    <w:rsid w:val="007C644D"/>
    <w:rsid w:val="007D7BC6"/>
    <w:rsid w:val="007E4A8E"/>
    <w:rsid w:val="007E4BD3"/>
    <w:rsid w:val="007E5D7C"/>
    <w:rsid w:val="007F2A54"/>
    <w:rsid w:val="007F5104"/>
    <w:rsid w:val="007F6611"/>
    <w:rsid w:val="007F7721"/>
    <w:rsid w:val="00800024"/>
    <w:rsid w:val="008037A2"/>
    <w:rsid w:val="00806EE5"/>
    <w:rsid w:val="00812215"/>
    <w:rsid w:val="0081583D"/>
    <w:rsid w:val="00816582"/>
    <w:rsid w:val="008175E9"/>
    <w:rsid w:val="00820A2D"/>
    <w:rsid w:val="00822A9E"/>
    <w:rsid w:val="008242D7"/>
    <w:rsid w:val="00826C09"/>
    <w:rsid w:val="0083043E"/>
    <w:rsid w:val="0083069A"/>
    <w:rsid w:val="00832A1D"/>
    <w:rsid w:val="00834479"/>
    <w:rsid w:val="00843AB2"/>
    <w:rsid w:val="0084528B"/>
    <w:rsid w:val="00846809"/>
    <w:rsid w:val="008523EF"/>
    <w:rsid w:val="00854A1F"/>
    <w:rsid w:val="00857789"/>
    <w:rsid w:val="00860529"/>
    <w:rsid w:val="0086107D"/>
    <w:rsid w:val="00864251"/>
    <w:rsid w:val="00864536"/>
    <w:rsid w:val="00866D1D"/>
    <w:rsid w:val="00866EBB"/>
    <w:rsid w:val="00871FD5"/>
    <w:rsid w:val="00881213"/>
    <w:rsid w:val="008830CC"/>
    <w:rsid w:val="00894156"/>
    <w:rsid w:val="008979B1"/>
    <w:rsid w:val="008A0B75"/>
    <w:rsid w:val="008A1542"/>
    <w:rsid w:val="008A6B25"/>
    <w:rsid w:val="008A6C4F"/>
    <w:rsid w:val="008A7679"/>
    <w:rsid w:val="008A7AB3"/>
    <w:rsid w:val="008B65AB"/>
    <w:rsid w:val="008B65FB"/>
    <w:rsid w:val="008C3B3C"/>
    <w:rsid w:val="008C4283"/>
    <w:rsid w:val="008C6671"/>
    <w:rsid w:val="008C74C3"/>
    <w:rsid w:val="008C7BF7"/>
    <w:rsid w:val="008D134F"/>
    <w:rsid w:val="008D3C75"/>
    <w:rsid w:val="008D6942"/>
    <w:rsid w:val="008E0E46"/>
    <w:rsid w:val="008E1DAE"/>
    <w:rsid w:val="008E295A"/>
    <w:rsid w:val="008E6FDC"/>
    <w:rsid w:val="008F2D9A"/>
    <w:rsid w:val="008F2FF0"/>
    <w:rsid w:val="008F44B8"/>
    <w:rsid w:val="008F504A"/>
    <w:rsid w:val="00904EBC"/>
    <w:rsid w:val="009065B3"/>
    <w:rsid w:val="00913D02"/>
    <w:rsid w:val="009204B6"/>
    <w:rsid w:val="00923019"/>
    <w:rsid w:val="00924B63"/>
    <w:rsid w:val="00932E88"/>
    <w:rsid w:val="009363B6"/>
    <w:rsid w:val="00940F46"/>
    <w:rsid w:val="00941ECC"/>
    <w:rsid w:val="00945A5D"/>
    <w:rsid w:val="00946A0D"/>
    <w:rsid w:val="00955109"/>
    <w:rsid w:val="00963B67"/>
    <w:rsid w:val="00963CBA"/>
    <w:rsid w:val="00964682"/>
    <w:rsid w:val="0097008E"/>
    <w:rsid w:val="009701ED"/>
    <w:rsid w:val="00971449"/>
    <w:rsid w:val="009715AF"/>
    <w:rsid w:val="009812F7"/>
    <w:rsid w:val="00984471"/>
    <w:rsid w:val="00985F37"/>
    <w:rsid w:val="00986100"/>
    <w:rsid w:val="009874A5"/>
    <w:rsid w:val="009879EA"/>
    <w:rsid w:val="009908A5"/>
    <w:rsid w:val="0099124E"/>
    <w:rsid w:val="00991261"/>
    <w:rsid w:val="00994DEE"/>
    <w:rsid w:val="009953D5"/>
    <w:rsid w:val="00995C73"/>
    <w:rsid w:val="009A1D29"/>
    <w:rsid w:val="009A2CFB"/>
    <w:rsid w:val="009C6394"/>
    <w:rsid w:val="009D0E2A"/>
    <w:rsid w:val="009D0F0E"/>
    <w:rsid w:val="009D1AAE"/>
    <w:rsid w:val="009D4C3D"/>
    <w:rsid w:val="009D634E"/>
    <w:rsid w:val="009E1560"/>
    <w:rsid w:val="009F0F06"/>
    <w:rsid w:val="009F221C"/>
    <w:rsid w:val="009F25EB"/>
    <w:rsid w:val="009F4FC5"/>
    <w:rsid w:val="00A11F98"/>
    <w:rsid w:val="00A1427D"/>
    <w:rsid w:val="00A235F1"/>
    <w:rsid w:val="00A34B00"/>
    <w:rsid w:val="00A3777A"/>
    <w:rsid w:val="00A50077"/>
    <w:rsid w:val="00A54CA8"/>
    <w:rsid w:val="00A60196"/>
    <w:rsid w:val="00A611EB"/>
    <w:rsid w:val="00A6199C"/>
    <w:rsid w:val="00A622AF"/>
    <w:rsid w:val="00A627E4"/>
    <w:rsid w:val="00A65F4A"/>
    <w:rsid w:val="00A66636"/>
    <w:rsid w:val="00A72F22"/>
    <w:rsid w:val="00A739E7"/>
    <w:rsid w:val="00A744D7"/>
    <w:rsid w:val="00A748A6"/>
    <w:rsid w:val="00A749BE"/>
    <w:rsid w:val="00A74A46"/>
    <w:rsid w:val="00A75EC9"/>
    <w:rsid w:val="00A776C3"/>
    <w:rsid w:val="00A810D4"/>
    <w:rsid w:val="00A83451"/>
    <w:rsid w:val="00A83538"/>
    <w:rsid w:val="00A84506"/>
    <w:rsid w:val="00A8523D"/>
    <w:rsid w:val="00A879A4"/>
    <w:rsid w:val="00A91A15"/>
    <w:rsid w:val="00A93BE8"/>
    <w:rsid w:val="00A9532E"/>
    <w:rsid w:val="00AA1D9A"/>
    <w:rsid w:val="00AA32EB"/>
    <w:rsid w:val="00AB2219"/>
    <w:rsid w:val="00AB2910"/>
    <w:rsid w:val="00AB382F"/>
    <w:rsid w:val="00AB4CF1"/>
    <w:rsid w:val="00AC46BA"/>
    <w:rsid w:val="00AD34EE"/>
    <w:rsid w:val="00AD7C88"/>
    <w:rsid w:val="00AE45DE"/>
    <w:rsid w:val="00AF0878"/>
    <w:rsid w:val="00AF29E1"/>
    <w:rsid w:val="00AF2F9D"/>
    <w:rsid w:val="00AF6710"/>
    <w:rsid w:val="00B013E6"/>
    <w:rsid w:val="00B04D66"/>
    <w:rsid w:val="00B10C19"/>
    <w:rsid w:val="00B1157C"/>
    <w:rsid w:val="00B1501F"/>
    <w:rsid w:val="00B15BEE"/>
    <w:rsid w:val="00B1699D"/>
    <w:rsid w:val="00B23DE0"/>
    <w:rsid w:val="00B26710"/>
    <w:rsid w:val="00B26B3C"/>
    <w:rsid w:val="00B30179"/>
    <w:rsid w:val="00B304E1"/>
    <w:rsid w:val="00B3317B"/>
    <w:rsid w:val="00B35D87"/>
    <w:rsid w:val="00B41384"/>
    <w:rsid w:val="00B416FD"/>
    <w:rsid w:val="00B4398E"/>
    <w:rsid w:val="00B5392B"/>
    <w:rsid w:val="00B679CB"/>
    <w:rsid w:val="00B71E2B"/>
    <w:rsid w:val="00B73DA8"/>
    <w:rsid w:val="00B74F7C"/>
    <w:rsid w:val="00B7515B"/>
    <w:rsid w:val="00B75E05"/>
    <w:rsid w:val="00B81E12"/>
    <w:rsid w:val="00B84AAC"/>
    <w:rsid w:val="00B85DAB"/>
    <w:rsid w:val="00B90F54"/>
    <w:rsid w:val="00B91CC3"/>
    <w:rsid w:val="00B92A0C"/>
    <w:rsid w:val="00B93068"/>
    <w:rsid w:val="00BB176D"/>
    <w:rsid w:val="00BB3B28"/>
    <w:rsid w:val="00BB710F"/>
    <w:rsid w:val="00BB7926"/>
    <w:rsid w:val="00BB7C15"/>
    <w:rsid w:val="00BC74E9"/>
    <w:rsid w:val="00BD15A2"/>
    <w:rsid w:val="00BD2077"/>
    <w:rsid w:val="00BE1FF8"/>
    <w:rsid w:val="00BE50CA"/>
    <w:rsid w:val="00BE618E"/>
    <w:rsid w:val="00C020E0"/>
    <w:rsid w:val="00C0263F"/>
    <w:rsid w:val="00C03B44"/>
    <w:rsid w:val="00C05987"/>
    <w:rsid w:val="00C102D3"/>
    <w:rsid w:val="00C10822"/>
    <w:rsid w:val="00C10880"/>
    <w:rsid w:val="00C13A85"/>
    <w:rsid w:val="00C218A4"/>
    <w:rsid w:val="00C31519"/>
    <w:rsid w:val="00C36D37"/>
    <w:rsid w:val="00C40ACB"/>
    <w:rsid w:val="00C463DD"/>
    <w:rsid w:val="00C46D5B"/>
    <w:rsid w:val="00C50060"/>
    <w:rsid w:val="00C537D5"/>
    <w:rsid w:val="00C62F76"/>
    <w:rsid w:val="00C647F5"/>
    <w:rsid w:val="00C660D8"/>
    <w:rsid w:val="00C66D78"/>
    <w:rsid w:val="00C745C3"/>
    <w:rsid w:val="00C759C1"/>
    <w:rsid w:val="00C75B50"/>
    <w:rsid w:val="00C81212"/>
    <w:rsid w:val="00C82C47"/>
    <w:rsid w:val="00C847DC"/>
    <w:rsid w:val="00C84FF1"/>
    <w:rsid w:val="00C91180"/>
    <w:rsid w:val="00C91D73"/>
    <w:rsid w:val="00C93C11"/>
    <w:rsid w:val="00C93CD0"/>
    <w:rsid w:val="00C971F6"/>
    <w:rsid w:val="00CA049C"/>
    <w:rsid w:val="00CA381C"/>
    <w:rsid w:val="00CA74D3"/>
    <w:rsid w:val="00CB2158"/>
    <w:rsid w:val="00CB6380"/>
    <w:rsid w:val="00CB676E"/>
    <w:rsid w:val="00CC4CA6"/>
    <w:rsid w:val="00CD0009"/>
    <w:rsid w:val="00CD2CE2"/>
    <w:rsid w:val="00CD30EE"/>
    <w:rsid w:val="00CD3225"/>
    <w:rsid w:val="00CD35E8"/>
    <w:rsid w:val="00CE4083"/>
    <w:rsid w:val="00CE46BA"/>
    <w:rsid w:val="00CE4A8F"/>
    <w:rsid w:val="00CE74ED"/>
    <w:rsid w:val="00CF4FE1"/>
    <w:rsid w:val="00CF5A6F"/>
    <w:rsid w:val="00CF686F"/>
    <w:rsid w:val="00CF6F32"/>
    <w:rsid w:val="00CF778D"/>
    <w:rsid w:val="00D0631B"/>
    <w:rsid w:val="00D06C3A"/>
    <w:rsid w:val="00D164BA"/>
    <w:rsid w:val="00D2031B"/>
    <w:rsid w:val="00D2256D"/>
    <w:rsid w:val="00D25E8C"/>
    <w:rsid w:val="00D25FE2"/>
    <w:rsid w:val="00D27E89"/>
    <w:rsid w:val="00D37E80"/>
    <w:rsid w:val="00D41F04"/>
    <w:rsid w:val="00D42A91"/>
    <w:rsid w:val="00D43252"/>
    <w:rsid w:val="00D45B7A"/>
    <w:rsid w:val="00D46231"/>
    <w:rsid w:val="00D4706B"/>
    <w:rsid w:val="00D477C4"/>
    <w:rsid w:val="00D5409C"/>
    <w:rsid w:val="00D56F37"/>
    <w:rsid w:val="00D57C13"/>
    <w:rsid w:val="00D57FD9"/>
    <w:rsid w:val="00D610C1"/>
    <w:rsid w:val="00D658FA"/>
    <w:rsid w:val="00D71021"/>
    <w:rsid w:val="00D730E3"/>
    <w:rsid w:val="00D73479"/>
    <w:rsid w:val="00D753D8"/>
    <w:rsid w:val="00D9274F"/>
    <w:rsid w:val="00D96248"/>
    <w:rsid w:val="00D96CC5"/>
    <w:rsid w:val="00D978C6"/>
    <w:rsid w:val="00D97B77"/>
    <w:rsid w:val="00DA2CAB"/>
    <w:rsid w:val="00DA6620"/>
    <w:rsid w:val="00DA67AD"/>
    <w:rsid w:val="00DB0E8A"/>
    <w:rsid w:val="00DD42A0"/>
    <w:rsid w:val="00DD4A90"/>
    <w:rsid w:val="00DD569E"/>
    <w:rsid w:val="00DE236F"/>
    <w:rsid w:val="00DE3ECB"/>
    <w:rsid w:val="00DE4785"/>
    <w:rsid w:val="00DE551A"/>
    <w:rsid w:val="00DE7267"/>
    <w:rsid w:val="00DF0A4D"/>
    <w:rsid w:val="00DF3039"/>
    <w:rsid w:val="00DF3A04"/>
    <w:rsid w:val="00DF4518"/>
    <w:rsid w:val="00DF4C14"/>
    <w:rsid w:val="00DF4D02"/>
    <w:rsid w:val="00DF69A6"/>
    <w:rsid w:val="00E05F2D"/>
    <w:rsid w:val="00E06A75"/>
    <w:rsid w:val="00E130AB"/>
    <w:rsid w:val="00E1679E"/>
    <w:rsid w:val="00E239A0"/>
    <w:rsid w:val="00E24C7C"/>
    <w:rsid w:val="00E25B72"/>
    <w:rsid w:val="00E31802"/>
    <w:rsid w:val="00E34E58"/>
    <w:rsid w:val="00E36838"/>
    <w:rsid w:val="00E36C10"/>
    <w:rsid w:val="00E36F91"/>
    <w:rsid w:val="00E40B76"/>
    <w:rsid w:val="00E42461"/>
    <w:rsid w:val="00E42E4C"/>
    <w:rsid w:val="00E4443D"/>
    <w:rsid w:val="00E45B25"/>
    <w:rsid w:val="00E52EB0"/>
    <w:rsid w:val="00E530DE"/>
    <w:rsid w:val="00E54352"/>
    <w:rsid w:val="00E54ACE"/>
    <w:rsid w:val="00E558B2"/>
    <w:rsid w:val="00E5644E"/>
    <w:rsid w:val="00E5691C"/>
    <w:rsid w:val="00E60903"/>
    <w:rsid w:val="00E631BA"/>
    <w:rsid w:val="00E63481"/>
    <w:rsid w:val="00E63DE8"/>
    <w:rsid w:val="00E6613A"/>
    <w:rsid w:val="00E66140"/>
    <w:rsid w:val="00E707B6"/>
    <w:rsid w:val="00E70D0B"/>
    <w:rsid w:val="00E7260F"/>
    <w:rsid w:val="00E730D8"/>
    <w:rsid w:val="00E774D0"/>
    <w:rsid w:val="00E77E40"/>
    <w:rsid w:val="00E81230"/>
    <w:rsid w:val="00E8535A"/>
    <w:rsid w:val="00E864BE"/>
    <w:rsid w:val="00E90647"/>
    <w:rsid w:val="00E92005"/>
    <w:rsid w:val="00E921C9"/>
    <w:rsid w:val="00E92806"/>
    <w:rsid w:val="00E93D58"/>
    <w:rsid w:val="00E96630"/>
    <w:rsid w:val="00EA0364"/>
    <w:rsid w:val="00EA2944"/>
    <w:rsid w:val="00EA48C4"/>
    <w:rsid w:val="00EA6E9E"/>
    <w:rsid w:val="00EA772F"/>
    <w:rsid w:val="00EB1224"/>
    <w:rsid w:val="00EB1E19"/>
    <w:rsid w:val="00EB2AE3"/>
    <w:rsid w:val="00EB4C06"/>
    <w:rsid w:val="00EB51D5"/>
    <w:rsid w:val="00EB65EF"/>
    <w:rsid w:val="00EB6832"/>
    <w:rsid w:val="00EB71BA"/>
    <w:rsid w:val="00EB798F"/>
    <w:rsid w:val="00EC14E9"/>
    <w:rsid w:val="00EC1F27"/>
    <w:rsid w:val="00EC271A"/>
    <w:rsid w:val="00EC2C88"/>
    <w:rsid w:val="00EC329B"/>
    <w:rsid w:val="00EC3F47"/>
    <w:rsid w:val="00EC6BFD"/>
    <w:rsid w:val="00EC755A"/>
    <w:rsid w:val="00ED02CF"/>
    <w:rsid w:val="00ED06E9"/>
    <w:rsid w:val="00ED321F"/>
    <w:rsid w:val="00ED3508"/>
    <w:rsid w:val="00ED3F1A"/>
    <w:rsid w:val="00ED3F6F"/>
    <w:rsid w:val="00ED7A2A"/>
    <w:rsid w:val="00EE4D59"/>
    <w:rsid w:val="00EE4FA9"/>
    <w:rsid w:val="00EE73C3"/>
    <w:rsid w:val="00EF1D7F"/>
    <w:rsid w:val="00EF4AAC"/>
    <w:rsid w:val="00EF5593"/>
    <w:rsid w:val="00EF7725"/>
    <w:rsid w:val="00F01C57"/>
    <w:rsid w:val="00F03FA2"/>
    <w:rsid w:val="00F05283"/>
    <w:rsid w:val="00F074A4"/>
    <w:rsid w:val="00F07537"/>
    <w:rsid w:val="00F07E12"/>
    <w:rsid w:val="00F1200D"/>
    <w:rsid w:val="00F21951"/>
    <w:rsid w:val="00F24845"/>
    <w:rsid w:val="00F257D1"/>
    <w:rsid w:val="00F279DB"/>
    <w:rsid w:val="00F30A8A"/>
    <w:rsid w:val="00F34267"/>
    <w:rsid w:val="00F3574D"/>
    <w:rsid w:val="00F40295"/>
    <w:rsid w:val="00F40E75"/>
    <w:rsid w:val="00F412D3"/>
    <w:rsid w:val="00F444E3"/>
    <w:rsid w:val="00F45866"/>
    <w:rsid w:val="00F5087E"/>
    <w:rsid w:val="00F51BAB"/>
    <w:rsid w:val="00F535BE"/>
    <w:rsid w:val="00F54674"/>
    <w:rsid w:val="00F60A29"/>
    <w:rsid w:val="00F62E87"/>
    <w:rsid w:val="00F64C95"/>
    <w:rsid w:val="00F72885"/>
    <w:rsid w:val="00F75DB9"/>
    <w:rsid w:val="00F75E96"/>
    <w:rsid w:val="00F775E7"/>
    <w:rsid w:val="00F811FA"/>
    <w:rsid w:val="00F82E22"/>
    <w:rsid w:val="00F87796"/>
    <w:rsid w:val="00FA00A0"/>
    <w:rsid w:val="00FA3FB7"/>
    <w:rsid w:val="00FB5A37"/>
    <w:rsid w:val="00FB7793"/>
    <w:rsid w:val="00FB7CB9"/>
    <w:rsid w:val="00FC0B03"/>
    <w:rsid w:val="00FC18AA"/>
    <w:rsid w:val="00FC215C"/>
    <w:rsid w:val="00FC2A3F"/>
    <w:rsid w:val="00FC34FD"/>
    <w:rsid w:val="00FC3570"/>
    <w:rsid w:val="00FC68B7"/>
    <w:rsid w:val="00FD3C5D"/>
    <w:rsid w:val="00FD3E70"/>
    <w:rsid w:val="00FD6B2B"/>
    <w:rsid w:val="00FE3EEA"/>
    <w:rsid w:val="00FF03BB"/>
    <w:rsid w:val="00FF071A"/>
    <w:rsid w:val="00FF51FB"/>
    <w:rsid w:val="00FF67F6"/>
    <w:rsid w:val="00FF6F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7175"/>
  <w15:docId w15:val="{252D73F4-4A60-4D8D-B4F9-FD79E40C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 w:type="character" w:customStyle="1" w:styleId="Heading2Char">
    <w:name w:val="Heading 2 Char"/>
    <w:basedOn w:val="DefaultParagraphFont"/>
    <w:link w:val="Heading2"/>
    <w:rsid w:val="002221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0506">
      <w:bodyDiv w:val="1"/>
      <w:marLeft w:val="0"/>
      <w:marRight w:val="0"/>
      <w:marTop w:val="0"/>
      <w:marBottom w:val="0"/>
      <w:divBdr>
        <w:top w:val="none" w:sz="0" w:space="0" w:color="auto"/>
        <w:left w:val="none" w:sz="0" w:space="0" w:color="auto"/>
        <w:bottom w:val="none" w:sz="0" w:space="0" w:color="auto"/>
        <w:right w:val="none" w:sz="0" w:space="0" w:color="auto"/>
      </w:divBdr>
    </w:div>
    <w:div w:id="111021851">
      <w:bodyDiv w:val="1"/>
      <w:marLeft w:val="0"/>
      <w:marRight w:val="0"/>
      <w:marTop w:val="0"/>
      <w:marBottom w:val="0"/>
      <w:divBdr>
        <w:top w:val="none" w:sz="0" w:space="0" w:color="auto"/>
        <w:left w:val="none" w:sz="0" w:space="0" w:color="auto"/>
        <w:bottom w:val="none" w:sz="0" w:space="0" w:color="auto"/>
        <w:right w:val="none" w:sz="0" w:space="0" w:color="auto"/>
      </w:divBdr>
    </w:div>
    <w:div w:id="13954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5E1E-738A-40A7-8375-68324C981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FD1E7-1102-4D34-AC1B-DC991CB3E8A7}">
  <ds:schemaRefs>
    <ds:schemaRef ds:uri="http://schemas.microsoft.com/sharepoint/v3/contenttype/forms"/>
  </ds:schemaRefs>
</ds:datastoreItem>
</file>

<file path=customXml/itemProps3.xml><?xml version="1.0" encoding="utf-8"?>
<ds:datastoreItem xmlns:ds="http://schemas.openxmlformats.org/officeDocument/2006/customXml" ds:itemID="{06C305C5-62DA-4C24-AEC6-B7B2DD465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25BE7-D6A1-49EC-8493-2F2AD0F9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10</cp:revision>
  <cp:lastPrinted>2018-10-12T07:11:00Z</cp:lastPrinted>
  <dcterms:created xsi:type="dcterms:W3CDTF">2020-11-05T15:04:00Z</dcterms:created>
  <dcterms:modified xsi:type="dcterms:W3CDTF">2020-11-06T11:04:00Z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