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687757" w14:paraId="56F665EB" w14:textId="77777777" w:rsidTr="00FA63B2">
        <w:trPr>
          <w:cantSplit/>
          <w:trHeight w:hRule="exact" w:val="851"/>
        </w:trPr>
        <w:tc>
          <w:tcPr>
            <w:tcW w:w="9072" w:type="dxa"/>
            <w:tcBorders>
              <w:bottom w:val="single" w:sz="4" w:space="0" w:color="auto"/>
            </w:tcBorders>
            <w:vAlign w:val="bottom"/>
          </w:tcPr>
          <w:p w14:paraId="5DBDD738" w14:textId="49A02E6E" w:rsidR="00717408" w:rsidRPr="00687757" w:rsidRDefault="00FA63B2" w:rsidP="00D660CB">
            <w:pPr>
              <w:jc w:val="right"/>
              <w:rPr>
                <w:b/>
                <w:sz w:val="40"/>
                <w:szCs w:val="40"/>
              </w:rPr>
            </w:pPr>
            <w:r w:rsidRPr="00687757">
              <w:rPr>
                <w:b/>
                <w:sz w:val="40"/>
                <w:szCs w:val="40"/>
              </w:rPr>
              <w:t>UN/SCEGHS/</w:t>
            </w:r>
            <w:r w:rsidR="000B6ACF" w:rsidRPr="00687757">
              <w:rPr>
                <w:b/>
                <w:sz w:val="40"/>
                <w:szCs w:val="40"/>
              </w:rPr>
              <w:t>39</w:t>
            </w:r>
            <w:r w:rsidRPr="00687757">
              <w:rPr>
                <w:b/>
                <w:sz w:val="40"/>
                <w:szCs w:val="40"/>
              </w:rPr>
              <w:t>/INF.</w:t>
            </w:r>
            <w:r w:rsidR="003E118F">
              <w:rPr>
                <w:b/>
                <w:sz w:val="40"/>
                <w:szCs w:val="40"/>
              </w:rPr>
              <w:t>15</w:t>
            </w:r>
          </w:p>
        </w:tc>
      </w:tr>
      <w:tr w:rsidR="00717408" w14:paraId="5A401C9D" w14:textId="77777777" w:rsidTr="00FA63B2">
        <w:trPr>
          <w:cantSplit/>
          <w:trHeight w:hRule="exact" w:val="3114"/>
        </w:trPr>
        <w:tc>
          <w:tcPr>
            <w:tcW w:w="9072" w:type="dxa"/>
            <w:tcBorders>
              <w:top w:val="single" w:sz="4" w:space="0" w:color="auto"/>
            </w:tcBorders>
          </w:tcPr>
          <w:p w14:paraId="45B0DBC3" w14:textId="77777777" w:rsidR="00717408" w:rsidRPr="00AD0D70" w:rsidRDefault="00717408" w:rsidP="00FA63B2">
            <w:pPr>
              <w:spacing w:before="120"/>
              <w:rPr>
                <w:b/>
                <w:sz w:val="24"/>
                <w:szCs w:val="24"/>
              </w:rPr>
            </w:pPr>
            <w:r w:rsidRPr="00AD0D70">
              <w:rPr>
                <w:b/>
                <w:sz w:val="24"/>
                <w:szCs w:val="24"/>
              </w:rPr>
              <w:t>Committee of Experts on the Transport of Dangerous Goods</w:t>
            </w:r>
            <w:r w:rsidRPr="00AD0D70">
              <w:rPr>
                <w:b/>
                <w:sz w:val="24"/>
                <w:szCs w:val="24"/>
              </w:rPr>
              <w:br/>
              <w:t>and on the Globally Harmonized System of Classification</w:t>
            </w:r>
            <w:r w:rsidRPr="00AD0D70">
              <w:rPr>
                <w:b/>
                <w:sz w:val="24"/>
                <w:szCs w:val="24"/>
              </w:rPr>
              <w:br/>
              <w:t>and Labelling of Chemicals</w:t>
            </w:r>
          </w:p>
          <w:p w14:paraId="2CEB9731" w14:textId="5A309325" w:rsidR="00717408" w:rsidRPr="003E118F" w:rsidRDefault="00FA63B2" w:rsidP="003E118F">
            <w:pPr>
              <w:tabs>
                <w:tab w:val="left" w:pos="7230"/>
              </w:tabs>
              <w:spacing w:before="120"/>
              <w:rPr>
                <w:b/>
                <w:bCs/>
              </w:rPr>
            </w:pPr>
            <w:r w:rsidRPr="00AD0D70">
              <w:rPr>
                <w:b/>
                <w:lang w:val="en-US"/>
              </w:rPr>
              <w:t>Sub-Committee of Experts on the Globally Harmonized</w:t>
            </w:r>
            <w:r w:rsidRPr="00AD0D70">
              <w:rPr>
                <w:b/>
                <w:lang w:val="en-US"/>
              </w:rPr>
              <w:br/>
              <w:t>System of Classification and Labelling of Chemicals</w:t>
            </w:r>
            <w:r w:rsidRPr="00AD0D70">
              <w:t xml:space="preserve"> </w:t>
            </w:r>
            <w:r w:rsidR="00717408" w:rsidRPr="00AD0D70">
              <w:tab/>
            </w:r>
            <w:r w:rsidR="00E9728B" w:rsidRPr="003E118F">
              <w:rPr>
                <w:b/>
                <w:bCs/>
              </w:rPr>
              <w:t>1</w:t>
            </w:r>
            <w:r w:rsidR="00A2748B" w:rsidRPr="003E118F">
              <w:rPr>
                <w:b/>
                <w:bCs/>
              </w:rPr>
              <w:t>5</w:t>
            </w:r>
            <w:r w:rsidR="009F772D" w:rsidRPr="003E118F">
              <w:rPr>
                <w:b/>
                <w:bCs/>
              </w:rPr>
              <w:t xml:space="preserve"> </w:t>
            </w:r>
            <w:r w:rsidR="003E118F" w:rsidRPr="003E118F">
              <w:rPr>
                <w:b/>
                <w:bCs/>
              </w:rPr>
              <w:t xml:space="preserve">September </w:t>
            </w:r>
            <w:r w:rsidR="000B6ACF" w:rsidRPr="003E118F">
              <w:rPr>
                <w:b/>
                <w:bCs/>
              </w:rPr>
              <w:t>2020</w:t>
            </w:r>
          </w:p>
          <w:p w14:paraId="6513F3FD" w14:textId="77777777" w:rsidR="000B6ACF" w:rsidRPr="00AD0D70" w:rsidRDefault="000B6ACF" w:rsidP="000B6ACF">
            <w:pPr>
              <w:spacing w:before="120"/>
              <w:rPr>
                <w:b/>
              </w:rPr>
            </w:pPr>
            <w:bookmarkStart w:id="0" w:name="_Hlk35441056"/>
            <w:r w:rsidRPr="00AD0D70">
              <w:rPr>
                <w:b/>
              </w:rPr>
              <w:t>Thirty-ninth session</w:t>
            </w:r>
          </w:p>
          <w:bookmarkEnd w:id="0"/>
          <w:p w14:paraId="49840BCC" w14:textId="27C0FEFE" w:rsidR="000B6ACF" w:rsidRPr="00BB16C9" w:rsidRDefault="000B6ACF" w:rsidP="000B6ACF">
            <w:r w:rsidRPr="00BB16C9">
              <w:t xml:space="preserve">Geneva, </w:t>
            </w:r>
            <w:r w:rsidR="003E118F" w:rsidRPr="00BB16C9">
              <w:t>9-11</w:t>
            </w:r>
            <w:r w:rsidRPr="00BB16C9">
              <w:t xml:space="preserve"> </w:t>
            </w:r>
            <w:r w:rsidR="003E118F" w:rsidRPr="00BB16C9">
              <w:t xml:space="preserve">December </w:t>
            </w:r>
            <w:r w:rsidRPr="00BB16C9">
              <w:t xml:space="preserve">2020 </w:t>
            </w:r>
          </w:p>
          <w:p w14:paraId="1C41EB2C" w14:textId="16F4175F" w:rsidR="00EF6381" w:rsidRPr="00BB16C9" w:rsidRDefault="00EF6381" w:rsidP="00EF6381">
            <w:r w:rsidRPr="00BB16C9">
              <w:t xml:space="preserve">Item </w:t>
            </w:r>
            <w:r w:rsidR="003E118F" w:rsidRPr="00BB16C9">
              <w:t>8</w:t>
            </w:r>
            <w:r w:rsidRPr="00BB16C9">
              <w:t xml:space="preserve"> of the provisional agenda</w:t>
            </w:r>
          </w:p>
          <w:p w14:paraId="27E7A884" w14:textId="2CEF1730" w:rsidR="00EF6381" w:rsidRPr="00BB16C9" w:rsidRDefault="003E118F" w:rsidP="00EF6381">
            <w:pPr>
              <w:rPr>
                <w:b/>
                <w:bCs/>
              </w:rPr>
            </w:pPr>
            <w:r w:rsidRPr="00BB16C9">
              <w:rPr>
                <w:b/>
                <w:bCs/>
              </w:rPr>
              <w:t xml:space="preserve">Programme of work for the biennium </w:t>
            </w:r>
            <w:r w:rsidR="005C24F1" w:rsidRPr="00BB16C9">
              <w:rPr>
                <w:b/>
                <w:bCs/>
              </w:rPr>
              <w:t>2020-2021</w:t>
            </w:r>
          </w:p>
          <w:p w14:paraId="7893D430" w14:textId="552C36DF" w:rsidR="00717408" w:rsidRDefault="00717408" w:rsidP="000B6ACF">
            <w:pPr>
              <w:spacing w:line="240" w:lineRule="exact"/>
            </w:pPr>
          </w:p>
        </w:tc>
      </w:tr>
    </w:tbl>
    <w:p w14:paraId="60643201" w14:textId="16FC9559" w:rsidR="003E118F" w:rsidRPr="004768CC" w:rsidRDefault="00760F29" w:rsidP="003E118F">
      <w:pPr>
        <w:pStyle w:val="HChG"/>
        <w:rPr>
          <w:szCs w:val="28"/>
        </w:rPr>
      </w:pPr>
      <w:r w:rsidRPr="009E7ABD">
        <w:rPr>
          <w:rFonts w:eastAsia="MS Mincho"/>
          <w:lang w:val="en-US" w:eastAsia="ja-JP"/>
        </w:rPr>
        <w:tab/>
      </w:r>
      <w:r w:rsidR="003E118F">
        <w:rPr>
          <w:rFonts w:eastAsia="MS Mincho"/>
          <w:lang w:val="en-US" w:eastAsia="ja-JP"/>
        </w:rPr>
        <w:tab/>
      </w:r>
      <w:r w:rsidR="003E118F" w:rsidRPr="0095309C">
        <w:rPr>
          <w:szCs w:val="28"/>
        </w:rPr>
        <w:t>Clarification of the criteria for classification for skin sensitization using animal studies</w:t>
      </w:r>
    </w:p>
    <w:p w14:paraId="7EDF2E2C" w14:textId="696DBB3F" w:rsidR="003E118F" w:rsidRDefault="003E118F" w:rsidP="003E118F">
      <w:pPr>
        <w:pStyle w:val="H1G"/>
      </w:pPr>
      <w:r>
        <w:tab/>
      </w:r>
      <w:r>
        <w:tab/>
      </w:r>
      <w:r w:rsidRPr="00AE4DC1">
        <w:t xml:space="preserve">Transmitted by </w:t>
      </w:r>
      <w:r w:rsidRPr="00AE4DC1">
        <w:rPr>
          <w:lang w:eastAsia="ja-JP"/>
        </w:rPr>
        <w:t xml:space="preserve">the expert </w:t>
      </w:r>
      <w:r w:rsidRPr="00AE4DC1">
        <w:t xml:space="preserve">from </w:t>
      </w:r>
      <w:r>
        <w:t>Japan</w:t>
      </w:r>
    </w:p>
    <w:p w14:paraId="52FB37B5" w14:textId="77777777" w:rsidR="003E118F" w:rsidRPr="0010697D" w:rsidRDefault="003E118F" w:rsidP="003E118F">
      <w:pPr>
        <w:pStyle w:val="HChG"/>
      </w:pPr>
      <w:r w:rsidRPr="00AE4DC1">
        <w:t xml:space="preserve"> </w:t>
      </w:r>
      <w:r>
        <w:tab/>
      </w:r>
      <w:r>
        <w:tab/>
      </w:r>
      <w:r w:rsidRPr="00E9098E">
        <w:t>Introduction</w:t>
      </w:r>
    </w:p>
    <w:p w14:paraId="0A94FFFC" w14:textId="77777777" w:rsidR="003E118F" w:rsidRPr="0010697D" w:rsidRDefault="003E118F" w:rsidP="003E118F">
      <w:pPr>
        <w:pStyle w:val="SingleTxtG"/>
        <w:tabs>
          <w:tab w:val="left" w:pos="1701"/>
        </w:tabs>
      </w:pPr>
      <w:r>
        <w:t xml:space="preserve">1. </w:t>
      </w:r>
      <w:r>
        <w:tab/>
        <w:t>Japan wishes to thank the secretariat and all delegates to consider and discuss this proposal aimed at clarifying the criteria for classification for skin sensitization using animal studies.</w:t>
      </w:r>
    </w:p>
    <w:p w14:paraId="112D293C" w14:textId="77777777" w:rsidR="003E118F" w:rsidRPr="00B9364E" w:rsidRDefault="003E118F" w:rsidP="003E118F">
      <w:pPr>
        <w:pStyle w:val="SingleTxtG"/>
        <w:tabs>
          <w:tab w:val="left" w:pos="1701"/>
        </w:tabs>
        <w:rPr>
          <w:highlight w:val="lightGray"/>
        </w:rPr>
      </w:pPr>
      <w:r>
        <w:t xml:space="preserve">2. </w:t>
      </w:r>
      <w:r>
        <w:tab/>
        <w:t>Currently, three sensitization test methods, two guinea pig prediction tests, the guinea pig maximization test and the Buehler test, known as the official test guidelines (TG) of the Organization of Economic Cooperation and Development (OECD TG406), and the radioisotopic (RI)- LLNA, known as OECD TG429, are suggested as test methods to classify GHS category 1 chemicals. And these three methods can be further applied for GHS sub-categorization 1A/1B to provide information on the sensitization potency of chemicals.</w:t>
      </w:r>
    </w:p>
    <w:p w14:paraId="0C93AF9A" w14:textId="3A7A7555" w:rsidR="003E118F" w:rsidRPr="00FB126D" w:rsidRDefault="003E118F" w:rsidP="003E118F">
      <w:pPr>
        <w:pStyle w:val="SingleTxtG"/>
        <w:tabs>
          <w:tab w:val="left" w:pos="1701"/>
        </w:tabs>
      </w:pPr>
      <w:r>
        <w:t xml:space="preserve">3.  </w:t>
      </w:r>
      <w:r>
        <w:tab/>
        <w:t>OECD TG442B, LLNA: BrdU-ELISA is a reliable sensitization test method using the same principle to the standard radioisotopic LLNA (LLNA-RI), and the method is given scientific justification by the official validation study and the independent peer review by the ICCVAM</w:t>
      </w:r>
      <w:r>
        <w:rPr>
          <w:rStyle w:val="FootnoteReference"/>
        </w:rPr>
        <w:footnoteReference w:id="1"/>
      </w:r>
      <w:r>
        <w:t>, so it is applicable to classify GHS category 1.  In addition, LLNA: BrdU-ELISA has been used as the conventional skin sensitization test method worldwide and applied also for regulatory purposes in several countries.</w:t>
      </w:r>
    </w:p>
    <w:p w14:paraId="18C46164" w14:textId="7E9BD328" w:rsidR="003E118F" w:rsidRDefault="003E118F" w:rsidP="003E118F">
      <w:pPr>
        <w:pStyle w:val="SingleTxtG"/>
        <w:tabs>
          <w:tab w:val="left" w:pos="1701"/>
        </w:tabs>
      </w:pPr>
      <w:r w:rsidRPr="00DA050D">
        <w:t>4.</w:t>
      </w:r>
      <w:r w:rsidRPr="00DA050D">
        <w:tab/>
        <w:t>Recently Japanese researchers re-analysed the existing data of 32 sensitizers used in the peer review process of LLNA: BrdU-ELISA those classified in the 1A or 1B categories of the GHS and attempted to determine optimal criteria for GHS sub-categorization using this method. Consequently, the optimal criterion for the GHS sub-categorization was determined to be 6% when using EC1.6, showing the preferable performance to GHS sub-categorization using the results of LLNA: BrdU-ELISA (Maeda and Takeyoshi, 2019), showing the correct outcomes (%) for GHS 1A and GHS 1B category chemicals were 92.3 and 84.2 for all 32 chemicals, respectively. When excluding 2-mercaptobenzothiazole which may cause a strain-specific low response in this assay system, the correct outcomes (%) for GHS 1A chemicals was 100.</w:t>
      </w:r>
    </w:p>
    <w:p w14:paraId="40D906E1" w14:textId="77777777" w:rsidR="003E118F" w:rsidRDefault="003E118F" w:rsidP="003E118F">
      <w:pPr>
        <w:pStyle w:val="SingleTxtG"/>
        <w:tabs>
          <w:tab w:val="left" w:pos="1701"/>
        </w:tabs>
      </w:pPr>
      <w:r>
        <w:t xml:space="preserve">5. </w:t>
      </w:r>
      <w:r>
        <w:tab/>
        <w:t xml:space="preserve">Further examination to confirm the applicability of the proposed GHS sub-categorization criterion to data derived from the commonly used mouse strain was conducted with fifteen chemicals categorized in GHS hazard category 1A/1B sensitizers listed in the LLNA performance standard (Kobayashi et al., 2020). </w:t>
      </w:r>
    </w:p>
    <w:p w14:paraId="60E9BF80" w14:textId="77777777" w:rsidR="003E118F" w:rsidRPr="003E118F" w:rsidRDefault="003E118F" w:rsidP="003E118F">
      <w:pPr>
        <w:pStyle w:val="SingleTxtG"/>
      </w:pPr>
      <w:r w:rsidRPr="003E118F">
        <w:lastRenderedPageBreak/>
        <w:t>The results revealed that all the GHS 1A or 1B category chemicals could be correctly assigned to the respective 1A and 1B categories using the newly proposed GHS sub-classification criterion.</w:t>
      </w:r>
    </w:p>
    <w:p w14:paraId="02648292" w14:textId="27C0602E" w:rsidR="003E118F" w:rsidRPr="003E118F" w:rsidRDefault="003E118F" w:rsidP="003E118F">
      <w:pPr>
        <w:pStyle w:val="SingleTxtG"/>
      </w:pPr>
      <w:r w:rsidRPr="003E118F">
        <w:t>6. According to the above-mentioned scientific backgrounds, we propose to add a new criterion of the GHS related to the classification criteria of skin sensitizer using the results of animal experiments as follow</w:t>
      </w:r>
      <w:r>
        <w:t>s:</w:t>
      </w:r>
    </w:p>
    <w:p w14:paraId="64F1D22F" w14:textId="77777777" w:rsidR="003E118F" w:rsidRPr="00DD7216" w:rsidRDefault="003E118F" w:rsidP="003E118F">
      <w:pPr>
        <w:pStyle w:val="a"/>
        <w:spacing w:line="260" w:lineRule="exact"/>
        <w:ind w:left="1"/>
        <w:rPr>
          <w:rFonts w:ascii="Times New Roman" w:eastAsiaTheme="minorEastAsia" w:hAnsi="Times New Roman" w:cs="Times New Roman"/>
          <w:szCs w:val="20"/>
        </w:rPr>
      </w:pPr>
      <w:r w:rsidRPr="00DD7216">
        <w:rPr>
          <w:rFonts w:ascii="Times New Roman" w:eastAsiaTheme="minorEastAsia" w:hAnsi="Times New Roman" w:cs="Times New Roman"/>
          <w:szCs w:val="20"/>
        </w:rPr>
        <w:t>GHS sub-categorization criterion for LLNA: BrdU-ELISA</w:t>
      </w:r>
    </w:p>
    <w:tbl>
      <w:tblPr>
        <w:tblW w:w="5780" w:type="dxa"/>
        <w:jc w:val="center"/>
        <w:tblCellMar>
          <w:left w:w="99" w:type="dxa"/>
          <w:right w:w="99" w:type="dxa"/>
        </w:tblCellMar>
        <w:tblLook w:val="04A0" w:firstRow="1" w:lastRow="0" w:firstColumn="1" w:lastColumn="0" w:noHBand="0" w:noVBand="1"/>
      </w:tblPr>
      <w:tblGrid>
        <w:gridCol w:w="1300"/>
        <w:gridCol w:w="4480"/>
      </w:tblGrid>
      <w:tr w:rsidR="003E118F" w:rsidRPr="00DD7216" w14:paraId="44173669" w14:textId="77777777" w:rsidTr="00811FEA">
        <w:trPr>
          <w:trHeight w:val="285"/>
          <w:jc w:val="center"/>
        </w:trPr>
        <w:tc>
          <w:tcPr>
            <w:tcW w:w="13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19494B" w14:textId="77777777" w:rsidR="003E118F" w:rsidRPr="00DD7216" w:rsidRDefault="003E118F" w:rsidP="00811FEA">
            <w:pPr>
              <w:pStyle w:val="a"/>
              <w:spacing w:line="260" w:lineRule="exact"/>
              <w:rPr>
                <w:rFonts w:ascii="Times New Roman" w:eastAsiaTheme="minorEastAsia" w:hAnsi="Times New Roman" w:cs="Times New Roman"/>
                <w:szCs w:val="20"/>
              </w:rPr>
            </w:pPr>
            <w:r w:rsidRPr="00DD7216">
              <w:rPr>
                <w:rFonts w:ascii="Times New Roman" w:eastAsiaTheme="minorEastAsia" w:hAnsi="Times New Roman" w:cs="Times New Roman"/>
                <w:szCs w:val="20"/>
              </w:rPr>
              <w:t>Category</w:t>
            </w:r>
          </w:p>
        </w:tc>
        <w:tc>
          <w:tcPr>
            <w:tcW w:w="4480" w:type="dxa"/>
            <w:tcBorders>
              <w:top w:val="single" w:sz="8" w:space="0" w:color="000000"/>
              <w:left w:val="nil"/>
              <w:bottom w:val="single" w:sz="8" w:space="0" w:color="000000"/>
              <w:right w:val="single" w:sz="8" w:space="0" w:color="000000"/>
            </w:tcBorders>
            <w:shd w:val="clear" w:color="auto" w:fill="auto"/>
            <w:vAlign w:val="center"/>
            <w:hideMark/>
          </w:tcPr>
          <w:p w14:paraId="611D8229" w14:textId="77777777" w:rsidR="003E118F" w:rsidRPr="00DD7216" w:rsidRDefault="003E118F" w:rsidP="00811FEA">
            <w:pPr>
              <w:pStyle w:val="a"/>
              <w:spacing w:line="260" w:lineRule="exact"/>
              <w:rPr>
                <w:rFonts w:ascii="Times New Roman" w:eastAsiaTheme="minorEastAsia" w:hAnsi="Times New Roman" w:cs="Times New Roman"/>
                <w:szCs w:val="20"/>
              </w:rPr>
            </w:pPr>
            <w:r w:rsidRPr="00DD7216">
              <w:rPr>
                <w:rFonts w:ascii="Times New Roman" w:eastAsiaTheme="minorEastAsia" w:hAnsi="Times New Roman" w:cs="Times New Roman"/>
                <w:szCs w:val="20"/>
              </w:rPr>
              <w:t>Criterion</w:t>
            </w:r>
          </w:p>
        </w:tc>
      </w:tr>
      <w:tr w:rsidR="003E118F" w:rsidRPr="00DD7216" w14:paraId="7BAA80FC" w14:textId="77777777" w:rsidTr="00811FEA">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98F39FA" w14:textId="77777777" w:rsidR="003E118F" w:rsidRPr="00DD7216" w:rsidRDefault="003E118F" w:rsidP="00811FEA">
            <w:pPr>
              <w:pStyle w:val="a"/>
              <w:spacing w:line="260" w:lineRule="exact"/>
              <w:rPr>
                <w:rFonts w:ascii="Times New Roman" w:eastAsiaTheme="minorEastAsia" w:hAnsi="Times New Roman" w:cs="Times New Roman"/>
                <w:szCs w:val="20"/>
              </w:rPr>
            </w:pPr>
            <w:r w:rsidRPr="00DD7216">
              <w:rPr>
                <w:rFonts w:ascii="Times New Roman" w:eastAsiaTheme="minorEastAsia" w:hAnsi="Times New Roman" w:cs="Times New Roman"/>
                <w:szCs w:val="20"/>
              </w:rPr>
              <w:t>Cat.1</w:t>
            </w:r>
          </w:p>
        </w:tc>
        <w:tc>
          <w:tcPr>
            <w:tcW w:w="4480" w:type="dxa"/>
            <w:tcBorders>
              <w:top w:val="nil"/>
              <w:left w:val="nil"/>
              <w:bottom w:val="single" w:sz="8" w:space="0" w:color="000000"/>
              <w:right w:val="single" w:sz="8" w:space="0" w:color="000000"/>
            </w:tcBorders>
            <w:shd w:val="clear" w:color="auto" w:fill="auto"/>
            <w:vAlign w:val="center"/>
            <w:hideMark/>
          </w:tcPr>
          <w:p w14:paraId="16B011E0" w14:textId="77777777" w:rsidR="003E118F" w:rsidRPr="00DD7216" w:rsidRDefault="003E118F" w:rsidP="00811FEA">
            <w:pPr>
              <w:pStyle w:val="a"/>
              <w:spacing w:line="260" w:lineRule="exact"/>
              <w:rPr>
                <w:rFonts w:ascii="Times New Roman" w:eastAsiaTheme="minorEastAsia" w:hAnsi="Times New Roman" w:cs="Times New Roman"/>
                <w:szCs w:val="20"/>
              </w:rPr>
            </w:pPr>
            <w:r w:rsidRPr="00DD7216">
              <w:rPr>
                <w:rFonts w:ascii="Times New Roman" w:eastAsiaTheme="minorEastAsia" w:hAnsi="Times New Roman" w:cs="Times New Roman"/>
                <w:szCs w:val="20"/>
              </w:rPr>
              <w:t>SI</w:t>
            </w:r>
            <w:r>
              <w:rPr>
                <w:rFonts w:ascii="Times New Roman" w:eastAsiaTheme="minorEastAsia" w:hAnsi="Times New Roman" w:cs="Times New Roman"/>
                <w:szCs w:val="20"/>
              </w:rPr>
              <w:t xml:space="preserve"> </w:t>
            </w:r>
            <w:r w:rsidRPr="00DD7216">
              <w:rPr>
                <w:rFonts w:ascii="Times New Roman" w:eastAsiaTheme="minorEastAsia" w:hAnsi="Times New Roman" w:cs="Times New Roman"/>
                <w:szCs w:val="20"/>
              </w:rPr>
              <w:t>≥</w:t>
            </w:r>
            <w:r>
              <w:rPr>
                <w:rFonts w:ascii="Times New Roman" w:eastAsiaTheme="minorEastAsia" w:hAnsi="Times New Roman" w:cs="Times New Roman"/>
                <w:szCs w:val="20"/>
              </w:rPr>
              <w:t xml:space="preserve"> </w:t>
            </w:r>
            <w:r w:rsidRPr="00DD7216">
              <w:rPr>
                <w:rFonts w:ascii="Times New Roman" w:eastAsiaTheme="minorEastAsia" w:hAnsi="Times New Roman" w:cs="Times New Roman"/>
                <w:szCs w:val="20"/>
              </w:rPr>
              <w:t>1.6</w:t>
            </w:r>
          </w:p>
        </w:tc>
      </w:tr>
      <w:tr w:rsidR="003E118F" w:rsidRPr="00DD7216" w14:paraId="12590DD2" w14:textId="77777777" w:rsidTr="00811FEA">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7232FBE" w14:textId="77777777" w:rsidR="003E118F" w:rsidRPr="00DD7216" w:rsidRDefault="003E118F" w:rsidP="00811FEA">
            <w:pPr>
              <w:pStyle w:val="a"/>
              <w:spacing w:line="260" w:lineRule="exact"/>
              <w:rPr>
                <w:rFonts w:ascii="Times New Roman" w:eastAsiaTheme="minorEastAsia" w:hAnsi="Times New Roman" w:cs="Times New Roman"/>
                <w:szCs w:val="20"/>
              </w:rPr>
            </w:pPr>
            <w:r w:rsidRPr="00DD7216">
              <w:rPr>
                <w:rFonts w:ascii="Times New Roman" w:eastAsiaTheme="minorEastAsia" w:hAnsi="Times New Roman" w:cs="Times New Roman"/>
                <w:szCs w:val="20"/>
              </w:rPr>
              <w:t>Cat.1A</w:t>
            </w:r>
          </w:p>
        </w:tc>
        <w:tc>
          <w:tcPr>
            <w:tcW w:w="4480" w:type="dxa"/>
            <w:tcBorders>
              <w:top w:val="nil"/>
              <w:left w:val="nil"/>
              <w:bottom w:val="single" w:sz="8" w:space="0" w:color="000000"/>
              <w:right w:val="single" w:sz="8" w:space="0" w:color="000000"/>
            </w:tcBorders>
            <w:shd w:val="clear" w:color="auto" w:fill="auto"/>
            <w:vAlign w:val="center"/>
            <w:hideMark/>
          </w:tcPr>
          <w:p w14:paraId="7BEB70F3" w14:textId="77777777" w:rsidR="003E118F" w:rsidRPr="00DD7216" w:rsidRDefault="003E118F" w:rsidP="00811FEA">
            <w:pPr>
              <w:pStyle w:val="a"/>
              <w:spacing w:line="260" w:lineRule="exact"/>
              <w:rPr>
                <w:rFonts w:ascii="Times New Roman" w:eastAsiaTheme="minorEastAsia" w:hAnsi="Times New Roman" w:cs="Times New Roman"/>
                <w:szCs w:val="20"/>
              </w:rPr>
            </w:pPr>
            <w:r w:rsidRPr="00DD7216">
              <w:rPr>
                <w:rFonts w:ascii="Times New Roman" w:eastAsiaTheme="minorEastAsia" w:hAnsi="Times New Roman" w:cs="Times New Roman"/>
                <w:szCs w:val="20"/>
              </w:rPr>
              <w:t>EC1.6 value ≤ 6%</w:t>
            </w:r>
          </w:p>
        </w:tc>
      </w:tr>
      <w:tr w:rsidR="003E118F" w:rsidRPr="00DD7216" w14:paraId="1527B9AB" w14:textId="77777777" w:rsidTr="00811FEA">
        <w:trPr>
          <w:trHeight w:val="285"/>
          <w:jc w:val="center"/>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D73E85C" w14:textId="77777777" w:rsidR="003E118F" w:rsidRPr="00DD7216" w:rsidRDefault="003E118F" w:rsidP="00811FEA">
            <w:pPr>
              <w:pStyle w:val="a"/>
              <w:spacing w:line="260" w:lineRule="exact"/>
              <w:rPr>
                <w:rFonts w:ascii="Times New Roman" w:eastAsiaTheme="minorEastAsia" w:hAnsi="Times New Roman" w:cs="Times New Roman"/>
                <w:szCs w:val="20"/>
              </w:rPr>
            </w:pPr>
            <w:r w:rsidRPr="00DD7216">
              <w:rPr>
                <w:rFonts w:ascii="Times New Roman" w:eastAsiaTheme="minorEastAsia" w:hAnsi="Times New Roman" w:cs="Times New Roman"/>
                <w:szCs w:val="20"/>
              </w:rPr>
              <w:t>Cat.1B</w:t>
            </w:r>
          </w:p>
        </w:tc>
        <w:tc>
          <w:tcPr>
            <w:tcW w:w="4480" w:type="dxa"/>
            <w:tcBorders>
              <w:top w:val="nil"/>
              <w:left w:val="nil"/>
              <w:bottom w:val="single" w:sz="8" w:space="0" w:color="000000"/>
              <w:right w:val="single" w:sz="8" w:space="0" w:color="000000"/>
            </w:tcBorders>
            <w:shd w:val="clear" w:color="auto" w:fill="auto"/>
            <w:vAlign w:val="center"/>
            <w:hideMark/>
          </w:tcPr>
          <w:p w14:paraId="62A5FEAA" w14:textId="77777777" w:rsidR="003E118F" w:rsidRPr="00DD7216" w:rsidRDefault="003E118F" w:rsidP="00811FEA">
            <w:pPr>
              <w:pStyle w:val="a"/>
              <w:spacing w:line="260" w:lineRule="exact"/>
              <w:rPr>
                <w:rFonts w:ascii="Times New Roman" w:eastAsiaTheme="minorEastAsia" w:hAnsi="Times New Roman" w:cs="Times New Roman"/>
                <w:szCs w:val="20"/>
              </w:rPr>
            </w:pPr>
            <w:r w:rsidRPr="00DD7216">
              <w:rPr>
                <w:rFonts w:ascii="Times New Roman" w:eastAsiaTheme="minorEastAsia" w:hAnsi="Times New Roman" w:cs="Times New Roman"/>
                <w:szCs w:val="20"/>
              </w:rPr>
              <w:t>EC1.6 value &gt; 6%</w:t>
            </w:r>
          </w:p>
        </w:tc>
      </w:tr>
    </w:tbl>
    <w:p w14:paraId="300A9CE7" w14:textId="77777777" w:rsidR="003E118F" w:rsidRPr="00DD7216" w:rsidRDefault="003E118F" w:rsidP="003E118F">
      <w:pPr>
        <w:pStyle w:val="SingleTxtG"/>
        <w:tabs>
          <w:tab w:val="left" w:pos="1701"/>
        </w:tabs>
      </w:pPr>
    </w:p>
    <w:p w14:paraId="22322435" w14:textId="77777777" w:rsidR="003E118F" w:rsidRDefault="003E118F" w:rsidP="003E118F">
      <w:pPr>
        <w:pStyle w:val="SingleTxtG"/>
        <w:tabs>
          <w:tab w:val="left" w:pos="1701"/>
        </w:tabs>
      </w:pPr>
      <w:r>
        <w:t>7</w:t>
      </w:r>
      <w:r w:rsidRPr="00EA1783">
        <w:t>.</w:t>
      </w:r>
      <w:r w:rsidRPr="00EA1783">
        <w:tab/>
      </w:r>
      <w:r w:rsidRPr="002B7228">
        <w:t>In addition, we also suggest the following revisions under:</w:t>
      </w:r>
    </w:p>
    <w:p w14:paraId="78A3DA5F" w14:textId="6A6FBCEE" w:rsidR="003E118F" w:rsidRPr="00B2440B" w:rsidRDefault="003E118F" w:rsidP="003E118F">
      <w:pPr>
        <w:pStyle w:val="SingleTxtG"/>
        <w:ind w:left="2268" w:hanging="567"/>
      </w:pPr>
      <w:r>
        <w:t>(a)</w:t>
      </w:r>
      <w:r>
        <w:tab/>
      </w:r>
      <w:r w:rsidRPr="00B2440B">
        <w:t>3.4.2.2.3.1</w:t>
      </w:r>
      <w:r>
        <w:t>, f</w:t>
      </w:r>
      <w:r w:rsidRPr="00B2440B">
        <w:t>or Category 1</w:t>
      </w:r>
      <w:r>
        <w:t>:</w:t>
      </w:r>
      <w:r w:rsidRPr="002B7228">
        <w:t xml:space="preserve"> </w:t>
      </w:r>
      <w:r>
        <w:t>add</w:t>
      </w:r>
      <w:r w:rsidRPr="002B7228">
        <w:t xml:space="preserve"> the word</w:t>
      </w:r>
      <w:r>
        <w:t>s</w:t>
      </w:r>
      <w:r w:rsidRPr="002B7228">
        <w:t xml:space="preserve"> “</w:t>
      </w:r>
      <w:r w:rsidRPr="00B2440B">
        <w:t>1.6 or more in Local Lymph Node Assay: BrdU-ELISA.</w:t>
      </w:r>
      <w:r w:rsidRPr="002B7228">
        <w:t xml:space="preserve">”, </w:t>
      </w:r>
      <w:r>
        <w:t xml:space="preserve">and change the wording describe the TGs as </w:t>
      </w:r>
      <w:r w:rsidRPr="00B2440B">
        <w:t>“</w:t>
      </w:r>
      <w:r w:rsidRPr="00B2440B">
        <w:rPr>
          <w:spacing w:val="-2"/>
          <w:sz w:val="19"/>
        </w:rPr>
        <w:t>Guidelines 429/442B (Local Lymph Node Assays)</w:t>
      </w:r>
      <w:r w:rsidRPr="00B2440B">
        <w:t>”.</w:t>
      </w:r>
    </w:p>
    <w:p w14:paraId="40FD558A" w14:textId="77777777" w:rsidR="003E118F" w:rsidRDefault="003E118F" w:rsidP="003E118F">
      <w:pPr>
        <w:pStyle w:val="SingleTxtG"/>
        <w:ind w:left="2268" w:hanging="567"/>
      </w:pPr>
      <w:r w:rsidRPr="0064322B">
        <w:t>(b)</w:t>
      </w:r>
      <w:r w:rsidRPr="0064322B">
        <w:tab/>
      </w:r>
      <w:r w:rsidRPr="00B2440B">
        <w:t>3.4.2.2.3.2 Table 3.4.3</w:t>
      </w:r>
      <w:r>
        <w:t>:</w:t>
      </w:r>
      <w:r w:rsidRPr="0064322B">
        <w:t xml:space="preserve"> </w:t>
      </w:r>
      <w:r>
        <w:t xml:space="preserve">add new criterion for </w:t>
      </w:r>
      <w:r w:rsidRPr="00B2440B">
        <w:t>LLNA: BrdU-ELISA</w:t>
      </w:r>
      <w:r>
        <w:t xml:space="preserve"> as follow;</w:t>
      </w:r>
    </w:p>
    <w:tbl>
      <w:tblPr>
        <w:tblW w:w="5954" w:type="dxa"/>
        <w:tblInd w:w="2405" w:type="dxa"/>
        <w:tblLayout w:type="fixed"/>
        <w:tblCellMar>
          <w:left w:w="0" w:type="dxa"/>
          <w:right w:w="0" w:type="dxa"/>
        </w:tblCellMar>
        <w:tblLook w:val="0000" w:firstRow="0" w:lastRow="0" w:firstColumn="0" w:lastColumn="0" w:noHBand="0" w:noVBand="0"/>
      </w:tblPr>
      <w:tblGrid>
        <w:gridCol w:w="2552"/>
        <w:gridCol w:w="3402"/>
      </w:tblGrid>
      <w:tr w:rsidR="003E118F" w:rsidRPr="00B2440B" w14:paraId="5158F752" w14:textId="77777777" w:rsidTr="003E118F">
        <w:trPr>
          <w:trHeight w:hRule="exact" w:val="714"/>
        </w:trPr>
        <w:tc>
          <w:tcPr>
            <w:tcW w:w="2552" w:type="dxa"/>
            <w:tcBorders>
              <w:top w:val="single" w:sz="4" w:space="0" w:color="000000"/>
              <w:left w:val="single" w:sz="4" w:space="0" w:color="000000"/>
              <w:bottom w:val="single" w:sz="4" w:space="0" w:color="000000"/>
              <w:right w:val="single" w:sz="4" w:space="0" w:color="000000"/>
            </w:tcBorders>
            <w:vAlign w:val="center"/>
          </w:tcPr>
          <w:p w14:paraId="51C75FAE" w14:textId="77777777" w:rsidR="003E118F" w:rsidRPr="00B2440B" w:rsidRDefault="003E118F" w:rsidP="00811FEA">
            <w:pPr>
              <w:spacing w:line="260" w:lineRule="exact"/>
              <w:ind w:left="108"/>
              <w:rPr>
                <w:sz w:val="19"/>
              </w:rPr>
            </w:pPr>
            <w:r w:rsidRPr="00B2440B">
              <w:rPr>
                <w:sz w:val="19"/>
              </w:rPr>
              <w:t xml:space="preserve">Local lymph node assay: </w:t>
            </w:r>
          </w:p>
          <w:p w14:paraId="68AE7A2A" w14:textId="77777777" w:rsidR="003E118F" w:rsidRPr="00B2440B" w:rsidRDefault="003E118F" w:rsidP="00811FEA">
            <w:pPr>
              <w:spacing w:line="260" w:lineRule="exact"/>
              <w:ind w:left="112"/>
              <w:rPr>
                <w:sz w:val="19"/>
              </w:rPr>
            </w:pPr>
            <w:r w:rsidRPr="00B2440B">
              <w:rPr>
                <w:sz w:val="19"/>
              </w:rPr>
              <w:t>BrdU-ELISA</w:t>
            </w:r>
          </w:p>
        </w:tc>
        <w:tc>
          <w:tcPr>
            <w:tcW w:w="3402" w:type="dxa"/>
            <w:tcBorders>
              <w:top w:val="single" w:sz="4" w:space="0" w:color="000000"/>
              <w:left w:val="single" w:sz="4" w:space="0" w:color="000000"/>
              <w:bottom w:val="single" w:sz="4" w:space="0" w:color="000000"/>
              <w:right w:val="single" w:sz="4" w:space="0" w:color="000000"/>
            </w:tcBorders>
            <w:vAlign w:val="center"/>
          </w:tcPr>
          <w:p w14:paraId="089182F0" w14:textId="77777777" w:rsidR="003E118F" w:rsidRPr="00B2440B" w:rsidRDefault="003E118F" w:rsidP="00811FEA">
            <w:pPr>
              <w:spacing w:line="260" w:lineRule="exact"/>
              <w:ind w:leftChars="100" w:left="200" w:right="720"/>
              <w:rPr>
                <w:spacing w:val="-8"/>
                <w:sz w:val="19"/>
              </w:rPr>
            </w:pPr>
            <w:r w:rsidRPr="00B2440B">
              <w:rPr>
                <w:spacing w:val="-8"/>
                <w:sz w:val="19"/>
              </w:rPr>
              <w:t>EC1.6 value ≤ 6%</w:t>
            </w:r>
          </w:p>
        </w:tc>
      </w:tr>
    </w:tbl>
    <w:p w14:paraId="5D14DF3A" w14:textId="1C228A48" w:rsidR="003E118F" w:rsidRPr="003E118F" w:rsidRDefault="003E118F" w:rsidP="003E118F">
      <w:pPr>
        <w:pStyle w:val="SingleTxtG"/>
        <w:spacing w:before="240"/>
      </w:pPr>
      <w:r>
        <w:tab/>
      </w:r>
      <w:r>
        <w:tab/>
      </w:r>
      <w:r w:rsidRPr="003E118F">
        <w:t>(c)</w:t>
      </w:r>
      <w:r w:rsidRPr="003E118F">
        <w:tab/>
        <w:t>3.4.2.2.3.3 Table 3.4.4: add new criterion for LLNA: BrdU-ELISA as follow</w:t>
      </w:r>
      <w:r>
        <w:t>s:</w:t>
      </w:r>
    </w:p>
    <w:tbl>
      <w:tblPr>
        <w:tblW w:w="5954" w:type="dxa"/>
        <w:tblInd w:w="2405" w:type="dxa"/>
        <w:tblLayout w:type="fixed"/>
        <w:tblCellMar>
          <w:left w:w="0" w:type="dxa"/>
          <w:right w:w="0" w:type="dxa"/>
        </w:tblCellMar>
        <w:tblLook w:val="0000" w:firstRow="0" w:lastRow="0" w:firstColumn="0" w:lastColumn="0" w:noHBand="0" w:noVBand="0"/>
      </w:tblPr>
      <w:tblGrid>
        <w:gridCol w:w="2552"/>
        <w:gridCol w:w="3402"/>
      </w:tblGrid>
      <w:tr w:rsidR="003E118F" w:rsidRPr="00B2440B" w14:paraId="75979217" w14:textId="77777777" w:rsidTr="003E118F">
        <w:trPr>
          <w:trHeight w:hRule="exact" w:val="630"/>
        </w:trPr>
        <w:tc>
          <w:tcPr>
            <w:tcW w:w="2552" w:type="dxa"/>
            <w:tcBorders>
              <w:top w:val="single" w:sz="4" w:space="0" w:color="000000"/>
              <w:left w:val="single" w:sz="4" w:space="0" w:color="000000"/>
              <w:bottom w:val="single" w:sz="4" w:space="0" w:color="000000"/>
              <w:right w:val="single" w:sz="4" w:space="0" w:color="000000"/>
            </w:tcBorders>
            <w:vAlign w:val="center"/>
          </w:tcPr>
          <w:p w14:paraId="04C49721" w14:textId="77777777" w:rsidR="003E118F" w:rsidRPr="00B2440B" w:rsidRDefault="003E118F" w:rsidP="00811FEA">
            <w:pPr>
              <w:spacing w:line="260" w:lineRule="exact"/>
              <w:ind w:left="108"/>
              <w:rPr>
                <w:sz w:val="19"/>
              </w:rPr>
            </w:pPr>
            <w:r w:rsidRPr="00B2440B">
              <w:rPr>
                <w:sz w:val="19"/>
              </w:rPr>
              <w:t xml:space="preserve">Local lymph node assay: </w:t>
            </w:r>
          </w:p>
          <w:p w14:paraId="04E6856A" w14:textId="77777777" w:rsidR="003E118F" w:rsidRPr="00B2440B" w:rsidRDefault="003E118F" w:rsidP="00811FEA">
            <w:pPr>
              <w:spacing w:line="260" w:lineRule="exact"/>
              <w:ind w:left="112"/>
              <w:rPr>
                <w:sz w:val="19"/>
              </w:rPr>
            </w:pPr>
            <w:r w:rsidRPr="00B2440B">
              <w:rPr>
                <w:sz w:val="19"/>
              </w:rPr>
              <w:t>BrdU-ELISA</w:t>
            </w:r>
          </w:p>
        </w:tc>
        <w:tc>
          <w:tcPr>
            <w:tcW w:w="3402" w:type="dxa"/>
            <w:tcBorders>
              <w:top w:val="single" w:sz="4" w:space="0" w:color="000000"/>
              <w:left w:val="single" w:sz="4" w:space="0" w:color="000000"/>
              <w:bottom w:val="single" w:sz="4" w:space="0" w:color="000000"/>
              <w:right w:val="single" w:sz="4" w:space="0" w:color="000000"/>
            </w:tcBorders>
            <w:vAlign w:val="center"/>
          </w:tcPr>
          <w:p w14:paraId="1A98DE5F" w14:textId="77777777" w:rsidR="003E118F" w:rsidRPr="00B2440B" w:rsidRDefault="003E118F" w:rsidP="00811FEA">
            <w:pPr>
              <w:spacing w:line="260" w:lineRule="exact"/>
              <w:ind w:leftChars="100" w:left="200" w:right="720"/>
              <w:rPr>
                <w:spacing w:val="-8"/>
                <w:sz w:val="19"/>
              </w:rPr>
            </w:pPr>
            <w:r w:rsidRPr="00B2440B">
              <w:rPr>
                <w:spacing w:val="-8"/>
                <w:sz w:val="19"/>
              </w:rPr>
              <w:t xml:space="preserve">EC1.6 value </w:t>
            </w:r>
            <w:r>
              <w:rPr>
                <w:spacing w:val="-8"/>
                <w:sz w:val="19"/>
              </w:rPr>
              <w:t>&gt;</w:t>
            </w:r>
            <w:r w:rsidRPr="00B2440B">
              <w:rPr>
                <w:spacing w:val="-8"/>
                <w:sz w:val="19"/>
              </w:rPr>
              <w:t xml:space="preserve"> 6%</w:t>
            </w:r>
          </w:p>
        </w:tc>
      </w:tr>
    </w:tbl>
    <w:p w14:paraId="52CC634E" w14:textId="673B8C35" w:rsidR="003E118F" w:rsidRDefault="005A3132" w:rsidP="005A3132">
      <w:pPr>
        <w:pStyle w:val="H23G"/>
        <w:rPr>
          <w:lang w:val="en-US"/>
        </w:rPr>
      </w:pPr>
      <w:r>
        <w:rPr>
          <w:lang w:val="en-US"/>
        </w:rPr>
        <w:tab/>
      </w:r>
      <w:r>
        <w:rPr>
          <w:lang w:val="en-US"/>
        </w:rPr>
        <w:tab/>
      </w:r>
      <w:r w:rsidR="003E118F">
        <w:rPr>
          <w:lang w:val="en-US"/>
        </w:rPr>
        <w:t>References</w:t>
      </w:r>
    </w:p>
    <w:p w14:paraId="060A975C" w14:textId="4171B409" w:rsidR="003E118F" w:rsidRPr="00A72585" w:rsidRDefault="003E118F" w:rsidP="00DD78A7">
      <w:pPr>
        <w:pStyle w:val="SingleTxtG"/>
      </w:pPr>
      <w:r>
        <w:tab/>
      </w:r>
      <w:r w:rsidRPr="00A72585">
        <w:t xml:space="preserve">Kobayashi T, Maeda Y, Kondo H, Takeyoshi </w:t>
      </w:r>
      <w:r>
        <w:t>M</w:t>
      </w:r>
      <w:r w:rsidRPr="00A72585">
        <w:t>. (2020). Applicability of the proposed GHS sub-categorization criterion for LLNA: BrdU-ELISA (OECD TG442B) to the CBA/J strain mouse. J Appl Toxicol.; 1-5.</w:t>
      </w:r>
      <w:r>
        <w:t xml:space="preserve"> </w:t>
      </w:r>
      <w:r w:rsidRPr="00DD7216">
        <w:t>https://doi.org/10.1002/jat.3996.</w:t>
      </w:r>
    </w:p>
    <w:p w14:paraId="5F5D46BD" w14:textId="42149D67" w:rsidR="003E118F" w:rsidRPr="00A72585" w:rsidRDefault="003E118F" w:rsidP="00DD78A7">
      <w:pPr>
        <w:pStyle w:val="SingleTxtG"/>
        <w:rPr>
          <w:b/>
        </w:rPr>
      </w:pPr>
      <w:r>
        <w:tab/>
      </w:r>
      <w:r w:rsidRPr="00A72585">
        <w:t xml:space="preserve">Maeda Y, Takeyoshi M. (2019). Proposal of GHS sub-categorization criteria for LLNA: BrdU-ELISA (OECD TG442B). Regul </w:t>
      </w:r>
      <w:r>
        <w:t>Toxicol Pharmacol. 107</w:t>
      </w:r>
      <w:bookmarkStart w:id="1" w:name="_GoBack"/>
      <w:bookmarkEnd w:id="1"/>
      <w:r>
        <w:t xml:space="preserve">:104409. </w:t>
      </w:r>
    </w:p>
    <w:p w14:paraId="186FA1D8" w14:textId="77777777" w:rsidR="003E118F" w:rsidRDefault="003E118F" w:rsidP="003E118F">
      <w:pPr>
        <w:pStyle w:val="SingleTxtG"/>
        <w:ind w:left="0"/>
      </w:pPr>
    </w:p>
    <w:p w14:paraId="0DA0A580" w14:textId="77777777" w:rsidR="003E118F" w:rsidRDefault="003E118F" w:rsidP="003E118F">
      <w:pPr>
        <w:suppressAutoHyphens w:val="0"/>
        <w:spacing w:line="240" w:lineRule="auto"/>
      </w:pPr>
      <w:r>
        <w:br w:type="page"/>
      </w:r>
    </w:p>
    <w:p w14:paraId="66F9E4A8" w14:textId="7163A689" w:rsidR="003E118F" w:rsidRDefault="003E118F" w:rsidP="003E118F">
      <w:pPr>
        <w:pStyle w:val="HChG"/>
        <w:ind w:right="237"/>
      </w:pPr>
      <w:r>
        <w:lastRenderedPageBreak/>
        <w:tab/>
      </w:r>
      <w:r w:rsidR="005A3132">
        <w:tab/>
      </w:r>
      <w:r w:rsidRPr="00DA050D">
        <w:t>Proposal</w:t>
      </w:r>
      <w:r>
        <w:t xml:space="preserve"> </w:t>
      </w:r>
    </w:p>
    <w:p w14:paraId="142D635D" w14:textId="657E4065" w:rsidR="003E118F" w:rsidRPr="00B71BAC" w:rsidRDefault="003E118F" w:rsidP="003E118F">
      <w:pPr>
        <w:pStyle w:val="SingleTxtG"/>
      </w:pPr>
      <w:r>
        <w:t xml:space="preserve">3.4.2.2.3.1 </w:t>
      </w:r>
      <w:r>
        <w:tab/>
        <w:t xml:space="preserve">Amend to read as follows </w:t>
      </w:r>
      <w:r w:rsidRPr="003E118F">
        <w:rPr>
          <w:i/>
          <w:iCs/>
        </w:rPr>
        <w:t xml:space="preserve">(new text is shown in </w:t>
      </w:r>
      <w:r w:rsidRPr="003E118F">
        <w:rPr>
          <w:b/>
          <w:bCs/>
          <w:i/>
          <w:iCs/>
          <w:color w:val="FF0000"/>
        </w:rPr>
        <w:t>red</w:t>
      </w:r>
      <w:r w:rsidRPr="003E118F">
        <w:rPr>
          <w:i/>
          <w:iCs/>
          <w:u w:val="single"/>
        </w:rPr>
        <w:t>)</w:t>
      </w:r>
      <w:r>
        <w:rPr>
          <w:u w:val="single"/>
        </w:rPr>
        <w:t>:</w:t>
      </w:r>
    </w:p>
    <w:p w14:paraId="2C499A56" w14:textId="51BD1633" w:rsidR="003E118F" w:rsidRDefault="003E118F" w:rsidP="003E118F">
      <w:pPr>
        <w:pStyle w:val="SingleTxtG"/>
      </w:pPr>
      <w:r>
        <w:rPr>
          <w:rStyle w:val="SingleTxtGChar"/>
        </w:rPr>
        <w:t>“</w:t>
      </w:r>
      <w:r w:rsidRPr="003E118F">
        <w:rPr>
          <w:rStyle w:val="SingleTxtGChar"/>
        </w:rPr>
        <w:t>3.4.2.2.3.1</w:t>
      </w:r>
      <w:r>
        <w:rPr>
          <w:spacing w:val="-6"/>
        </w:rPr>
        <w:tab/>
      </w:r>
      <w:r>
        <w:t>For Category 1, when an adjuvant type test method for skin sensitization is used, a response of at least</w:t>
      </w:r>
      <w:r>
        <w:rPr>
          <w:rFonts w:hint="eastAsia"/>
        </w:rPr>
        <w:t xml:space="preserve"> </w:t>
      </w:r>
      <w:r>
        <w:t xml:space="preserve">30% of the animals is considered as positive. For a non-adjuvant Guinea pig test method a response of at least 15% of </w:t>
      </w:r>
      <w:r>
        <w:rPr>
          <w:spacing w:val="3"/>
        </w:rPr>
        <w:t xml:space="preserve">the animals is considered positive. For Category 1, a stimulation index of three or more is considered a positive </w:t>
      </w:r>
      <w:r>
        <w:t>response in the local lymph node assay</w:t>
      </w:r>
      <w:r w:rsidRPr="00AC19B8">
        <w:t xml:space="preserve"> </w:t>
      </w:r>
      <w:r w:rsidRPr="003E118F">
        <w:rPr>
          <w:b/>
          <w:bCs/>
          <w:color w:val="FF0000"/>
          <w:u w:val="single"/>
        </w:rPr>
        <w:t>or 1.6 or more in Local Lymph Node Assay: BrdU-ELISA.</w:t>
      </w:r>
      <w:r w:rsidRPr="00B71BAC">
        <w:rPr>
          <w:color w:val="FF0000"/>
        </w:rPr>
        <w:t xml:space="preserve"> </w:t>
      </w:r>
      <w:r>
        <w:t xml:space="preserve">Test methods for skin sensitization are described in the OECD Guideline 406 </w:t>
      </w:r>
      <w:r>
        <w:rPr>
          <w:spacing w:val="-2"/>
        </w:rPr>
        <w:t xml:space="preserve">(the Guinea Pig Maximisation test and the Buehler guinea pig test) and </w:t>
      </w:r>
      <w:r w:rsidRPr="00154F5D">
        <w:rPr>
          <w:spacing w:val="-2"/>
        </w:rPr>
        <w:t>Guideline</w:t>
      </w:r>
      <w:r w:rsidRPr="00B71BAC">
        <w:rPr>
          <w:color w:val="FF0000"/>
          <w:spacing w:val="-2"/>
        </w:rPr>
        <w:t xml:space="preserve">s </w:t>
      </w:r>
      <w:r w:rsidRPr="00154F5D">
        <w:rPr>
          <w:spacing w:val="-2"/>
        </w:rPr>
        <w:t>429</w:t>
      </w:r>
      <w:r w:rsidRPr="00B71BAC">
        <w:rPr>
          <w:color w:val="FF0000"/>
          <w:spacing w:val="-2"/>
        </w:rPr>
        <w:t>/442B</w:t>
      </w:r>
      <w:r w:rsidRPr="0077239C">
        <w:rPr>
          <w:spacing w:val="-2"/>
        </w:rPr>
        <w:t xml:space="preserve"> (Local Lymph Node Assay</w:t>
      </w:r>
      <w:r w:rsidRPr="0077239C">
        <w:rPr>
          <w:color w:val="FF0000"/>
          <w:spacing w:val="-2"/>
        </w:rPr>
        <w:t>s</w:t>
      </w:r>
      <w:r w:rsidRPr="0077239C">
        <w:rPr>
          <w:spacing w:val="-2"/>
        </w:rPr>
        <w:t>)</w:t>
      </w:r>
      <w:r>
        <w:rPr>
          <w:spacing w:val="-2"/>
        </w:rPr>
        <w:t xml:space="preserve">. Other </w:t>
      </w:r>
      <w:r>
        <w:rPr>
          <w:spacing w:val="4"/>
        </w:rPr>
        <w:t xml:space="preserve">methods may be used provided that they are well-validated and scientific justification is given. The Mouse Ear </w:t>
      </w:r>
      <w:r>
        <w:t>Swelling Test (MEST), appears to be a reliable screening test to detect moderate to strong sensitizers, and can be used as a first stage in the assessment of skin sensitization potential.”.</w:t>
      </w:r>
    </w:p>
    <w:p w14:paraId="47C58C5F" w14:textId="7DB36031" w:rsidR="003E118F" w:rsidRPr="00B71BAC" w:rsidRDefault="003E118F" w:rsidP="003E118F">
      <w:pPr>
        <w:pStyle w:val="SingleTxtG"/>
        <w:tabs>
          <w:tab w:val="left" w:pos="2268"/>
        </w:tabs>
        <w:rPr>
          <w:u w:val="single"/>
        </w:rPr>
      </w:pPr>
      <w:r>
        <w:t xml:space="preserve">3.4.2.2.3.2 </w:t>
      </w:r>
      <w:r>
        <w:tab/>
        <w:t xml:space="preserve">Amend table 3.4.3 as follows </w:t>
      </w:r>
      <w:r w:rsidRPr="003E118F">
        <w:rPr>
          <w:i/>
          <w:iCs/>
        </w:rPr>
        <w:t xml:space="preserve">(new text is shown in </w:t>
      </w:r>
      <w:r w:rsidRPr="003E118F">
        <w:rPr>
          <w:b/>
          <w:bCs/>
          <w:i/>
          <w:iCs/>
          <w:color w:val="FF0000"/>
        </w:rPr>
        <w:t>red)</w:t>
      </w:r>
      <w:r>
        <w:t>:</w:t>
      </w:r>
    </w:p>
    <w:p w14:paraId="1DFD0BC5" w14:textId="74EC7029" w:rsidR="003E118F" w:rsidRDefault="003E118F" w:rsidP="003E118F">
      <w:pPr>
        <w:spacing w:before="144" w:line="260" w:lineRule="exact"/>
        <w:jc w:val="center"/>
        <w:rPr>
          <w:color w:val="000000"/>
          <w:spacing w:val="9"/>
          <w:sz w:val="18"/>
        </w:rPr>
      </w:pPr>
      <w:r>
        <w:rPr>
          <w:color w:val="000000"/>
          <w:spacing w:val="9"/>
          <w:sz w:val="18"/>
        </w:rPr>
        <w:t>Table 3.4.3: Animal test results for sub</w:t>
      </w:r>
      <w:r>
        <w:rPr>
          <w:color w:val="000000"/>
          <w:spacing w:val="9"/>
          <w:sz w:val="6"/>
        </w:rPr>
        <w:t>-</w:t>
      </w:r>
      <w:r>
        <w:rPr>
          <w:color w:val="000000"/>
          <w:spacing w:val="9"/>
          <w:sz w:val="18"/>
        </w:rPr>
        <w:t>category 1A</w:t>
      </w:r>
    </w:p>
    <w:tbl>
      <w:tblPr>
        <w:tblW w:w="9051" w:type="dxa"/>
        <w:tblInd w:w="18" w:type="dxa"/>
        <w:tblLayout w:type="fixed"/>
        <w:tblCellMar>
          <w:left w:w="0" w:type="dxa"/>
          <w:right w:w="0" w:type="dxa"/>
        </w:tblCellMar>
        <w:tblLook w:val="0000" w:firstRow="0" w:lastRow="0" w:firstColumn="0" w:lastColumn="0" w:noHBand="0" w:noVBand="0"/>
      </w:tblPr>
      <w:tblGrid>
        <w:gridCol w:w="2736"/>
        <w:gridCol w:w="6315"/>
      </w:tblGrid>
      <w:tr w:rsidR="003E118F" w14:paraId="5BDD6AF9" w14:textId="77777777" w:rsidTr="00811FEA">
        <w:trPr>
          <w:trHeight w:hRule="exact" w:val="284"/>
        </w:trPr>
        <w:tc>
          <w:tcPr>
            <w:tcW w:w="2736" w:type="dxa"/>
            <w:tcBorders>
              <w:top w:val="single" w:sz="4" w:space="0" w:color="000000"/>
              <w:left w:val="single" w:sz="4" w:space="0" w:color="000000"/>
              <w:bottom w:val="single" w:sz="4" w:space="0" w:color="000000"/>
              <w:right w:val="single" w:sz="4" w:space="0" w:color="000000"/>
            </w:tcBorders>
            <w:vAlign w:val="center"/>
          </w:tcPr>
          <w:p w14:paraId="0FB93BF1" w14:textId="77777777" w:rsidR="003E118F" w:rsidRDefault="003E118F" w:rsidP="00811FEA">
            <w:pPr>
              <w:spacing w:line="260" w:lineRule="exact"/>
              <w:ind w:left="112"/>
              <w:rPr>
                <w:color w:val="000000"/>
                <w:sz w:val="19"/>
              </w:rPr>
            </w:pPr>
            <w:r>
              <w:rPr>
                <w:color w:val="000000"/>
                <w:sz w:val="19"/>
              </w:rPr>
              <w:t>Assay</w:t>
            </w:r>
          </w:p>
        </w:tc>
        <w:tc>
          <w:tcPr>
            <w:tcW w:w="6315" w:type="dxa"/>
            <w:tcBorders>
              <w:top w:val="single" w:sz="4" w:space="0" w:color="000000"/>
              <w:left w:val="single" w:sz="4" w:space="0" w:color="000000"/>
              <w:bottom w:val="single" w:sz="4" w:space="0" w:color="000000"/>
              <w:right w:val="single" w:sz="4" w:space="0" w:color="000000"/>
            </w:tcBorders>
            <w:vAlign w:val="center"/>
          </w:tcPr>
          <w:p w14:paraId="503D5472" w14:textId="77777777" w:rsidR="003E118F" w:rsidRDefault="003E118F" w:rsidP="00811FEA">
            <w:pPr>
              <w:spacing w:line="260" w:lineRule="exact"/>
              <w:ind w:right="2769"/>
              <w:jc w:val="right"/>
              <w:rPr>
                <w:color w:val="000000"/>
                <w:spacing w:val="12"/>
                <w:sz w:val="18"/>
              </w:rPr>
            </w:pPr>
            <w:r>
              <w:rPr>
                <w:color w:val="000000"/>
                <w:spacing w:val="12"/>
                <w:sz w:val="18"/>
              </w:rPr>
              <w:t>Criteria</w:t>
            </w:r>
          </w:p>
        </w:tc>
      </w:tr>
      <w:tr w:rsidR="003E118F" w:rsidRPr="00E4708D" w14:paraId="38D0DA69" w14:textId="77777777" w:rsidTr="00811FEA">
        <w:trPr>
          <w:trHeight w:hRule="exact" w:val="373"/>
        </w:trPr>
        <w:tc>
          <w:tcPr>
            <w:tcW w:w="2736" w:type="dxa"/>
            <w:tcBorders>
              <w:top w:val="single" w:sz="4" w:space="0" w:color="000000"/>
              <w:left w:val="single" w:sz="4" w:space="0" w:color="000000"/>
              <w:bottom w:val="single" w:sz="4" w:space="0" w:color="000000"/>
              <w:right w:val="single" w:sz="4" w:space="0" w:color="000000"/>
            </w:tcBorders>
            <w:vAlign w:val="center"/>
          </w:tcPr>
          <w:p w14:paraId="585DB49D" w14:textId="77777777" w:rsidR="003E118F" w:rsidRPr="00E4708D" w:rsidRDefault="003E118F" w:rsidP="00811FEA">
            <w:pPr>
              <w:spacing w:line="260" w:lineRule="exact"/>
              <w:ind w:left="112"/>
              <w:rPr>
                <w:sz w:val="19"/>
              </w:rPr>
            </w:pPr>
            <w:r w:rsidRPr="00E4708D">
              <w:rPr>
                <w:sz w:val="19"/>
              </w:rPr>
              <w:t>Local lymph node assay</w:t>
            </w:r>
          </w:p>
        </w:tc>
        <w:tc>
          <w:tcPr>
            <w:tcW w:w="6315" w:type="dxa"/>
            <w:tcBorders>
              <w:top w:val="single" w:sz="4" w:space="0" w:color="000000"/>
              <w:left w:val="single" w:sz="4" w:space="0" w:color="000000"/>
              <w:bottom w:val="single" w:sz="4" w:space="0" w:color="000000"/>
              <w:right w:val="single" w:sz="4" w:space="0" w:color="000000"/>
            </w:tcBorders>
            <w:vAlign w:val="center"/>
          </w:tcPr>
          <w:p w14:paraId="1DE6C2EE" w14:textId="77777777" w:rsidR="003E118F" w:rsidRPr="00E4708D" w:rsidRDefault="003E118F" w:rsidP="00811FEA">
            <w:pPr>
              <w:spacing w:line="260" w:lineRule="exact"/>
              <w:ind w:leftChars="100" w:left="200" w:right="720"/>
              <w:rPr>
                <w:spacing w:val="-8"/>
                <w:sz w:val="19"/>
              </w:rPr>
            </w:pPr>
            <w:r w:rsidRPr="00E4708D">
              <w:rPr>
                <w:spacing w:val="-8"/>
                <w:sz w:val="19"/>
              </w:rPr>
              <w:t>EC3 value ≤ 2%</w:t>
            </w:r>
          </w:p>
        </w:tc>
      </w:tr>
      <w:tr w:rsidR="003E118F" w:rsidRPr="00AC19B8" w14:paraId="5A71ECD0" w14:textId="77777777" w:rsidTr="00811FEA">
        <w:trPr>
          <w:trHeight w:hRule="exact" w:val="719"/>
        </w:trPr>
        <w:tc>
          <w:tcPr>
            <w:tcW w:w="2736" w:type="dxa"/>
            <w:tcBorders>
              <w:top w:val="single" w:sz="4" w:space="0" w:color="000000"/>
              <w:left w:val="single" w:sz="4" w:space="0" w:color="000000"/>
              <w:bottom w:val="single" w:sz="4" w:space="0" w:color="000000"/>
              <w:right w:val="single" w:sz="4" w:space="0" w:color="000000"/>
            </w:tcBorders>
            <w:vAlign w:val="center"/>
          </w:tcPr>
          <w:p w14:paraId="3F57BF98" w14:textId="77777777" w:rsidR="003E118F" w:rsidRDefault="003E118F" w:rsidP="00811FEA">
            <w:pPr>
              <w:spacing w:line="260" w:lineRule="exact"/>
              <w:ind w:left="108"/>
              <w:rPr>
                <w:color w:val="FF0000"/>
                <w:sz w:val="19"/>
              </w:rPr>
            </w:pPr>
            <w:r w:rsidRPr="00B71BAC">
              <w:rPr>
                <w:color w:val="FF0000"/>
                <w:sz w:val="19"/>
              </w:rPr>
              <w:t>Local lymph node assay</w:t>
            </w:r>
            <w:r>
              <w:rPr>
                <w:color w:val="FF0000"/>
                <w:sz w:val="19"/>
              </w:rPr>
              <w:t xml:space="preserve">: </w:t>
            </w:r>
          </w:p>
          <w:p w14:paraId="245DEEB5" w14:textId="77777777" w:rsidR="003E118F" w:rsidRPr="00B71BAC" w:rsidRDefault="003E118F" w:rsidP="00811FEA">
            <w:pPr>
              <w:spacing w:line="260" w:lineRule="exact"/>
              <w:ind w:left="112"/>
              <w:rPr>
                <w:color w:val="FF0000"/>
                <w:sz w:val="19"/>
              </w:rPr>
            </w:pPr>
            <w:r>
              <w:rPr>
                <w:color w:val="FF0000"/>
                <w:sz w:val="19"/>
              </w:rPr>
              <w:t>BrdU-ELISA</w:t>
            </w:r>
          </w:p>
        </w:tc>
        <w:tc>
          <w:tcPr>
            <w:tcW w:w="6315" w:type="dxa"/>
            <w:tcBorders>
              <w:top w:val="single" w:sz="4" w:space="0" w:color="000000"/>
              <w:left w:val="single" w:sz="4" w:space="0" w:color="000000"/>
              <w:bottom w:val="single" w:sz="4" w:space="0" w:color="000000"/>
              <w:right w:val="single" w:sz="4" w:space="0" w:color="000000"/>
            </w:tcBorders>
            <w:vAlign w:val="center"/>
          </w:tcPr>
          <w:p w14:paraId="429B49FB" w14:textId="77777777" w:rsidR="003E118F" w:rsidRPr="00B71BAC" w:rsidRDefault="003E118F" w:rsidP="00811FEA">
            <w:pPr>
              <w:spacing w:line="260" w:lineRule="exact"/>
              <w:ind w:leftChars="100" w:left="200" w:right="720"/>
              <w:rPr>
                <w:color w:val="FF0000"/>
                <w:spacing w:val="-8"/>
                <w:sz w:val="19"/>
              </w:rPr>
            </w:pPr>
            <w:r w:rsidRPr="00B71BAC">
              <w:rPr>
                <w:color w:val="FF0000"/>
                <w:spacing w:val="-8"/>
                <w:sz w:val="19"/>
              </w:rPr>
              <w:t>EC1.6 value ≤ 6%</w:t>
            </w:r>
          </w:p>
        </w:tc>
      </w:tr>
      <w:tr w:rsidR="003E118F" w:rsidRPr="00AC19B8" w14:paraId="25FEB1B1" w14:textId="77777777" w:rsidTr="00811FEA">
        <w:trPr>
          <w:trHeight w:hRule="exact" w:val="692"/>
        </w:trPr>
        <w:tc>
          <w:tcPr>
            <w:tcW w:w="2736" w:type="dxa"/>
            <w:tcBorders>
              <w:top w:val="single" w:sz="4" w:space="0" w:color="000000"/>
              <w:left w:val="single" w:sz="4" w:space="0" w:color="000000"/>
              <w:bottom w:val="single" w:sz="4" w:space="0" w:color="000000"/>
              <w:right w:val="single" w:sz="4" w:space="0" w:color="000000"/>
            </w:tcBorders>
            <w:vAlign w:val="center"/>
          </w:tcPr>
          <w:p w14:paraId="5F96BE1A" w14:textId="77777777" w:rsidR="003E118F" w:rsidRPr="00AC19B8" w:rsidRDefault="003E118F" w:rsidP="00811FEA">
            <w:pPr>
              <w:spacing w:line="260" w:lineRule="exact"/>
              <w:ind w:left="112"/>
              <w:rPr>
                <w:color w:val="000000"/>
                <w:sz w:val="19"/>
              </w:rPr>
            </w:pPr>
            <w:r w:rsidRPr="00AC19B8">
              <w:rPr>
                <w:color w:val="000000"/>
                <w:sz w:val="19"/>
              </w:rPr>
              <w:t>Guinea pig maximisation test</w:t>
            </w:r>
          </w:p>
        </w:tc>
        <w:tc>
          <w:tcPr>
            <w:tcW w:w="6315" w:type="dxa"/>
            <w:tcBorders>
              <w:top w:val="single" w:sz="4" w:space="0" w:color="000000"/>
              <w:left w:val="single" w:sz="4" w:space="0" w:color="000000"/>
              <w:bottom w:val="single" w:sz="4" w:space="0" w:color="000000"/>
              <w:right w:val="single" w:sz="4" w:space="0" w:color="000000"/>
            </w:tcBorders>
            <w:vAlign w:val="center"/>
          </w:tcPr>
          <w:p w14:paraId="3507E3C8" w14:textId="77777777" w:rsidR="003E118F" w:rsidRPr="00AC19B8" w:rsidRDefault="003E118F" w:rsidP="00811FEA">
            <w:pPr>
              <w:spacing w:line="260" w:lineRule="exact"/>
              <w:ind w:leftChars="100" w:left="200" w:right="720"/>
              <w:rPr>
                <w:color w:val="000000"/>
                <w:spacing w:val="-3"/>
                <w:sz w:val="19"/>
              </w:rPr>
            </w:pPr>
            <w:r w:rsidRPr="00AC19B8">
              <w:rPr>
                <w:rFonts w:eastAsia="MS Mincho"/>
                <w:color w:val="000000"/>
                <w:spacing w:val="-3"/>
                <w:sz w:val="19"/>
              </w:rPr>
              <w:t>≥</w:t>
            </w:r>
            <w:r w:rsidRPr="00AC19B8">
              <w:rPr>
                <w:color w:val="000000"/>
                <w:spacing w:val="-3"/>
                <w:sz w:val="19"/>
              </w:rPr>
              <w:t xml:space="preserve">30% responding at </w:t>
            </w:r>
            <w:r w:rsidRPr="00AC19B8">
              <w:rPr>
                <w:rFonts w:eastAsia="MS Mincho"/>
                <w:color w:val="000000"/>
                <w:spacing w:val="-3"/>
                <w:sz w:val="19"/>
              </w:rPr>
              <w:t>≥</w:t>
            </w:r>
            <w:r w:rsidRPr="00AC19B8">
              <w:rPr>
                <w:color w:val="000000"/>
                <w:spacing w:val="-3"/>
                <w:sz w:val="19"/>
              </w:rPr>
              <w:t xml:space="preserve"> 0.1% intradermal induction dose or</w:t>
            </w:r>
          </w:p>
          <w:p w14:paraId="0ABA3E8F" w14:textId="77777777" w:rsidR="003E118F" w:rsidRPr="00AC19B8" w:rsidRDefault="003E118F" w:rsidP="00811FEA">
            <w:pPr>
              <w:spacing w:line="260" w:lineRule="exact"/>
              <w:ind w:leftChars="100" w:left="200" w:right="720"/>
              <w:rPr>
                <w:color w:val="000000"/>
                <w:spacing w:val="-2"/>
                <w:sz w:val="19"/>
              </w:rPr>
            </w:pPr>
            <w:r w:rsidRPr="00AC19B8">
              <w:rPr>
                <w:rFonts w:eastAsia="MS Mincho"/>
                <w:color w:val="000000"/>
                <w:spacing w:val="-2"/>
                <w:sz w:val="19"/>
              </w:rPr>
              <w:t>≥</w:t>
            </w:r>
            <w:r w:rsidRPr="00AC19B8">
              <w:rPr>
                <w:color w:val="000000"/>
                <w:spacing w:val="-2"/>
                <w:sz w:val="19"/>
              </w:rPr>
              <w:t>60% responding at &gt; 0.1% to ≤ 1% intradermal induction dose</w:t>
            </w:r>
          </w:p>
        </w:tc>
      </w:tr>
      <w:tr w:rsidR="003E118F" w:rsidRPr="00AC19B8" w14:paraId="02CB1B3E" w14:textId="77777777" w:rsidTr="00811FEA">
        <w:trPr>
          <w:trHeight w:hRule="exact" w:val="716"/>
        </w:trPr>
        <w:tc>
          <w:tcPr>
            <w:tcW w:w="2736" w:type="dxa"/>
            <w:tcBorders>
              <w:top w:val="single" w:sz="4" w:space="0" w:color="000000"/>
              <w:left w:val="single" w:sz="4" w:space="0" w:color="000000"/>
              <w:bottom w:val="single" w:sz="4" w:space="0" w:color="000000"/>
              <w:right w:val="single" w:sz="4" w:space="0" w:color="000000"/>
            </w:tcBorders>
            <w:vAlign w:val="center"/>
          </w:tcPr>
          <w:p w14:paraId="36F3A08D" w14:textId="77777777" w:rsidR="003E118F" w:rsidRPr="00AC19B8" w:rsidRDefault="003E118F" w:rsidP="00811FEA">
            <w:pPr>
              <w:spacing w:line="260" w:lineRule="exact"/>
              <w:ind w:left="112"/>
              <w:rPr>
                <w:color w:val="000000"/>
                <w:sz w:val="19"/>
              </w:rPr>
            </w:pPr>
            <w:r w:rsidRPr="00AC19B8">
              <w:rPr>
                <w:color w:val="000000"/>
                <w:sz w:val="19"/>
              </w:rPr>
              <w:t>Buehler assay</w:t>
            </w:r>
          </w:p>
        </w:tc>
        <w:tc>
          <w:tcPr>
            <w:tcW w:w="6315" w:type="dxa"/>
            <w:tcBorders>
              <w:top w:val="single" w:sz="4" w:space="0" w:color="000000"/>
              <w:left w:val="single" w:sz="4" w:space="0" w:color="000000"/>
              <w:bottom w:val="single" w:sz="4" w:space="0" w:color="000000"/>
              <w:right w:val="single" w:sz="4" w:space="0" w:color="000000"/>
            </w:tcBorders>
            <w:vAlign w:val="center"/>
          </w:tcPr>
          <w:p w14:paraId="3B63257A" w14:textId="77777777" w:rsidR="003E118F" w:rsidRPr="00AC19B8" w:rsidRDefault="003E118F" w:rsidP="00811FEA">
            <w:pPr>
              <w:spacing w:line="260" w:lineRule="exact"/>
              <w:ind w:leftChars="100" w:left="200" w:right="720"/>
              <w:rPr>
                <w:color w:val="000000"/>
                <w:spacing w:val="-2"/>
                <w:sz w:val="19"/>
              </w:rPr>
            </w:pPr>
            <w:r w:rsidRPr="00AC19B8">
              <w:rPr>
                <w:color w:val="000000"/>
                <w:spacing w:val="-2"/>
                <w:sz w:val="19"/>
              </w:rPr>
              <w:t>≥15% responding at ≤ 0.2% topical induction dose or</w:t>
            </w:r>
          </w:p>
          <w:p w14:paraId="65A19482" w14:textId="77777777" w:rsidR="003E118F" w:rsidRPr="00AC19B8" w:rsidRDefault="003E118F" w:rsidP="00811FEA">
            <w:pPr>
              <w:spacing w:line="260" w:lineRule="exact"/>
              <w:ind w:leftChars="100" w:left="200" w:right="720"/>
              <w:rPr>
                <w:color w:val="000000"/>
                <w:sz w:val="19"/>
              </w:rPr>
            </w:pPr>
            <w:r w:rsidRPr="00AC19B8">
              <w:rPr>
                <w:color w:val="000000"/>
                <w:sz w:val="19"/>
              </w:rPr>
              <w:t xml:space="preserve">≥60% responding at &gt; 0.2% to </w:t>
            </w:r>
            <w:r w:rsidRPr="00A768AF">
              <w:rPr>
                <w:color w:val="000000"/>
                <w:sz w:val="19"/>
              </w:rPr>
              <w:t>≤</w:t>
            </w:r>
            <w:r w:rsidRPr="00AC19B8">
              <w:rPr>
                <w:color w:val="000000"/>
                <w:sz w:val="19"/>
              </w:rPr>
              <w:t xml:space="preserve"> 20% topical induction dose</w:t>
            </w:r>
          </w:p>
        </w:tc>
      </w:tr>
    </w:tbl>
    <w:p w14:paraId="7BDFE8C4" w14:textId="77777777" w:rsidR="005A3132" w:rsidRDefault="005A3132" w:rsidP="005A3132">
      <w:pPr>
        <w:pStyle w:val="SingleTxtG"/>
      </w:pPr>
    </w:p>
    <w:p w14:paraId="7F75C70D" w14:textId="449DFC2B" w:rsidR="003E118F" w:rsidRPr="00B71BAC" w:rsidRDefault="003E118F" w:rsidP="005A3132">
      <w:pPr>
        <w:pStyle w:val="SingleTxtG"/>
        <w:rPr>
          <w:u w:val="single"/>
        </w:rPr>
      </w:pPr>
      <w:r>
        <w:t xml:space="preserve">3.4.2.2.3.3  </w:t>
      </w:r>
      <w:r w:rsidRPr="005A3132">
        <w:t xml:space="preserve">Amend Table </w:t>
      </w:r>
      <w:r w:rsidRPr="005A3132">
        <w:rPr>
          <w:spacing w:val="9"/>
          <w:sz w:val="18"/>
        </w:rPr>
        <w:t xml:space="preserve">3.4.4 </w:t>
      </w:r>
      <w:r w:rsidRPr="005A3132">
        <w:t>as follows (</w:t>
      </w:r>
      <w:r>
        <w:t xml:space="preserve">new text is shown in </w:t>
      </w:r>
      <w:r w:rsidRPr="00811FEA">
        <w:rPr>
          <w:b/>
          <w:bCs/>
          <w:color w:val="FF0000"/>
        </w:rPr>
        <w:t>red)</w:t>
      </w:r>
      <w:r>
        <w:rPr>
          <w:b/>
          <w:bCs/>
          <w:color w:val="FF0000"/>
        </w:rPr>
        <w:t>:</w:t>
      </w:r>
    </w:p>
    <w:p w14:paraId="25847A94" w14:textId="77777777" w:rsidR="003E118F" w:rsidRPr="00AC19B8" w:rsidRDefault="003E118F" w:rsidP="003E118F">
      <w:pPr>
        <w:spacing w:before="108" w:line="260" w:lineRule="exact"/>
        <w:jc w:val="center"/>
        <w:rPr>
          <w:color w:val="000000"/>
          <w:spacing w:val="9"/>
          <w:sz w:val="18"/>
        </w:rPr>
      </w:pPr>
      <w:r w:rsidRPr="00AC19B8">
        <w:rPr>
          <w:color w:val="000000"/>
          <w:spacing w:val="9"/>
          <w:sz w:val="18"/>
        </w:rPr>
        <w:t>Table 3.4.4: Animal test results for sub</w:t>
      </w:r>
      <w:r w:rsidRPr="00AC19B8">
        <w:rPr>
          <w:color w:val="000000"/>
          <w:spacing w:val="9"/>
          <w:sz w:val="6"/>
        </w:rPr>
        <w:t>-</w:t>
      </w:r>
      <w:r w:rsidRPr="00AC19B8">
        <w:rPr>
          <w:color w:val="000000"/>
          <w:spacing w:val="9"/>
          <w:sz w:val="18"/>
        </w:rPr>
        <w:t>category 1B</w:t>
      </w:r>
    </w:p>
    <w:tbl>
      <w:tblPr>
        <w:tblW w:w="9047" w:type="dxa"/>
        <w:tblInd w:w="11" w:type="dxa"/>
        <w:tblLayout w:type="fixed"/>
        <w:tblCellMar>
          <w:left w:w="0" w:type="dxa"/>
          <w:right w:w="0" w:type="dxa"/>
        </w:tblCellMar>
        <w:tblLook w:val="0000" w:firstRow="0" w:lastRow="0" w:firstColumn="0" w:lastColumn="0" w:noHBand="0" w:noVBand="0"/>
      </w:tblPr>
      <w:tblGrid>
        <w:gridCol w:w="2650"/>
        <w:gridCol w:w="6397"/>
      </w:tblGrid>
      <w:tr w:rsidR="003E118F" w:rsidRPr="00AC19B8" w14:paraId="767E57D9" w14:textId="77777777" w:rsidTr="00811FEA">
        <w:trPr>
          <w:trHeight w:hRule="exact" w:val="284"/>
        </w:trPr>
        <w:tc>
          <w:tcPr>
            <w:tcW w:w="2650" w:type="dxa"/>
            <w:tcBorders>
              <w:top w:val="single" w:sz="4" w:space="0" w:color="000000"/>
              <w:left w:val="single" w:sz="4" w:space="0" w:color="000000"/>
              <w:bottom w:val="single" w:sz="4" w:space="0" w:color="000000"/>
              <w:right w:val="single" w:sz="4" w:space="0" w:color="000000"/>
            </w:tcBorders>
            <w:vAlign w:val="center"/>
          </w:tcPr>
          <w:p w14:paraId="665F3676" w14:textId="77777777" w:rsidR="003E118F" w:rsidRPr="00AC19B8" w:rsidRDefault="003E118F" w:rsidP="00811FEA">
            <w:pPr>
              <w:spacing w:line="260" w:lineRule="exact"/>
              <w:ind w:left="108"/>
              <w:rPr>
                <w:color w:val="000000"/>
                <w:sz w:val="19"/>
              </w:rPr>
            </w:pPr>
            <w:r w:rsidRPr="00AC19B8">
              <w:rPr>
                <w:color w:val="000000"/>
                <w:sz w:val="19"/>
              </w:rPr>
              <w:t>Assay</w:t>
            </w:r>
          </w:p>
        </w:tc>
        <w:tc>
          <w:tcPr>
            <w:tcW w:w="6397" w:type="dxa"/>
            <w:tcBorders>
              <w:top w:val="single" w:sz="4" w:space="0" w:color="000000"/>
              <w:left w:val="single" w:sz="4" w:space="0" w:color="000000"/>
              <w:bottom w:val="single" w:sz="4" w:space="0" w:color="000000"/>
              <w:right w:val="single" w:sz="4" w:space="0" w:color="000000"/>
            </w:tcBorders>
            <w:vAlign w:val="center"/>
          </w:tcPr>
          <w:p w14:paraId="6DB93DA2" w14:textId="77777777" w:rsidR="003E118F" w:rsidRPr="00AC19B8" w:rsidRDefault="003E118F" w:rsidP="00811FEA">
            <w:pPr>
              <w:spacing w:line="260" w:lineRule="exact"/>
              <w:ind w:right="2884"/>
              <w:jc w:val="right"/>
              <w:rPr>
                <w:color w:val="000000"/>
                <w:sz w:val="19"/>
              </w:rPr>
            </w:pPr>
            <w:r w:rsidRPr="00AC19B8">
              <w:rPr>
                <w:color w:val="000000"/>
                <w:sz w:val="19"/>
              </w:rPr>
              <w:t>Criteria</w:t>
            </w:r>
          </w:p>
        </w:tc>
      </w:tr>
      <w:tr w:rsidR="003E118F" w:rsidRPr="00E4708D" w14:paraId="48740A40" w14:textId="77777777" w:rsidTr="00811FEA">
        <w:trPr>
          <w:trHeight w:hRule="exact" w:val="393"/>
        </w:trPr>
        <w:tc>
          <w:tcPr>
            <w:tcW w:w="2650" w:type="dxa"/>
            <w:tcBorders>
              <w:top w:val="single" w:sz="4" w:space="0" w:color="000000"/>
              <w:left w:val="single" w:sz="4" w:space="0" w:color="000000"/>
              <w:bottom w:val="single" w:sz="4" w:space="0" w:color="000000"/>
              <w:right w:val="single" w:sz="4" w:space="0" w:color="000000"/>
            </w:tcBorders>
            <w:vAlign w:val="center"/>
          </w:tcPr>
          <w:p w14:paraId="67FD2487" w14:textId="77777777" w:rsidR="003E118F" w:rsidRPr="00E4708D" w:rsidRDefault="003E118F" w:rsidP="00811FEA">
            <w:pPr>
              <w:spacing w:line="260" w:lineRule="exact"/>
              <w:ind w:left="108"/>
              <w:rPr>
                <w:sz w:val="19"/>
              </w:rPr>
            </w:pPr>
            <w:r w:rsidRPr="00E4708D">
              <w:rPr>
                <w:sz w:val="19"/>
              </w:rPr>
              <w:t>Local lymph node assay</w:t>
            </w:r>
          </w:p>
        </w:tc>
        <w:tc>
          <w:tcPr>
            <w:tcW w:w="6397" w:type="dxa"/>
            <w:tcBorders>
              <w:top w:val="single" w:sz="4" w:space="0" w:color="000000"/>
              <w:left w:val="single" w:sz="4" w:space="0" w:color="000000"/>
              <w:bottom w:val="single" w:sz="4" w:space="0" w:color="000000"/>
              <w:right w:val="single" w:sz="4" w:space="0" w:color="000000"/>
            </w:tcBorders>
            <w:vAlign w:val="center"/>
          </w:tcPr>
          <w:p w14:paraId="756F4341" w14:textId="77777777" w:rsidR="003E118F" w:rsidRPr="00E4708D" w:rsidRDefault="003E118F" w:rsidP="00811FEA">
            <w:pPr>
              <w:spacing w:line="260" w:lineRule="exact"/>
              <w:ind w:leftChars="100" w:left="200" w:right="720"/>
              <w:rPr>
                <w:sz w:val="19"/>
              </w:rPr>
            </w:pPr>
            <w:r w:rsidRPr="00E4708D">
              <w:rPr>
                <w:sz w:val="19"/>
              </w:rPr>
              <w:t>EC3 value &gt; 2%</w:t>
            </w:r>
          </w:p>
        </w:tc>
      </w:tr>
      <w:tr w:rsidR="003E118F" w:rsidRPr="00AC19B8" w14:paraId="761B65B3" w14:textId="77777777" w:rsidTr="00811FEA">
        <w:trPr>
          <w:trHeight w:hRule="exact" w:val="724"/>
        </w:trPr>
        <w:tc>
          <w:tcPr>
            <w:tcW w:w="2650" w:type="dxa"/>
            <w:tcBorders>
              <w:top w:val="single" w:sz="4" w:space="0" w:color="000000"/>
              <w:left w:val="single" w:sz="4" w:space="0" w:color="000000"/>
              <w:bottom w:val="single" w:sz="4" w:space="0" w:color="000000"/>
              <w:right w:val="single" w:sz="4" w:space="0" w:color="000000"/>
            </w:tcBorders>
            <w:vAlign w:val="center"/>
          </w:tcPr>
          <w:p w14:paraId="26BA19FC" w14:textId="77777777" w:rsidR="003E118F" w:rsidRDefault="003E118F" w:rsidP="00811FEA">
            <w:pPr>
              <w:spacing w:line="260" w:lineRule="exact"/>
              <w:ind w:left="108"/>
              <w:rPr>
                <w:color w:val="FF0000"/>
                <w:sz w:val="19"/>
              </w:rPr>
            </w:pPr>
            <w:r w:rsidRPr="00B71BAC">
              <w:rPr>
                <w:color w:val="FF0000"/>
                <w:sz w:val="19"/>
              </w:rPr>
              <w:t>Local lymph node assay</w:t>
            </w:r>
            <w:r>
              <w:rPr>
                <w:color w:val="FF0000"/>
                <w:sz w:val="19"/>
              </w:rPr>
              <w:t xml:space="preserve">: </w:t>
            </w:r>
          </w:p>
          <w:p w14:paraId="4C839F21" w14:textId="77777777" w:rsidR="003E118F" w:rsidRPr="00B71BAC" w:rsidRDefault="003E118F" w:rsidP="00811FEA">
            <w:pPr>
              <w:spacing w:line="260" w:lineRule="exact"/>
              <w:ind w:left="108"/>
              <w:rPr>
                <w:color w:val="FF0000"/>
                <w:sz w:val="19"/>
              </w:rPr>
            </w:pPr>
            <w:r>
              <w:rPr>
                <w:color w:val="FF0000"/>
                <w:sz w:val="19"/>
              </w:rPr>
              <w:t>BrdU-ELISA</w:t>
            </w:r>
          </w:p>
        </w:tc>
        <w:tc>
          <w:tcPr>
            <w:tcW w:w="6397" w:type="dxa"/>
            <w:tcBorders>
              <w:top w:val="single" w:sz="4" w:space="0" w:color="000000"/>
              <w:left w:val="single" w:sz="4" w:space="0" w:color="000000"/>
              <w:bottom w:val="single" w:sz="4" w:space="0" w:color="000000"/>
              <w:right w:val="single" w:sz="4" w:space="0" w:color="000000"/>
            </w:tcBorders>
            <w:vAlign w:val="center"/>
          </w:tcPr>
          <w:p w14:paraId="707C92DF" w14:textId="77777777" w:rsidR="003E118F" w:rsidRPr="00B71BAC" w:rsidRDefault="003E118F" w:rsidP="00811FEA">
            <w:pPr>
              <w:spacing w:line="260" w:lineRule="exact"/>
              <w:ind w:leftChars="100" w:left="200" w:right="720"/>
              <w:rPr>
                <w:color w:val="FF0000"/>
                <w:spacing w:val="-8"/>
                <w:sz w:val="19"/>
              </w:rPr>
            </w:pPr>
            <w:r w:rsidRPr="00B71BAC">
              <w:rPr>
                <w:color w:val="FF0000"/>
                <w:sz w:val="19"/>
              </w:rPr>
              <w:t>EC1.6 value &gt; 6%</w:t>
            </w:r>
            <w:r>
              <w:rPr>
                <w:color w:val="FF0000"/>
                <w:sz w:val="19"/>
              </w:rPr>
              <w:t xml:space="preserve"> </w:t>
            </w:r>
          </w:p>
        </w:tc>
      </w:tr>
      <w:tr w:rsidR="003E118F" w:rsidRPr="00AC19B8" w14:paraId="1580661D" w14:textId="77777777" w:rsidTr="00811FEA">
        <w:trPr>
          <w:trHeight w:hRule="exact" w:val="709"/>
        </w:trPr>
        <w:tc>
          <w:tcPr>
            <w:tcW w:w="2650" w:type="dxa"/>
            <w:tcBorders>
              <w:top w:val="single" w:sz="4" w:space="0" w:color="000000"/>
              <w:left w:val="single" w:sz="4" w:space="0" w:color="000000"/>
              <w:bottom w:val="single" w:sz="4" w:space="0" w:color="000000"/>
              <w:right w:val="single" w:sz="4" w:space="0" w:color="000000"/>
            </w:tcBorders>
            <w:vAlign w:val="center"/>
          </w:tcPr>
          <w:p w14:paraId="14198B6D" w14:textId="77777777" w:rsidR="003E118F" w:rsidRPr="00AC19B8" w:rsidRDefault="003E118F" w:rsidP="00811FEA">
            <w:pPr>
              <w:spacing w:line="260" w:lineRule="exact"/>
              <w:ind w:left="108"/>
              <w:rPr>
                <w:color w:val="000000"/>
                <w:sz w:val="19"/>
              </w:rPr>
            </w:pPr>
            <w:r w:rsidRPr="00AC19B8">
              <w:rPr>
                <w:color w:val="000000"/>
                <w:sz w:val="19"/>
              </w:rPr>
              <w:t>Guinea pig maximisation test</w:t>
            </w:r>
          </w:p>
        </w:tc>
        <w:tc>
          <w:tcPr>
            <w:tcW w:w="6397" w:type="dxa"/>
            <w:tcBorders>
              <w:top w:val="single" w:sz="4" w:space="0" w:color="000000"/>
              <w:left w:val="single" w:sz="4" w:space="0" w:color="000000"/>
              <w:bottom w:val="single" w:sz="4" w:space="0" w:color="000000"/>
              <w:right w:val="single" w:sz="4" w:space="0" w:color="000000"/>
            </w:tcBorders>
            <w:vAlign w:val="center"/>
          </w:tcPr>
          <w:p w14:paraId="330690C4" w14:textId="77777777" w:rsidR="003E118F" w:rsidRPr="00AC19B8" w:rsidRDefault="003E118F" w:rsidP="00811FEA">
            <w:pPr>
              <w:spacing w:before="36" w:line="260" w:lineRule="exact"/>
              <w:ind w:left="38" w:right="468" w:firstLineChars="100" w:firstLine="185"/>
              <w:rPr>
                <w:color w:val="000000"/>
                <w:spacing w:val="-1"/>
                <w:sz w:val="19"/>
              </w:rPr>
            </w:pPr>
            <w:r w:rsidRPr="00AC19B8">
              <w:rPr>
                <w:color w:val="000000"/>
                <w:spacing w:val="-5"/>
                <w:sz w:val="19"/>
              </w:rPr>
              <w:t xml:space="preserve">≥30% to &lt; 60% responding at &gt; 0.1% to ≤ 1% intradermal induction dose or </w:t>
            </w:r>
          </w:p>
          <w:p w14:paraId="1DEC8393" w14:textId="77777777" w:rsidR="003E118F" w:rsidRPr="00AC19B8" w:rsidRDefault="003E118F" w:rsidP="00811FEA">
            <w:pPr>
              <w:spacing w:line="260" w:lineRule="exact"/>
              <w:ind w:leftChars="100" w:left="200" w:right="720"/>
              <w:rPr>
                <w:color w:val="000000"/>
                <w:spacing w:val="-5"/>
                <w:sz w:val="19"/>
              </w:rPr>
            </w:pPr>
            <w:r w:rsidRPr="00AC19B8">
              <w:rPr>
                <w:color w:val="000000"/>
                <w:spacing w:val="-1"/>
                <w:sz w:val="19"/>
              </w:rPr>
              <w:t>≥30% responding at &gt; 1% intradermal induction dose</w:t>
            </w:r>
          </w:p>
        </w:tc>
      </w:tr>
      <w:tr w:rsidR="003E118F" w:rsidRPr="00AC19B8" w14:paraId="049633D2" w14:textId="77777777" w:rsidTr="00811FEA">
        <w:trPr>
          <w:trHeight w:hRule="exact" w:val="719"/>
        </w:trPr>
        <w:tc>
          <w:tcPr>
            <w:tcW w:w="2650" w:type="dxa"/>
            <w:tcBorders>
              <w:top w:val="single" w:sz="4" w:space="0" w:color="000000"/>
              <w:left w:val="single" w:sz="4" w:space="0" w:color="000000"/>
              <w:bottom w:val="single" w:sz="4" w:space="0" w:color="000000"/>
              <w:right w:val="single" w:sz="4" w:space="0" w:color="000000"/>
            </w:tcBorders>
            <w:vAlign w:val="center"/>
          </w:tcPr>
          <w:p w14:paraId="79DA137D" w14:textId="77777777" w:rsidR="003E118F" w:rsidRPr="00AC19B8" w:rsidRDefault="003E118F" w:rsidP="00811FEA">
            <w:pPr>
              <w:spacing w:line="260" w:lineRule="exact"/>
              <w:ind w:left="108"/>
              <w:rPr>
                <w:color w:val="000000"/>
                <w:sz w:val="19"/>
              </w:rPr>
            </w:pPr>
            <w:r w:rsidRPr="00AC19B8">
              <w:rPr>
                <w:color w:val="000000"/>
                <w:sz w:val="19"/>
              </w:rPr>
              <w:t>Buehler assay</w:t>
            </w:r>
          </w:p>
        </w:tc>
        <w:tc>
          <w:tcPr>
            <w:tcW w:w="6397" w:type="dxa"/>
            <w:tcBorders>
              <w:top w:val="single" w:sz="4" w:space="0" w:color="000000"/>
              <w:left w:val="single" w:sz="4" w:space="0" w:color="000000"/>
              <w:bottom w:val="single" w:sz="4" w:space="0" w:color="000000"/>
              <w:right w:val="single" w:sz="4" w:space="0" w:color="000000"/>
            </w:tcBorders>
            <w:vAlign w:val="center"/>
          </w:tcPr>
          <w:p w14:paraId="3E2AA203" w14:textId="77777777" w:rsidR="003E118F" w:rsidRPr="00AC19B8" w:rsidRDefault="003E118F" w:rsidP="00811FEA">
            <w:pPr>
              <w:spacing w:line="260" w:lineRule="exact"/>
              <w:ind w:leftChars="100" w:left="200" w:right="720"/>
              <w:rPr>
                <w:color w:val="000000"/>
                <w:spacing w:val="-4"/>
                <w:sz w:val="19"/>
              </w:rPr>
            </w:pPr>
            <w:r w:rsidRPr="00AC19B8">
              <w:rPr>
                <w:color w:val="000000"/>
                <w:spacing w:val="-4"/>
                <w:sz w:val="19"/>
              </w:rPr>
              <w:t>≥15% to &lt; 60% responding at &gt; 0.2% to ≤ 20% topical induction dose or ≥</w:t>
            </w:r>
            <w:r w:rsidRPr="00AC19B8">
              <w:rPr>
                <w:color w:val="000000"/>
                <w:sz w:val="19"/>
              </w:rPr>
              <w:t>15% responding at &gt; 20% topical induction dose</w:t>
            </w:r>
          </w:p>
        </w:tc>
      </w:tr>
    </w:tbl>
    <w:p w14:paraId="7FBCDBE1" w14:textId="01E19C39" w:rsidR="00EF6381" w:rsidRPr="003E118F" w:rsidRDefault="003E118F" w:rsidP="003E118F">
      <w:pPr>
        <w:spacing w:before="240"/>
        <w:jc w:val="center"/>
        <w:rPr>
          <w:u w:val="single"/>
        </w:rPr>
      </w:pPr>
      <w:r>
        <w:rPr>
          <w:u w:val="single"/>
        </w:rPr>
        <w:tab/>
      </w:r>
      <w:r>
        <w:rPr>
          <w:u w:val="single"/>
        </w:rPr>
        <w:tab/>
      </w:r>
      <w:r>
        <w:rPr>
          <w:u w:val="single"/>
        </w:rPr>
        <w:tab/>
      </w:r>
    </w:p>
    <w:sectPr w:rsidR="00EF6381" w:rsidRPr="003E118F" w:rsidSect="00FF014B">
      <w:headerReference w:type="even" r:id="rId11"/>
      <w:headerReference w:type="default" r:id="rId12"/>
      <w:footerReference w:type="even" r:id="rId13"/>
      <w:footerReference w:type="default" r:id="rId14"/>
      <w:head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1987" w14:textId="77777777" w:rsidR="00E362FE" w:rsidRDefault="00E362FE" w:rsidP="00760F29">
      <w:pPr>
        <w:spacing w:line="240" w:lineRule="auto"/>
      </w:pPr>
      <w:r>
        <w:separator/>
      </w:r>
    </w:p>
  </w:endnote>
  <w:endnote w:type="continuationSeparator" w:id="0">
    <w:p w14:paraId="3541F1E4" w14:textId="77777777" w:rsidR="00E362FE" w:rsidRDefault="00E362FE"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41143"/>
      <w:docPartObj>
        <w:docPartGallery w:val="Page Numbers (Bottom of Page)"/>
        <w:docPartUnique/>
      </w:docPartObj>
    </w:sdtPr>
    <w:sdtEndPr>
      <w:rPr>
        <w:b/>
        <w:noProof/>
        <w:sz w:val="18"/>
      </w:rPr>
    </w:sdtEndPr>
    <w:sdtContent>
      <w:p w14:paraId="71999A95" w14:textId="1247B1F7" w:rsidR="00430A54" w:rsidRPr="00836133" w:rsidRDefault="00C83965" w:rsidP="00836133">
        <w:pPr>
          <w:pStyle w:val="Footer"/>
          <w:tabs>
            <w:tab w:val="right" w:pos="9638"/>
          </w:tabs>
        </w:pPr>
        <w:r w:rsidRPr="0095385C">
          <w:rPr>
            <w:b/>
            <w:sz w:val="18"/>
          </w:rPr>
          <w:fldChar w:fldCharType="begin"/>
        </w:r>
        <w:r w:rsidRPr="0095385C">
          <w:rPr>
            <w:b/>
            <w:sz w:val="18"/>
          </w:rPr>
          <w:instrText xml:space="preserve"> PAGE  \* MERGEFORMAT </w:instrText>
        </w:r>
        <w:r w:rsidRPr="0095385C">
          <w:rPr>
            <w:b/>
            <w:sz w:val="18"/>
          </w:rPr>
          <w:fldChar w:fldCharType="separate"/>
        </w:r>
        <w:r w:rsidR="005338FF">
          <w:rPr>
            <w:b/>
            <w:noProof/>
            <w:sz w:val="18"/>
          </w:rPr>
          <w:t>6</w:t>
        </w:r>
        <w:r w:rsidRPr="0095385C">
          <w:rPr>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14:paraId="3054A36D" w14:textId="2F0B59DF" w:rsidR="00430A54" w:rsidRPr="00AA3D2B" w:rsidRDefault="00430A54">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5338FF">
          <w:rPr>
            <w:b/>
            <w:noProof/>
            <w:sz w:val="18"/>
          </w:rPr>
          <w:t>3</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811F" w14:textId="77777777" w:rsidR="00E362FE" w:rsidRDefault="00E362FE" w:rsidP="00760F29">
      <w:pPr>
        <w:spacing w:line="240" w:lineRule="auto"/>
      </w:pPr>
      <w:r>
        <w:separator/>
      </w:r>
    </w:p>
  </w:footnote>
  <w:footnote w:type="continuationSeparator" w:id="0">
    <w:p w14:paraId="027F9432" w14:textId="77777777" w:rsidR="00E362FE" w:rsidRDefault="00E362FE" w:rsidP="00760F29">
      <w:pPr>
        <w:spacing w:line="240" w:lineRule="auto"/>
      </w:pPr>
      <w:r>
        <w:continuationSeparator/>
      </w:r>
    </w:p>
  </w:footnote>
  <w:footnote w:id="1">
    <w:p w14:paraId="06F408A9" w14:textId="39CE7AEE" w:rsidR="003E118F" w:rsidRPr="003E118F" w:rsidRDefault="003E118F">
      <w:pPr>
        <w:pStyle w:val="FootnoteText"/>
      </w:pPr>
      <w:r>
        <w:tab/>
      </w:r>
      <w:r w:rsidRPr="003E118F">
        <w:rPr>
          <w:rStyle w:val="FootnoteReference"/>
        </w:rPr>
        <w:footnoteRef/>
      </w:r>
      <w:r w:rsidRPr="003E118F">
        <w:t xml:space="preserve"> </w:t>
      </w:r>
      <w:r>
        <w:tab/>
      </w:r>
      <w:r w:rsidRPr="003E118F">
        <w:t>“Interagency Coordinating Committee on the Validation of Alternative Methods</w:t>
      </w:r>
      <w:r>
        <w:t>”, National Institute of Environmental Health Sciences. National Toxicology Program, U.S Department of Health and Human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824A" w14:textId="16FF4697" w:rsidR="00C83965" w:rsidRPr="0095385C" w:rsidRDefault="00836133" w:rsidP="00C83965">
    <w:pPr>
      <w:pStyle w:val="Header"/>
    </w:pPr>
    <w:bookmarkStart w:id="2" w:name="_Hlk42246861"/>
    <w:r w:rsidRPr="00687757">
      <w:t>UN/SCEGHS/39/INF.</w:t>
    </w:r>
    <w:r w:rsidR="003E118F">
      <w:t>15</w:t>
    </w: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052D" w14:textId="0B2B07C5" w:rsidR="000B008D" w:rsidRPr="0095385C" w:rsidRDefault="000B008D" w:rsidP="000B008D">
    <w:pPr>
      <w:pStyle w:val="Header"/>
      <w:jc w:val="right"/>
    </w:pPr>
    <w:r w:rsidRPr="00687757">
      <w:t>UN/SCEGHS/39/INF.</w:t>
    </w:r>
    <w:r w:rsidR="003E118F">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F59E" w14:textId="77777777" w:rsidR="00C83965" w:rsidRPr="00C83965" w:rsidRDefault="00C83965" w:rsidP="00C839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F631FB"/>
    <w:multiLevelType w:val="multilevel"/>
    <w:tmpl w:val="5FD60F10"/>
    <w:lvl w:ilvl="0">
      <w:start w:val="1"/>
      <w:numFmt w:val="lowerLetter"/>
      <w:pStyle w:val="Bullet1G"/>
      <w:lvlText w:val="%1."/>
      <w:lvlJc w:val="left"/>
      <w:pPr>
        <w:tabs>
          <w:tab w:val="num" w:pos="1701"/>
        </w:tabs>
        <w:ind w:left="1701" w:hanging="283"/>
      </w:pPr>
      <w:rPr>
        <w:rFonts w:hint="default"/>
      </w:rPr>
    </w:lvl>
    <w:lvl w:ilvl="1">
      <w:start w:val="1"/>
      <w:numFmt w:val="lowerLetter"/>
      <w:lvlText w:val="%2."/>
      <w:lvlJc w:val="left"/>
      <w:pPr>
        <w:ind w:left="2971" w:hanging="360"/>
      </w:pPr>
      <w:rPr>
        <w:rFonts w:hint="default"/>
      </w:rPr>
    </w:lvl>
    <w:lvl w:ilvl="2">
      <w:start w:val="1"/>
      <w:numFmt w:val="lowerLetter"/>
      <w:lvlText w:val="%3."/>
      <w:lvlJc w:val="left"/>
      <w:pPr>
        <w:ind w:left="3691" w:hanging="180"/>
      </w:pPr>
      <w:rPr>
        <w:rFonts w:hint="default"/>
      </w:rPr>
    </w:lvl>
    <w:lvl w:ilvl="3">
      <w:start w:val="1"/>
      <w:numFmt w:val="decimal"/>
      <w:lvlText w:val="%4."/>
      <w:lvlJc w:val="left"/>
      <w:pPr>
        <w:ind w:left="4411" w:hanging="360"/>
      </w:pPr>
      <w:rPr>
        <w:rFonts w:hint="default"/>
      </w:rPr>
    </w:lvl>
    <w:lvl w:ilvl="4">
      <w:start w:val="1"/>
      <w:numFmt w:val="lowerLetter"/>
      <w:lvlText w:val="%5."/>
      <w:lvlJc w:val="left"/>
      <w:pPr>
        <w:ind w:left="5131" w:hanging="360"/>
      </w:pPr>
      <w:rPr>
        <w:rFonts w:hint="default"/>
      </w:rPr>
    </w:lvl>
    <w:lvl w:ilvl="5">
      <w:start w:val="1"/>
      <w:numFmt w:val="lowerRoman"/>
      <w:lvlText w:val="%6."/>
      <w:lvlJc w:val="right"/>
      <w:pPr>
        <w:ind w:left="5851" w:hanging="180"/>
      </w:pPr>
      <w:rPr>
        <w:rFonts w:hint="default"/>
      </w:rPr>
    </w:lvl>
    <w:lvl w:ilvl="6">
      <w:start w:val="1"/>
      <w:numFmt w:val="decimal"/>
      <w:lvlText w:val="%7."/>
      <w:lvlJc w:val="left"/>
      <w:pPr>
        <w:ind w:left="6571" w:hanging="360"/>
      </w:pPr>
      <w:rPr>
        <w:rFonts w:hint="default"/>
      </w:rPr>
    </w:lvl>
    <w:lvl w:ilvl="7">
      <w:start w:val="1"/>
      <w:numFmt w:val="lowerLetter"/>
      <w:lvlText w:val="%8."/>
      <w:lvlJc w:val="left"/>
      <w:pPr>
        <w:ind w:left="7291" w:hanging="360"/>
      </w:pPr>
      <w:rPr>
        <w:rFonts w:hint="default"/>
      </w:rPr>
    </w:lvl>
    <w:lvl w:ilvl="8">
      <w:start w:val="1"/>
      <w:numFmt w:val="lowerRoman"/>
      <w:lvlText w:val="%9."/>
      <w:lvlJc w:val="right"/>
      <w:pPr>
        <w:ind w:left="8011" w:hanging="180"/>
      </w:pPr>
      <w:rPr>
        <w:rFont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0595F"/>
    <w:rsid w:val="000214BC"/>
    <w:rsid w:val="0003079A"/>
    <w:rsid w:val="00031773"/>
    <w:rsid w:val="0003493F"/>
    <w:rsid w:val="0005632F"/>
    <w:rsid w:val="0006039D"/>
    <w:rsid w:val="000733F5"/>
    <w:rsid w:val="00084774"/>
    <w:rsid w:val="000919D5"/>
    <w:rsid w:val="000A7964"/>
    <w:rsid w:val="000B008D"/>
    <w:rsid w:val="000B6ACF"/>
    <w:rsid w:val="000F3FA0"/>
    <w:rsid w:val="000F6040"/>
    <w:rsid w:val="0010166A"/>
    <w:rsid w:val="00106393"/>
    <w:rsid w:val="00113712"/>
    <w:rsid w:val="00114F3A"/>
    <w:rsid w:val="00115A69"/>
    <w:rsid w:val="0011752B"/>
    <w:rsid w:val="0015677A"/>
    <w:rsid w:val="001568BC"/>
    <w:rsid w:val="0016375B"/>
    <w:rsid w:val="001A03C6"/>
    <w:rsid w:val="001B17E7"/>
    <w:rsid w:val="001C3663"/>
    <w:rsid w:val="001C5FE4"/>
    <w:rsid w:val="001E2D63"/>
    <w:rsid w:val="001F4343"/>
    <w:rsid w:val="002111B2"/>
    <w:rsid w:val="00221BCF"/>
    <w:rsid w:val="00223F9F"/>
    <w:rsid w:val="00225747"/>
    <w:rsid w:val="00226CEA"/>
    <w:rsid w:val="00230534"/>
    <w:rsid w:val="00232A53"/>
    <w:rsid w:val="00232C21"/>
    <w:rsid w:val="00234884"/>
    <w:rsid w:val="00236385"/>
    <w:rsid w:val="00247A09"/>
    <w:rsid w:val="00250B75"/>
    <w:rsid w:val="00272194"/>
    <w:rsid w:val="002B103F"/>
    <w:rsid w:val="002B4FBB"/>
    <w:rsid w:val="002B6C7F"/>
    <w:rsid w:val="002F1D5D"/>
    <w:rsid w:val="00325B51"/>
    <w:rsid w:val="0032727C"/>
    <w:rsid w:val="0033144A"/>
    <w:rsid w:val="00342D20"/>
    <w:rsid w:val="003450F7"/>
    <w:rsid w:val="00363E88"/>
    <w:rsid w:val="00370E42"/>
    <w:rsid w:val="00371089"/>
    <w:rsid w:val="00374AAB"/>
    <w:rsid w:val="003763A4"/>
    <w:rsid w:val="003A2A96"/>
    <w:rsid w:val="003A3245"/>
    <w:rsid w:val="003A3AA3"/>
    <w:rsid w:val="003B24CA"/>
    <w:rsid w:val="003B2653"/>
    <w:rsid w:val="003C10B9"/>
    <w:rsid w:val="003C27B2"/>
    <w:rsid w:val="003E118F"/>
    <w:rsid w:val="003E64B9"/>
    <w:rsid w:val="0040348E"/>
    <w:rsid w:val="00403FAA"/>
    <w:rsid w:val="00406A6B"/>
    <w:rsid w:val="00410440"/>
    <w:rsid w:val="00414970"/>
    <w:rsid w:val="00430A54"/>
    <w:rsid w:val="0043330D"/>
    <w:rsid w:val="00437F3A"/>
    <w:rsid w:val="0046607C"/>
    <w:rsid w:val="00467F8E"/>
    <w:rsid w:val="004768CC"/>
    <w:rsid w:val="004822ED"/>
    <w:rsid w:val="004852BE"/>
    <w:rsid w:val="004B5A77"/>
    <w:rsid w:val="004C2384"/>
    <w:rsid w:val="004D2031"/>
    <w:rsid w:val="004E7435"/>
    <w:rsid w:val="004F6CB2"/>
    <w:rsid w:val="00500B5E"/>
    <w:rsid w:val="00522D72"/>
    <w:rsid w:val="0052612D"/>
    <w:rsid w:val="005338FF"/>
    <w:rsid w:val="00574027"/>
    <w:rsid w:val="00592369"/>
    <w:rsid w:val="00593E76"/>
    <w:rsid w:val="005A3132"/>
    <w:rsid w:val="005C0B65"/>
    <w:rsid w:val="005C24F1"/>
    <w:rsid w:val="005C4E09"/>
    <w:rsid w:val="005D6230"/>
    <w:rsid w:val="005E79BB"/>
    <w:rsid w:val="005F7AE9"/>
    <w:rsid w:val="005F7FC6"/>
    <w:rsid w:val="0062617C"/>
    <w:rsid w:val="00630265"/>
    <w:rsid w:val="00633F54"/>
    <w:rsid w:val="006443C2"/>
    <w:rsid w:val="00664E01"/>
    <w:rsid w:val="00686B73"/>
    <w:rsid w:val="00687757"/>
    <w:rsid w:val="0069387B"/>
    <w:rsid w:val="006A2C7D"/>
    <w:rsid w:val="006A7D7A"/>
    <w:rsid w:val="006D3E76"/>
    <w:rsid w:val="00717408"/>
    <w:rsid w:val="0073032A"/>
    <w:rsid w:val="00760F29"/>
    <w:rsid w:val="00775D3D"/>
    <w:rsid w:val="00780F9F"/>
    <w:rsid w:val="0079353F"/>
    <w:rsid w:val="0079466E"/>
    <w:rsid w:val="00797D49"/>
    <w:rsid w:val="007A0A9C"/>
    <w:rsid w:val="007A5031"/>
    <w:rsid w:val="007B54F1"/>
    <w:rsid w:val="007C0763"/>
    <w:rsid w:val="007C1E4D"/>
    <w:rsid w:val="007C61DB"/>
    <w:rsid w:val="007C7B45"/>
    <w:rsid w:val="007D43A4"/>
    <w:rsid w:val="007E1FA7"/>
    <w:rsid w:val="007F1D3F"/>
    <w:rsid w:val="00806928"/>
    <w:rsid w:val="0081065C"/>
    <w:rsid w:val="00812E01"/>
    <w:rsid w:val="00820189"/>
    <w:rsid w:val="008203A6"/>
    <w:rsid w:val="00822F3B"/>
    <w:rsid w:val="0082308E"/>
    <w:rsid w:val="00823C8C"/>
    <w:rsid w:val="00827EB5"/>
    <w:rsid w:val="00836133"/>
    <w:rsid w:val="00854053"/>
    <w:rsid w:val="0087351F"/>
    <w:rsid w:val="00877F3D"/>
    <w:rsid w:val="00892DA1"/>
    <w:rsid w:val="008C20B8"/>
    <w:rsid w:val="008C506B"/>
    <w:rsid w:val="008E45C8"/>
    <w:rsid w:val="008E4E2E"/>
    <w:rsid w:val="008F10B4"/>
    <w:rsid w:val="008F6A6B"/>
    <w:rsid w:val="00903E1A"/>
    <w:rsid w:val="009079AB"/>
    <w:rsid w:val="009172EA"/>
    <w:rsid w:val="00923089"/>
    <w:rsid w:val="00930F93"/>
    <w:rsid w:val="00937A9A"/>
    <w:rsid w:val="0094551F"/>
    <w:rsid w:val="00981D79"/>
    <w:rsid w:val="009855D0"/>
    <w:rsid w:val="009960AE"/>
    <w:rsid w:val="009B2C62"/>
    <w:rsid w:val="009E1F11"/>
    <w:rsid w:val="009E245E"/>
    <w:rsid w:val="009E42E4"/>
    <w:rsid w:val="009F54A4"/>
    <w:rsid w:val="009F772D"/>
    <w:rsid w:val="00A03283"/>
    <w:rsid w:val="00A14383"/>
    <w:rsid w:val="00A228F3"/>
    <w:rsid w:val="00A2748B"/>
    <w:rsid w:val="00A32254"/>
    <w:rsid w:val="00A44539"/>
    <w:rsid w:val="00A55A91"/>
    <w:rsid w:val="00A55BFD"/>
    <w:rsid w:val="00A57ACB"/>
    <w:rsid w:val="00A610DC"/>
    <w:rsid w:val="00A83A4A"/>
    <w:rsid w:val="00A87A85"/>
    <w:rsid w:val="00A9061F"/>
    <w:rsid w:val="00A91B52"/>
    <w:rsid w:val="00AA1315"/>
    <w:rsid w:val="00AA3D2B"/>
    <w:rsid w:val="00AB166D"/>
    <w:rsid w:val="00AD0D70"/>
    <w:rsid w:val="00AE7491"/>
    <w:rsid w:val="00AF06BB"/>
    <w:rsid w:val="00AF3680"/>
    <w:rsid w:val="00B0659B"/>
    <w:rsid w:val="00B14403"/>
    <w:rsid w:val="00B23268"/>
    <w:rsid w:val="00B51183"/>
    <w:rsid w:val="00B64854"/>
    <w:rsid w:val="00B64CDA"/>
    <w:rsid w:val="00B77E3D"/>
    <w:rsid w:val="00B85035"/>
    <w:rsid w:val="00BA0687"/>
    <w:rsid w:val="00BA5A58"/>
    <w:rsid w:val="00BB16C9"/>
    <w:rsid w:val="00BC2FF2"/>
    <w:rsid w:val="00BF0E50"/>
    <w:rsid w:val="00C13576"/>
    <w:rsid w:val="00C13F89"/>
    <w:rsid w:val="00C40788"/>
    <w:rsid w:val="00C60AE5"/>
    <w:rsid w:val="00C64CCA"/>
    <w:rsid w:val="00C65283"/>
    <w:rsid w:val="00C75AA5"/>
    <w:rsid w:val="00C83965"/>
    <w:rsid w:val="00C945F6"/>
    <w:rsid w:val="00CA28D8"/>
    <w:rsid w:val="00CA5128"/>
    <w:rsid w:val="00CB0413"/>
    <w:rsid w:val="00CD22D8"/>
    <w:rsid w:val="00CE031D"/>
    <w:rsid w:val="00CF4E69"/>
    <w:rsid w:val="00CF6DC9"/>
    <w:rsid w:val="00D0604F"/>
    <w:rsid w:val="00D33BEF"/>
    <w:rsid w:val="00D603F2"/>
    <w:rsid w:val="00D64A37"/>
    <w:rsid w:val="00D652F5"/>
    <w:rsid w:val="00D660CB"/>
    <w:rsid w:val="00D66E77"/>
    <w:rsid w:val="00D841B8"/>
    <w:rsid w:val="00D95BAC"/>
    <w:rsid w:val="00DA5F14"/>
    <w:rsid w:val="00DB521F"/>
    <w:rsid w:val="00DD396E"/>
    <w:rsid w:val="00DD4674"/>
    <w:rsid w:val="00DD78A7"/>
    <w:rsid w:val="00DE6173"/>
    <w:rsid w:val="00E15AE8"/>
    <w:rsid w:val="00E1727E"/>
    <w:rsid w:val="00E33A1A"/>
    <w:rsid w:val="00E362FE"/>
    <w:rsid w:val="00E52803"/>
    <w:rsid w:val="00E60690"/>
    <w:rsid w:val="00E952B4"/>
    <w:rsid w:val="00E9728B"/>
    <w:rsid w:val="00EA3F81"/>
    <w:rsid w:val="00EA5B52"/>
    <w:rsid w:val="00EB5D49"/>
    <w:rsid w:val="00ED21C3"/>
    <w:rsid w:val="00EF176A"/>
    <w:rsid w:val="00EF6381"/>
    <w:rsid w:val="00F03FE9"/>
    <w:rsid w:val="00F22714"/>
    <w:rsid w:val="00F27F2C"/>
    <w:rsid w:val="00F365B1"/>
    <w:rsid w:val="00F41826"/>
    <w:rsid w:val="00F41B6B"/>
    <w:rsid w:val="00F6363A"/>
    <w:rsid w:val="00F648DE"/>
    <w:rsid w:val="00F6640C"/>
    <w:rsid w:val="00F81305"/>
    <w:rsid w:val="00F83795"/>
    <w:rsid w:val="00F84D75"/>
    <w:rsid w:val="00FA63B2"/>
    <w:rsid w:val="00FD5578"/>
    <w:rsid w:val="00FE179E"/>
    <w:rsid w:val="00FF0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C0DB45"/>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5"/>
      </w:numPr>
      <w:spacing w:after="120"/>
      <w:ind w:right="1134"/>
      <w:jc w:val="both"/>
    </w:pPr>
  </w:style>
  <w:style w:type="paragraph" w:customStyle="1" w:styleId="Bullet2G">
    <w:name w:val="_Bullet 2_G"/>
    <w:basedOn w:val="Normal"/>
    <w:qFormat/>
    <w:rsid w:val="00930F93"/>
    <w:pPr>
      <w:numPr>
        <w:numId w:val="1"/>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customStyle="1" w:styleId="ParNoG">
    <w:name w:val="_ParNo_G"/>
    <w:basedOn w:val="SingleTxtG"/>
    <w:qFormat/>
    <w:rsid w:val="004768CC"/>
    <w:pPr>
      <w:numPr>
        <w:numId w:val="4"/>
      </w:numPr>
      <w:suppressAutoHyphens w:val="0"/>
    </w:pPr>
    <w:rPr>
      <w:lang w:eastAsia="zh-CN"/>
    </w:rPr>
  </w:style>
  <w:style w:type="numbering" w:styleId="111111">
    <w:name w:val="Outline List 2"/>
    <w:basedOn w:val="NoList"/>
    <w:semiHidden/>
    <w:rsid w:val="004768CC"/>
    <w:pPr>
      <w:numPr>
        <w:numId w:val="2"/>
      </w:numPr>
    </w:pPr>
  </w:style>
  <w:style w:type="numbering" w:styleId="1ai">
    <w:name w:val="Outline List 1"/>
    <w:basedOn w:val="NoList"/>
    <w:semiHidden/>
    <w:rsid w:val="004768CC"/>
    <w:pPr>
      <w:numPr>
        <w:numId w:val="3"/>
      </w:numPr>
    </w:pPr>
  </w:style>
  <w:style w:type="paragraph" w:styleId="ListParagraph">
    <w:name w:val="List Paragraph"/>
    <w:basedOn w:val="Normal"/>
    <w:uiPriority w:val="34"/>
    <w:qFormat/>
    <w:rsid w:val="004768CC"/>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4768CC"/>
    <w:rPr>
      <w:rFonts w:ascii="Times New Roman" w:hAnsi="Times New Roman" w:cs="Times New Roman" w:hint="default"/>
      <w:b/>
      <w:bCs/>
    </w:rPr>
  </w:style>
  <w:style w:type="character" w:customStyle="1" w:styleId="StyleItalic">
    <w:name w:val="Style Italic"/>
    <w:semiHidden/>
    <w:rsid w:val="004768CC"/>
    <w:rPr>
      <w:rFonts w:ascii="Times New Roman" w:hAnsi="Times New Roman"/>
      <w:i/>
      <w:iCs/>
    </w:rPr>
  </w:style>
  <w:style w:type="paragraph" w:customStyle="1" w:styleId="Style1">
    <w:name w:val="Style1"/>
    <w:basedOn w:val="Normal"/>
    <w:rsid w:val="004768CC"/>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uiPriority w:val="99"/>
    <w:semiHidden/>
    <w:rsid w:val="004768CC"/>
    <w:rPr>
      <w:rFonts w:eastAsia="SimSun"/>
    </w:rPr>
  </w:style>
  <w:style w:type="character" w:styleId="CommentReference">
    <w:name w:val="annotation reference"/>
    <w:basedOn w:val="DefaultParagraphFont"/>
    <w:uiPriority w:val="99"/>
    <w:semiHidden/>
    <w:unhideWhenUsed/>
    <w:rsid w:val="008C20B8"/>
    <w:rPr>
      <w:sz w:val="16"/>
      <w:szCs w:val="16"/>
    </w:rPr>
  </w:style>
  <w:style w:type="paragraph" w:styleId="CommentText">
    <w:name w:val="annotation text"/>
    <w:basedOn w:val="Normal"/>
    <w:link w:val="CommentTextChar"/>
    <w:uiPriority w:val="99"/>
    <w:unhideWhenUsed/>
    <w:rsid w:val="008C20B8"/>
    <w:pPr>
      <w:spacing w:line="240" w:lineRule="auto"/>
    </w:pPr>
  </w:style>
  <w:style w:type="character" w:customStyle="1" w:styleId="CommentTextChar">
    <w:name w:val="Comment Text Char"/>
    <w:basedOn w:val="DefaultParagraphFont"/>
    <w:link w:val="CommentText"/>
    <w:uiPriority w:val="99"/>
    <w:rsid w:val="008C20B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C20B8"/>
    <w:rPr>
      <w:b/>
      <w:bCs/>
    </w:rPr>
  </w:style>
  <w:style w:type="character" w:customStyle="1" w:styleId="CommentSubjectChar">
    <w:name w:val="Comment Subject Char"/>
    <w:basedOn w:val="CommentTextChar"/>
    <w:link w:val="CommentSubject"/>
    <w:uiPriority w:val="99"/>
    <w:semiHidden/>
    <w:rsid w:val="008C20B8"/>
    <w:rPr>
      <w:rFonts w:eastAsia="Times New Roman"/>
      <w:b/>
      <w:bCs/>
      <w:lang w:eastAsia="en-US"/>
    </w:rPr>
  </w:style>
  <w:style w:type="character" w:customStyle="1" w:styleId="H1GChar">
    <w:name w:val="_ H_1_G Char"/>
    <w:link w:val="H1G"/>
    <w:rsid w:val="0015677A"/>
    <w:rPr>
      <w:rFonts w:eastAsia="Times New Roman"/>
      <w:b/>
      <w:sz w:val="24"/>
      <w:lang w:eastAsia="en-US"/>
    </w:rPr>
  </w:style>
  <w:style w:type="paragraph" w:customStyle="1" w:styleId="a">
    <w:name w:val="表中"/>
    <w:basedOn w:val="Normal"/>
    <w:link w:val="a0"/>
    <w:qFormat/>
    <w:rsid w:val="003E118F"/>
    <w:pPr>
      <w:widowControl w:val="0"/>
      <w:suppressAutoHyphens w:val="0"/>
      <w:snapToGrid w:val="0"/>
      <w:spacing w:line="240" w:lineRule="auto"/>
      <w:jc w:val="center"/>
    </w:pPr>
    <w:rPr>
      <w:rFonts w:ascii="MS PGothic" w:eastAsia="MS PGothic" w:hAnsi="MS PGothic" w:cstheme="minorBidi"/>
      <w:kern w:val="2"/>
      <w:szCs w:val="22"/>
      <w:lang w:val="en-US" w:eastAsia="ja-JP"/>
    </w:rPr>
  </w:style>
  <w:style w:type="character" w:customStyle="1" w:styleId="a0">
    <w:name w:val="表中 (文字)"/>
    <w:basedOn w:val="DefaultParagraphFont"/>
    <w:link w:val="a"/>
    <w:rsid w:val="003E118F"/>
    <w:rPr>
      <w:rFonts w:ascii="MS PGothic" w:eastAsia="MS PGothic" w:hAnsi="MS PGothic" w:cstheme="minorBidi"/>
      <w:kern w:val="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75A417A49ED4589B0B37B859D28C1" ma:contentTypeVersion="7" ma:contentTypeDescription="Create a new document." ma:contentTypeScope="" ma:versionID="07162a58d42ef0febf210192e77e6874">
  <xsd:schema xmlns:xsd="http://www.w3.org/2001/XMLSchema" xmlns:xs="http://www.w3.org/2001/XMLSchema" xmlns:p="http://schemas.microsoft.com/office/2006/metadata/properties" xmlns:ns3="de084f63-6b68-4f66-aa5e-ed6f9f387458" targetNamespace="http://schemas.microsoft.com/office/2006/metadata/properties" ma:root="true" ma:fieldsID="962d83a8bc1d9f42e9b00e63c9563f98" ns3:_="">
    <xsd:import namespace="de084f63-6b68-4f66-aa5e-ed6f9f387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84f63-6b68-4f66-aa5e-ed6f9f387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D8829-55C8-4534-9229-024830CC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84f63-6b68-4f66-aa5e-ed6f9f387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3.xml><?xml version="1.0" encoding="utf-8"?>
<ds:datastoreItem xmlns:ds="http://schemas.openxmlformats.org/officeDocument/2006/customXml" ds:itemID="{0F0CC99C-CEDB-44E6-B43A-F06826D0E4E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de084f63-6b68-4f66-aa5e-ed6f9f387458"/>
    <ds:schemaRef ds:uri="http://www.w3.org/XML/1998/namespace"/>
  </ds:schemaRefs>
</ds:datastoreItem>
</file>

<file path=customXml/itemProps4.xml><?xml version="1.0" encoding="utf-8"?>
<ds:datastoreItem xmlns:ds="http://schemas.openxmlformats.org/officeDocument/2006/customXml" ds:itemID="{86FF63FB-80A1-468B-A613-70CCFE8C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Pages>
  <Words>999</Words>
  <Characters>5417</Characters>
  <Application>Microsoft Office Word</Application>
  <DocSecurity>0</DocSecurity>
  <Lines>128</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Garcia-Couto</dc:creator>
  <cp:lastModifiedBy>Rosa</cp:lastModifiedBy>
  <cp:revision>25</cp:revision>
  <cp:lastPrinted>2020-06-11T07:49:00Z</cp:lastPrinted>
  <dcterms:created xsi:type="dcterms:W3CDTF">2020-06-10T09:54:00Z</dcterms:created>
  <dcterms:modified xsi:type="dcterms:W3CDTF">2020-09-15T09:36:00Z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0x01010029475A417A49ED4589B0B37B859D28C1</vt:lpwstr>
  </property>
</Properties>
</file>