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rsidTr="000D5782">
        <w:trPr>
          <w:cantSplit/>
          <w:trHeight w:hRule="exact" w:val="851"/>
        </w:trPr>
        <w:tc>
          <w:tcPr>
            <w:tcW w:w="9639" w:type="dxa"/>
            <w:tcBorders>
              <w:bottom w:val="single" w:sz="4" w:space="0" w:color="auto"/>
            </w:tcBorders>
            <w:vAlign w:val="bottom"/>
          </w:tcPr>
          <w:p w:rsidR="00EF0D81" w:rsidRPr="0099001C" w:rsidRDefault="00EF0D81" w:rsidP="006F4D98">
            <w:pPr>
              <w:jc w:val="right"/>
              <w:rPr>
                <w:b/>
                <w:sz w:val="40"/>
                <w:szCs w:val="40"/>
              </w:rPr>
            </w:pPr>
            <w:r w:rsidRPr="0099001C">
              <w:rPr>
                <w:b/>
                <w:sz w:val="40"/>
                <w:szCs w:val="40"/>
              </w:rPr>
              <w:t>UN/SCEGHS/</w:t>
            </w:r>
            <w:r w:rsidR="00C87759">
              <w:rPr>
                <w:b/>
                <w:sz w:val="40"/>
                <w:szCs w:val="40"/>
              </w:rPr>
              <w:t>38</w:t>
            </w:r>
            <w:r w:rsidRPr="0099001C">
              <w:rPr>
                <w:b/>
                <w:sz w:val="40"/>
                <w:szCs w:val="40"/>
              </w:rPr>
              <w:t>/INF.</w:t>
            </w:r>
            <w:r w:rsidR="00943169">
              <w:rPr>
                <w:b/>
                <w:sz w:val="40"/>
                <w:szCs w:val="40"/>
              </w:rPr>
              <w:t>29</w:t>
            </w:r>
          </w:p>
        </w:tc>
      </w:tr>
      <w:tr w:rsidR="00EF0D81" w:rsidTr="000D5782">
        <w:trPr>
          <w:cantSplit/>
          <w:trHeight w:hRule="exact" w:val="3114"/>
        </w:trPr>
        <w:tc>
          <w:tcPr>
            <w:tcW w:w="9639" w:type="dxa"/>
            <w:tcBorders>
              <w:top w:val="single" w:sz="4" w:space="0" w:color="auto"/>
            </w:tcBorders>
          </w:tcPr>
          <w:p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C87759">
              <w:rPr>
                <w:b/>
                <w:lang w:val="en-US"/>
              </w:rPr>
              <w:t>10 December</w:t>
            </w:r>
            <w:r w:rsidR="006F4D98">
              <w:rPr>
                <w:b/>
                <w:lang w:val="en-US"/>
              </w:rPr>
              <w:t xml:space="preserve"> 2019</w:t>
            </w:r>
          </w:p>
          <w:p w:rsidR="00EF0D81" w:rsidRPr="006E39A4" w:rsidRDefault="00EF0D81" w:rsidP="000D5782">
            <w:pPr>
              <w:spacing w:before="120"/>
              <w:rPr>
                <w:b/>
              </w:rPr>
            </w:pPr>
            <w:r>
              <w:rPr>
                <w:b/>
              </w:rPr>
              <w:t>Thirty-</w:t>
            </w:r>
            <w:r w:rsidR="00C87759">
              <w:rPr>
                <w:b/>
              </w:rPr>
              <w:t>eighth</w:t>
            </w:r>
            <w:r w:rsidR="006F4D98" w:rsidRPr="006E39A4">
              <w:rPr>
                <w:b/>
              </w:rPr>
              <w:t xml:space="preserve"> </w:t>
            </w:r>
            <w:r w:rsidRPr="006E39A4">
              <w:rPr>
                <w:b/>
              </w:rPr>
              <w:t>session</w:t>
            </w:r>
          </w:p>
          <w:p w:rsidR="00EF0D81" w:rsidRPr="006E39A4" w:rsidRDefault="00EF0D81" w:rsidP="000D5782">
            <w:r w:rsidRPr="006E39A4">
              <w:t xml:space="preserve">Geneva, </w:t>
            </w:r>
            <w:r w:rsidR="00C87759">
              <w:t>11-13</w:t>
            </w:r>
            <w:r>
              <w:t xml:space="preserve"> </w:t>
            </w:r>
            <w:r w:rsidR="00C87759">
              <w:t>December</w:t>
            </w:r>
            <w:r w:rsidR="006F4D98">
              <w:t xml:space="preserve"> 2019</w:t>
            </w:r>
          </w:p>
          <w:p w:rsidR="00EF0D81" w:rsidRDefault="00EF0D81" w:rsidP="000D5782">
            <w:r w:rsidRPr="006E39A4">
              <w:t xml:space="preserve">Item </w:t>
            </w:r>
            <w:r w:rsidR="006F4D98">
              <w:t>2</w:t>
            </w:r>
            <w:r w:rsidR="00E92A64">
              <w:t xml:space="preserve"> </w:t>
            </w:r>
            <w:r w:rsidR="006F4D98">
              <w:t xml:space="preserve">(d) </w:t>
            </w:r>
            <w:r w:rsidRPr="006E39A4">
              <w:t>of the provisional agenda</w:t>
            </w:r>
          </w:p>
          <w:p w:rsidR="00EF0D81" w:rsidRDefault="006F4D98" w:rsidP="00E92A64">
            <w:r>
              <w:rPr>
                <w:b/>
              </w:rPr>
              <w:t>Classification criteria and related hazard communication</w:t>
            </w:r>
          </w:p>
        </w:tc>
      </w:tr>
    </w:tbl>
    <w:p w:rsidR="00E92A64" w:rsidRPr="00E14112" w:rsidRDefault="00EF0D81" w:rsidP="00E92A64">
      <w:pPr>
        <w:pStyle w:val="HChG"/>
      </w:pPr>
      <w:r w:rsidRPr="00F66549">
        <w:rPr>
          <w:rFonts w:eastAsia="MS Mincho"/>
        </w:rPr>
        <w:tab/>
      </w:r>
      <w:r w:rsidRPr="00F66549">
        <w:rPr>
          <w:rFonts w:eastAsia="MS Mincho"/>
        </w:rPr>
        <w:tab/>
      </w:r>
      <w:r w:rsidR="00C87759">
        <w:t>Update on the work of the Practical Classification Issues Informal Correspondence Group</w:t>
      </w:r>
    </w:p>
    <w:p w:rsidR="00EF0D81" w:rsidRPr="00DC3242" w:rsidRDefault="00EF0D81" w:rsidP="00EF0D81">
      <w:pPr>
        <w:pStyle w:val="H1G"/>
        <w:rPr>
          <w:rFonts w:eastAsia="MS Mincho"/>
          <w:highlight w:val="yellow"/>
        </w:rPr>
      </w:pPr>
      <w:r w:rsidRPr="00F66549">
        <w:rPr>
          <w:rFonts w:eastAsia="MS Mincho"/>
        </w:rPr>
        <w:tab/>
      </w:r>
      <w:r w:rsidRPr="00F66549">
        <w:rPr>
          <w:rFonts w:eastAsia="MS Mincho"/>
        </w:rPr>
        <w:tab/>
      </w:r>
      <w:r>
        <w:rPr>
          <w:rFonts w:eastAsia="MS Mincho"/>
        </w:rPr>
        <w:t xml:space="preserve">Transmitted by the expert from the United States of America on behalf of the </w:t>
      </w:r>
      <w:r w:rsidR="00FD5C7F">
        <w:rPr>
          <w:rFonts w:eastAsia="MS Mincho"/>
        </w:rPr>
        <w:t xml:space="preserve">practical classification issues </w:t>
      </w:r>
      <w:r>
        <w:rPr>
          <w:rFonts w:eastAsia="MS Mincho"/>
        </w:rPr>
        <w:t>informal correspondence group</w:t>
      </w:r>
    </w:p>
    <w:p w:rsidR="00C87759" w:rsidRDefault="00943169" w:rsidP="00943169">
      <w:pPr>
        <w:pStyle w:val="SingleTxtG"/>
      </w:pPr>
      <w:r>
        <w:t>1.</w:t>
      </w:r>
      <w:r>
        <w:tab/>
      </w:r>
      <w:r w:rsidR="00C87759" w:rsidRPr="00C87759">
        <w:t xml:space="preserve">This informal document provides </w:t>
      </w:r>
      <w:r w:rsidR="00C87759">
        <w:t xml:space="preserve">an update on the work undertaken by </w:t>
      </w:r>
      <w:r w:rsidR="00C87759" w:rsidRPr="00C87759">
        <w:t xml:space="preserve">the Practical Classification Issues (PCI) informal correspondence group.  </w:t>
      </w:r>
    </w:p>
    <w:p w:rsidR="00C87759" w:rsidRDefault="00943169" w:rsidP="00943169">
      <w:pPr>
        <w:pStyle w:val="SingleTxtG"/>
      </w:pPr>
      <w:r>
        <w:t>2.</w:t>
      </w:r>
      <w:r>
        <w:tab/>
      </w:r>
      <w:r w:rsidR="00C87759" w:rsidRPr="00C87759">
        <w:t xml:space="preserve">During </w:t>
      </w:r>
      <w:r w:rsidR="00C87759">
        <w:t xml:space="preserve">the PCI working group meeting at </w:t>
      </w:r>
      <w:r w:rsidR="00C87759" w:rsidRPr="00C87759">
        <w:t>the UNSCEHS 37</w:t>
      </w:r>
      <w:r w:rsidR="00C87759" w:rsidRPr="00C87759">
        <w:rPr>
          <w:vertAlign w:val="superscript"/>
        </w:rPr>
        <w:t>th</w:t>
      </w:r>
      <w:r w:rsidR="00C87759" w:rsidRPr="00C87759">
        <w:t xml:space="preserve"> Session</w:t>
      </w:r>
      <w:r w:rsidR="00C87759">
        <w:t>,</w:t>
      </w:r>
      <w:r w:rsidR="00C87759" w:rsidRPr="00C87759">
        <w:t xml:space="preserve"> the experts from the International Association for Soaps, Detergents and Maintenance Products (A.I.S.E.) and </w:t>
      </w:r>
      <w:proofErr w:type="spellStart"/>
      <w:r w:rsidR="00C87759" w:rsidRPr="00C87759">
        <w:t>Croplife</w:t>
      </w:r>
      <w:proofErr w:type="spellEnd"/>
      <w:r w:rsidR="00C87759" w:rsidRPr="00C87759">
        <w:t xml:space="preserve"> International </w:t>
      </w:r>
      <w:r w:rsidR="00C87759">
        <w:t>presented a</w:t>
      </w:r>
      <w:r w:rsidR="00C87759" w:rsidRPr="00C87759">
        <w:t xml:space="preserve"> thought starter </w:t>
      </w:r>
      <w:r w:rsidR="00C87759">
        <w:t xml:space="preserve">on issue (f) from the agreed program of work </w:t>
      </w:r>
      <w:r w:rsidR="00C87759" w:rsidRPr="00C87759">
        <w:t>(UN/SCEGHS/36/INF.38/Rev.1) regarding</w:t>
      </w:r>
      <w:r w:rsidR="00C87759">
        <w:t xml:space="preserve"> the</w:t>
      </w:r>
      <w:r w:rsidR="00C87759" w:rsidRPr="00C87759">
        <w:t xml:space="preserve"> GHS cut off value/concentration limit </w:t>
      </w:r>
      <w:r w:rsidR="00460EDA">
        <w:t>for mixtures classification as s</w:t>
      </w:r>
      <w:r w:rsidR="00C87759" w:rsidRPr="00C87759">
        <w:t>erious eye damage.</w:t>
      </w:r>
      <w:r w:rsidR="00C87759">
        <w:t xml:space="preserve"> </w:t>
      </w:r>
    </w:p>
    <w:p w:rsidR="00C87759" w:rsidRDefault="00943169" w:rsidP="00943169">
      <w:pPr>
        <w:pStyle w:val="SingleTxtG"/>
      </w:pPr>
      <w:r>
        <w:t>3.</w:t>
      </w:r>
      <w:r>
        <w:tab/>
      </w:r>
      <w:r w:rsidR="00C87759">
        <w:t xml:space="preserve">The working group provided feedback on the thought starter indicating that additional studies would be beneficial in better determining whether there is a </w:t>
      </w:r>
      <w:r w:rsidR="00B23759">
        <w:t xml:space="preserve">need to re-evaluate </w:t>
      </w:r>
      <w:r w:rsidR="00C87759">
        <w:t xml:space="preserve">the 3% cut-off value in the additivity approach across all industries or if there is a </w:t>
      </w:r>
      <w:r w:rsidR="00B23759">
        <w:t xml:space="preserve">concern </w:t>
      </w:r>
      <w:r w:rsidR="00C87759">
        <w:t>just within the pesticide and cleaning industries, as evidenced in the studies outlined in the thought starter.</w:t>
      </w:r>
    </w:p>
    <w:p w:rsidR="00C87759" w:rsidRDefault="00943169" w:rsidP="00943169">
      <w:pPr>
        <w:pStyle w:val="SingleTxtG"/>
      </w:pPr>
      <w:r>
        <w:t>4.</w:t>
      </w:r>
      <w:r>
        <w:tab/>
      </w:r>
      <w:r w:rsidR="00C87759">
        <w:t xml:space="preserve">Following the feedback received, the experts from AISE and </w:t>
      </w:r>
      <w:proofErr w:type="spellStart"/>
      <w:r w:rsidR="00C87759">
        <w:t>Croplife</w:t>
      </w:r>
      <w:proofErr w:type="spellEnd"/>
      <w:r w:rsidR="00C87759">
        <w:t xml:space="preserve"> International revised the thought starter expanding the number of mixtures by 15</w:t>
      </w:r>
      <w:r w:rsidR="00460EDA">
        <w:t xml:space="preserve"> in the </w:t>
      </w:r>
      <w:r w:rsidR="00B23759">
        <w:t xml:space="preserve">referenced </w:t>
      </w:r>
      <w:r w:rsidR="00460EDA">
        <w:t>AISE data stud</w:t>
      </w:r>
      <w:r w:rsidR="00B23759">
        <w:t>ies</w:t>
      </w:r>
      <w:r w:rsidR="00C87759">
        <w:t xml:space="preserve">.  These new mixtures did not have stand-alone conclusion </w:t>
      </w:r>
      <w:proofErr w:type="gramStart"/>
      <w:r w:rsidR="00C87759">
        <w:t>data, but</w:t>
      </w:r>
      <w:proofErr w:type="gramEnd"/>
      <w:r w:rsidR="00C87759">
        <w:t xml:space="preserve"> </w:t>
      </w:r>
      <w:r w:rsidR="00460EDA">
        <w:t>were</w:t>
      </w:r>
      <w:r w:rsidR="00C87759">
        <w:t xml:space="preserve"> included based on a weight-of-evidence evaluation using a combination of </w:t>
      </w:r>
      <w:r w:rsidR="00C87759" w:rsidRPr="00C87759">
        <w:rPr>
          <w:i/>
        </w:rPr>
        <w:t>in-vitro</w:t>
      </w:r>
      <w:r w:rsidR="00C87759">
        <w:t xml:space="preserve"> </w:t>
      </w:r>
      <w:r w:rsidR="00B23759">
        <w:t xml:space="preserve">and </w:t>
      </w:r>
      <w:r w:rsidR="00B23759" w:rsidRPr="00C331C9">
        <w:rPr>
          <w:i/>
          <w:iCs/>
        </w:rPr>
        <w:t>in-vivo</w:t>
      </w:r>
      <w:r w:rsidR="00B23759">
        <w:t xml:space="preserve"> </w:t>
      </w:r>
      <w:r w:rsidR="00C87759">
        <w:t xml:space="preserve">studies on the same product.  The paper was also updated to include </w:t>
      </w:r>
      <w:r w:rsidR="00B23759">
        <w:t xml:space="preserve">reference to a </w:t>
      </w:r>
      <w:r w:rsidR="00460EDA">
        <w:t>CMP-Europe</w:t>
      </w:r>
      <w:r w:rsidR="00B23759">
        <w:t xml:space="preserve"> study with 1 mixture (i.e.</w:t>
      </w:r>
      <w:r w:rsidR="00C331C9">
        <w:t>,</w:t>
      </w:r>
      <w:r w:rsidR="00B23759">
        <w:t xml:space="preserve"> an </w:t>
      </w:r>
      <w:r w:rsidR="00C331C9">
        <w:t>antifouling</w:t>
      </w:r>
      <w:r w:rsidR="00B23759">
        <w:t xml:space="preserve"> paint)</w:t>
      </w:r>
      <w:r w:rsidR="00C87759">
        <w:t>.</w:t>
      </w:r>
    </w:p>
    <w:p w:rsidR="00C87759" w:rsidRPr="00C87759" w:rsidRDefault="00943169" w:rsidP="00943169">
      <w:pPr>
        <w:pStyle w:val="SingleTxtG"/>
        <w:rPr>
          <w:rFonts w:eastAsia="MS Mincho"/>
        </w:rPr>
      </w:pPr>
      <w:r>
        <w:t>5.</w:t>
      </w:r>
      <w:r>
        <w:tab/>
      </w:r>
      <w:r w:rsidR="00C87759" w:rsidRPr="00C87759">
        <w:t>The PCI held a teleconference on November 20, 2019</w:t>
      </w:r>
      <w:r w:rsidR="00C87759">
        <w:t xml:space="preserve"> </w:t>
      </w:r>
      <w:r w:rsidR="00B23759">
        <w:t>to discuss</w:t>
      </w:r>
      <w:r w:rsidR="00C87759">
        <w:t xml:space="preserve"> the revised thought starter. Following the discussion, the expert from AISE </w:t>
      </w:r>
      <w:r w:rsidR="00B23759">
        <w:t>communicated that AISE and CropLife ha</w:t>
      </w:r>
      <w:r w:rsidR="00C331C9">
        <w:t>ve</w:t>
      </w:r>
      <w:r w:rsidR="00B23759">
        <w:t xml:space="preserve"> already</w:t>
      </w:r>
      <w:r w:rsidR="00C87759">
        <w:t xml:space="preserve"> initiate</w:t>
      </w:r>
      <w:r w:rsidR="00C331C9">
        <w:t>d</w:t>
      </w:r>
      <w:r w:rsidR="00C87759">
        <w:t xml:space="preserve"> outreach to other trade associations </w:t>
      </w:r>
      <w:r w:rsidR="00460EDA">
        <w:t>for additional data and will</w:t>
      </w:r>
      <w:r w:rsidR="00C87759">
        <w:t xml:space="preserve"> provide an update </w:t>
      </w:r>
      <w:r w:rsidR="00460EDA">
        <w:t xml:space="preserve">on the work </w:t>
      </w:r>
      <w:r w:rsidR="00C87759">
        <w:t>prior to the 39</w:t>
      </w:r>
      <w:r w:rsidR="00C87759" w:rsidRPr="00C87759">
        <w:rPr>
          <w:vertAlign w:val="superscript"/>
        </w:rPr>
        <w:t>th</w:t>
      </w:r>
      <w:r w:rsidR="00C87759">
        <w:t xml:space="preserve"> Session.</w:t>
      </w:r>
    </w:p>
    <w:p w:rsidR="00C87759" w:rsidRDefault="00943169" w:rsidP="00943169">
      <w:pPr>
        <w:pStyle w:val="SingleTxtG"/>
      </w:pPr>
      <w:r>
        <w:lastRenderedPageBreak/>
        <w:t>6.</w:t>
      </w:r>
      <w:r>
        <w:tab/>
      </w:r>
      <w:r w:rsidR="00C87759">
        <w:t xml:space="preserve">The PCI working group will meet </w:t>
      </w:r>
      <w:r w:rsidR="00741368">
        <w:t xml:space="preserve">Wednesday 11 December 2019 from 11:00 to 11:45 in Room IV </w:t>
      </w:r>
      <w:r w:rsidR="00C87759">
        <w:t xml:space="preserve">to further progress items on its agreed program of work. The </w:t>
      </w:r>
      <w:r w:rsidR="00801693">
        <w:t>meeting</w:t>
      </w:r>
      <w:r w:rsidR="00C87759">
        <w:t xml:space="preserve"> ag</w:t>
      </w:r>
      <w:r w:rsidR="00801693">
        <w:t>enda is provided in the annex of</w:t>
      </w:r>
      <w:r w:rsidR="00C87759">
        <w:t xml:space="preserve"> this document.</w:t>
      </w:r>
    </w:p>
    <w:p w:rsidR="00E92A64" w:rsidRPr="000125FD" w:rsidRDefault="00E92A64" w:rsidP="00E92A64">
      <w:pPr>
        <w:pStyle w:val="SingleTxtG"/>
        <w:numPr>
          <w:ilvl w:val="0"/>
          <w:numId w:val="10"/>
        </w:numPr>
        <w:suppressAutoHyphens w:val="0"/>
        <w:spacing w:before="120" w:line="240" w:lineRule="auto"/>
        <w:rPr>
          <w:rFonts w:eastAsia="MS Mincho"/>
        </w:rPr>
      </w:pPr>
      <w:r w:rsidRPr="000125FD">
        <w:rPr>
          <w:rFonts w:eastAsia="MS Mincho"/>
        </w:rPr>
        <w:br w:type="page"/>
      </w:r>
    </w:p>
    <w:p w:rsidR="00124753" w:rsidRPr="00124753" w:rsidRDefault="00124753" w:rsidP="00124753">
      <w:pPr>
        <w:rPr>
          <w:b/>
          <w:bCs/>
          <w:sz w:val="28"/>
          <w:szCs w:val="28"/>
        </w:rPr>
      </w:pPr>
      <w:r w:rsidRPr="00124753">
        <w:rPr>
          <w:b/>
          <w:bCs/>
          <w:sz w:val="28"/>
          <w:szCs w:val="28"/>
        </w:rPr>
        <w:lastRenderedPageBreak/>
        <w:t>Annex</w:t>
      </w:r>
    </w:p>
    <w:p w:rsidR="00C87759" w:rsidRDefault="00943169" w:rsidP="00943169">
      <w:pPr>
        <w:pStyle w:val="HChG"/>
      </w:pPr>
      <w:r>
        <w:tab/>
      </w:r>
      <w:r>
        <w:tab/>
      </w:r>
      <w:r w:rsidR="00C87759" w:rsidRPr="00C87759">
        <w:t>Meeting Agenda</w:t>
      </w:r>
    </w:p>
    <w:p w:rsidR="00C87759" w:rsidRPr="00943169" w:rsidRDefault="00C87759" w:rsidP="00943169">
      <w:pPr>
        <w:pStyle w:val="SingleTxtG"/>
        <w:rPr>
          <w:rStyle w:val="SingleTxtGChar"/>
        </w:rPr>
      </w:pPr>
      <w:r w:rsidRPr="00943169">
        <w:rPr>
          <w:rStyle w:val="SingleTxtGChar"/>
        </w:rPr>
        <w:t>We will discuss the following items from our agreed program of work (see UN/SCEGHS/36/INF.38/Rev.1):</w:t>
      </w:r>
    </w:p>
    <w:p w:rsidR="00C87759" w:rsidRPr="00943169" w:rsidRDefault="00943169" w:rsidP="00943169">
      <w:pPr>
        <w:pStyle w:val="SingleTxtG"/>
        <w:rPr>
          <w:rStyle w:val="SingleTxtGChar"/>
        </w:rPr>
      </w:pPr>
      <w:r>
        <w:rPr>
          <w:rStyle w:val="SingleTxtGChar"/>
        </w:rPr>
        <w:t>1.</w:t>
      </w:r>
      <w:r>
        <w:rPr>
          <w:rStyle w:val="SingleTxtGChar"/>
        </w:rPr>
        <w:tab/>
      </w:r>
      <w:r w:rsidR="00C87759" w:rsidRPr="00943169">
        <w:rPr>
          <w:rStyle w:val="SingleTxtGChar"/>
        </w:rPr>
        <w:t>Issue (a)</w:t>
      </w:r>
    </w:p>
    <w:p w:rsidR="00C87759" w:rsidRPr="00943169" w:rsidRDefault="00C87759" w:rsidP="00943169">
      <w:pPr>
        <w:pStyle w:val="SingleTxtG"/>
        <w:rPr>
          <w:rStyle w:val="SingleTxtGChar"/>
        </w:rPr>
      </w:pPr>
      <w:r w:rsidRPr="00943169">
        <w:rPr>
          <w:rStyle w:val="SingleTxtGChar"/>
        </w:rPr>
        <w:t>Consider developing an example(s) to illustrate how to interpret both single exposure and repeated exposure data when interpreting the statements in Chapter 3.8 Specific Target Organ Toxicity Single Exposure (GHS paragraph 3.8.1.6) and Chapter 3.9 Specific Target Organ Toxicity –Repeated Exposure (GHS 3.9.1.6) that effects covered in other health hazard chapters are not included in Chapters 3.8 and 3.9.</w:t>
      </w:r>
    </w:p>
    <w:p w:rsidR="00C87759" w:rsidRPr="00943169" w:rsidRDefault="00943169" w:rsidP="00943169">
      <w:pPr>
        <w:pStyle w:val="SingleTxtG"/>
        <w:rPr>
          <w:rStyle w:val="SingleTxtGChar"/>
        </w:rPr>
      </w:pPr>
      <w:r>
        <w:rPr>
          <w:rStyle w:val="SingleTxtGChar"/>
        </w:rPr>
        <w:t>2.</w:t>
      </w:r>
      <w:r>
        <w:rPr>
          <w:rStyle w:val="SingleTxtGChar"/>
        </w:rPr>
        <w:tab/>
      </w:r>
      <w:r w:rsidR="00C87759" w:rsidRPr="00943169">
        <w:rPr>
          <w:rStyle w:val="SingleTxtGChar"/>
        </w:rPr>
        <w:t>Issue (d)</w:t>
      </w:r>
    </w:p>
    <w:p w:rsidR="00C87759" w:rsidRPr="00943169" w:rsidRDefault="00C87759" w:rsidP="00943169">
      <w:pPr>
        <w:pStyle w:val="SingleTxtG"/>
        <w:rPr>
          <w:rStyle w:val="SingleTxtGChar"/>
        </w:rPr>
      </w:pPr>
      <w:r w:rsidRPr="00943169">
        <w:rPr>
          <w:rStyle w:val="SingleTxtGChar"/>
        </w:rPr>
        <w:t xml:space="preserve">GHS paragraph 3.1.2.6.1 provides guidance on how to convert experimental inhalation toxicity values for tests using a </w:t>
      </w:r>
      <w:proofErr w:type="gramStart"/>
      <w:r w:rsidRPr="00943169">
        <w:rPr>
          <w:rStyle w:val="SingleTxtGChar"/>
        </w:rPr>
        <w:t>1 hour</w:t>
      </w:r>
      <w:proofErr w:type="gramEnd"/>
      <w:r w:rsidRPr="00943169">
        <w:rPr>
          <w:rStyle w:val="SingleTxtGChar"/>
        </w:rPr>
        <w:t xml:space="preserve"> exposure to a 4 hour equivalent for gases, </w:t>
      </w:r>
      <w:proofErr w:type="spellStart"/>
      <w:r w:rsidRPr="00943169">
        <w:rPr>
          <w:rStyle w:val="SingleTxtGChar"/>
        </w:rPr>
        <w:t>vapours</w:t>
      </w:r>
      <w:proofErr w:type="spellEnd"/>
      <w:r w:rsidRPr="00943169">
        <w:rPr>
          <w:rStyle w:val="SingleTxtGChar"/>
        </w:rPr>
        <w:t xml:space="preserve">, dusts and mists.  However, there is no guidance for tests using other exposure times (e.g., studies with </w:t>
      </w:r>
      <w:proofErr w:type="gramStart"/>
      <w:r w:rsidRPr="00943169">
        <w:rPr>
          <w:rStyle w:val="SingleTxtGChar"/>
        </w:rPr>
        <w:t>3 or 6 hour</w:t>
      </w:r>
      <w:proofErr w:type="gramEnd"/>
      <w:r w:rsidRPr="00943169">
        <w:rPr>
          <w:rStyle w:val="SingleTxtGChar"/>
        </w:rPr>
        <w:t xml:space="preserve"> exposure times). Consider providing guidance to paragraph 3.1.2.6.1 to address the conversion of inhalation toxicity values for tests using exposure times other than 1 hour.</w:t>
      </w:r>
    </w:p>
    <w:p w:rsidR="00C87759" w:rsidRPr="00943169" w:rsidRDefault="00943169" w:rsidP="00943169">
      <w:pPr>
        <w:pStyle w:val="SingleTxtG"/>
        <w:rPr>
          <w:rStyle w:val="SingleTxtGChar"/>
        </w:rPr>
      </w:pPr>
      <w:r>
        <w:rPr>
          <w:rStyle w:val="SingleTxtGChar"/>
        </w:rPr>
        <w:t>3.</w:t>
      </w:r>
      <w:r>
        <w:rPr>
          <w:rStyle w:val="SingleTxtGChar"/>
        </w:rPr>
        <w:tab/>
      </w:r>
      <w:r w:rsidR="00C87759" w:rsidRPr="00943169">
        <w:rPr>
          <w:rStyle w:val="SingleTxtGChar"/>
        </w:rPr>
        <w:t>Issue (e)</w:t>
      </w:r>
    </w:p>
    <w:p w:rsidR="00C87759" w:rsidRPr="00943169" w:rsidRDefault="00C87759" w:rsidP="00943169">
      <w:pPr>
        <w:pStyle w:val="SingleTxtG"/>
        <w:rPr>
          <w:rStyle w:val="SingleTxtGChar"/>
        </w:rPr>
      </w:pPr>
      <w:r w:rsidRPr="00943169">
        <w:rPr>
          <w:rStyle w:val="SingleTxtGChar"/>
        </w:rPr>
        <w:t>Taking into account the scope of applicability of additivity and its limitations, consider whether it should be possible to apply additivity in certain cases to other health hazards, for which additivity is currently not explicitly mentioned, and if so, how to clarify this in the GHS (see rationale in UN/SCEGHS/32/INF.35)</w:t>
      </w:r>
      <w:r w:rsidR="00943169">
        <w:rPr>
          <w:rStyle w:val="SingleTxtGChar"/>
        </w:rPr>
        <w:t>.</w:t>
      </w:r>
      <w:bookmarkStart w:id="0" w:name="_GoBack"/>
      <w:bookmarkEnd w:id="0"/>
    </w:p>
    <w:p w:rsidR="008D7C3D" w:rsidRPr="00943169" w:rsidRDefault="00943169" w:rsidP="00943169">
      <w:pPr>
        <w:spacing w:before="240"/>
        <w:jc w:val="center"/>
        <w:rPr>
          <w:rStyle w:val="SingleTxtGChar"/>
          <w:rFonts w:eastAsia="MS Mincho"/>
          <w:u w:val="single"/>
        </w:rPr>
      </w:pPr>
      <w:r>
        <w:rPr>
          <w:rStyle w:val="SingleTxtGChar"/>
          <w:rFonts w:eastAsia="MS Mincho"/>
          <w:u w:val="single"/>
        </w:rPr>
        <w:tab/>
      </w:r>
      <w:r>
        <w:rPr>
          <w:rStyle w:val="SingleTxtGChar"/>
          <w:rFonts w:eastAsia="MS Mincho"/>
          <w:u w:val="single"/>
        </w:rPr>
        <w:tab/>
      </w:r>
      <w:r>
        <w:rPr>
          <w:rStyle w:val="SingleTxtGChar"/>
          <w:rFonts w:eastAsia="MS Mincho"/>
          <w:u w:val="single"/>
        </w:rPr>
        <w:tab/>
      </w:r>
    </w:p>
    <w:sectPr w:rsidR="008D7C3D" w:rsidRPr="00943169" w:rsidSect="002A7946">
      <w:headerReference w:type="default" r:id="rId8"/>
      <w:footerReference w:type="default" r:id="rId9"/>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AAA" w:rsidRDefault="00F50AAA" w:rsidP="00203584">
      <w:pPr>
        <w:spacing w:line="240" w:lineRule="auto"/>
      </w:pPr>
      <w:r>
        <w:separator/>
      </w:r>
    </w:p>
  </w:endnote>
  <w:endnote w:type="continuationSeparator" w:id="0">
    <w:p w:rsidR="00F50AAA" w:rsidRDefault="00F50AAA"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75231739"/>
      <w:docPartObj>
        <w:docPartGallery w:val="Page Numbers (Bottom of Page)"/>
        <w:docPartUnique/>
      </w:docPartObj>
    </w:sdtPr>
    <w:sdtEndPr>
      <w:rPr>
        <w:noProof/>
      </w:rPr>
    </w:sdtEndPr>
    <w:sdtContent>
      <w:p w:rsidR="002A7946" w:rsidRPr="002A7946" w:rsidRDefault="002A7946">
        <w:pPr>
          <w:pStyle w:val="Footer"/>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00E50D3B">
          <w:rPr>
            <w:b/>
            <w:bCs/>
            <w:noProof/>
            <w:sz w:val="18"/>
            <w:szCs w:val="18"/>
          </w:rPr>
          <w:t>3</w:t>
        </w:r>
        <w:r w:rsidRPr="002A7946">
          <w:rPr>
            <w:b/>
            <w:bCs/>
            <w:noProof/>
            <w:sz w:val="18"/>
            <w:szCs w:val="18"/>
          </w:rPr>
          <w:fldChar w:fldCharType="end"/>
        </w:r>
      </w:p>
    </w:sdtContent>
  </w:sdt>
  <w:p w:rsidR="002A7946" w:rsidRPr="002A7946" w:rsidRDefault="002A794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AAA" w:rsidRDefault="00F50AAA" w:rsidP="00203584">
      <w:pPr>
        <w:spacing w:line="240" w:lineRule="auto"/>
      </w:pPr>
      <w:r>
        <w:separator/>
      </w:r>
    </w:p>
  </w:footnote>
  <w:footnote w:type="continuationSeparator" w:id="0">
    <w:p w:rsidR="00F50AAA" w:rsidRDefault="00F50AAA" w:rsidP="002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Pr="002A7946" w:rsidRDefault="002A7946" w:rsidP="002A7946">
    <w:pPr>
      <w:pStyle w:val="Header"/>
      <w:pBdr>
        <w:bottom w:val="single" w:sz="4" w:space="1" w:color="auto"/>
      </w:pBdr>
      <w:rPr>
        <w:b/>
        <w:bCs/>
        <w:sz w:val="18"/>
        <w:szCs w:val="18"/>
        <w:lang w:val="fr-CH"/>
      </w:rPr>
    </w:pPr>
    <w:r w:rsidRPr="002A7946">
      <w:rPr>
        <w:b/>
        <w:bCs/>
        <w:sz w:val="18"/>
        <w:szCs w:val="18"/>
        <w:lang w:val="fr-CH"/>
      </w:rPr>
      <w:t>UN/SCEGHS/3</w:t>
    </w:r>
    <w:r w:rsidR="00BD7AEF">
      <w:rPr>
        <w:b/>
        <w:bCs/>
        <w:sz w:val="18"/>
        <w:szCs w:val="18"/>
        <w:lang w:val="fr-CH"/>
      </w:rPr>
      <w:t>7</w:t>
    </w:r>
    <w:r w:rsidRPr="002A7946">
      <w:rPr>
        <w:b/>
        <w:bCs/>
        <w:sz w:val="18"/>
        <w:szCs w:val="18"/>
        <w:lang w:val="fr-CH"/>
      </w:rPr>
      <w:t>/INF.</w:t>
    </w:r>
    <w:r w:rsidR="00943169">
      <w:rPr>
        <w:b/>
        <w:bCs/>
        <w:sz w:val="18"/>
        <w:szCs w:val="18"/>
        <w:lang w:val="fr-CH"/>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5B7B"/>
    <w:multiLevelType w:val="hybridMultilevel"/>
    <w:tmpl w:val="4CF6DD1C"/>
    <w:lvl w:ilvl="0" w:tplc="08090001">
      <w:start w:val="1"/>
      <w:numFmt w:val="bullet"/>
      <w:lvlText w:val=""/>
      <w:lvlJc w:val="left"/>
      <w:pPr>
        <w:ind w:left="1797" w:hanging="360"/>
      </w:pPr>
      <w:rPr>
        <w:rFonts w:ascii="Symbol" w:hAnsi="Symbol" w:hint="default"/>
      </w:rPr>
    </w:lvl>
    <w:lvl w:ilvl="1" w:tplc="4F12E2E2">
      <w:numFmt w:val="bullet"/>
      <w:lvlText w:val="-"/>
      <w:lvlJc w:val="left"/>
      <w:pPr>
        <w:ind w:left="2781" w:hanging="624"/>
      </w:pPr>
      <w:rPr>
        <w:rFonts w:ascii="Times New Roman" w:eastAsia="MS Mincho"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10BB7AE0"/>
    <w:multiLevelType w:val="hybridMultilevel"/>
    <w:tmpl w:val="74B6DF3A"/>
    <w:lvl w:ilvl="0" w:tplc="E42E3F84">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72033D7"/>
    <w:multiLevelType w:val="hybridMultilevel"/>
    <w:tmpl w:val="FF20348E"/>
    <w:lvl w:ilvl="0" w:tplc="F2624EC0">
      <w:start w:val="3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F2D96"/>
    <w:multiLevelType w:val="hybridMultilevel"/>
    <w:tmpl w:val="054C8D9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0F6132E"/>
    <w:multiLevelType w:val="hybridMultilevel"/>
    <w:tmpl w:val="164CAB46"/>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86FD5"/>
    <w:multiLevelType w:val="hybridMultilevel"/>
    <w:tmpl w:val="17D2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722D3"/>
    <w:multiLevelType w:val="hybridMultilevel"/>
    <w:tmpl w:val="37566890"/>
    <w:lvl w:ilvl="0" w:tplc="657EF0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385387D"/>
    <w:multiLevelType w:val="hybridMultilevel"/>
    <w:tmpl w:val="A5AAE62C"/>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99517C"/>
    <w:multiLevelType w:val="hybridMultilevel"/>
    <w:tmpl w:val="785CF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1180942"/>
    <w:multiLevelType w:val="hybridMultilevel"/>
    <w:tmpl w:val="9EBAE3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1FC28EB"/>
    <w:multiLevelType w:val="hybridMultilevel"/>
    <w:tmpl w:val="4B2EA7D6"/>
    <w:lvl w:ilvl="0" w:tplc="9BEAF8DE">
      <w:start w:val="2"/>
      <w:numFmt w:val="bullet"/>
      <w:lvlText w:val="-"/>
      <w:lvlJc w:val="left"/>
      <w:pPr>
        <w:ind w:left="2345"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C409A4"/>
    <w:multiLevelType w:val="hybridMultilevel"/>
    <w:tmpl w:val="F5AEC436"/>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C5AEA"/>
    <w:multiLevelType w:val="hybridMultilevel"/>
    <w:tmpl w:val="1D747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B0C5456"/>
    <w:multiLevelType w:val="hybridMultilevel"/>
    <w:tmpl w:val="394A1590"/>
    <w:lvl w:ilvl="0" w:tplc="B8562DA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4380ABD"/>
    <w:multiLevelType w:val="hybridMultilevel"/>
    <w:tmpl w:val="17F8F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2649D3"/>
    <w:multiLevelType w:val="hybridMultilevel"/>
    <w:tmpl w:val="D19AA76E"/>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747C3A"/>
    <w:multiLevelType w:val="hybridMultilevel"/>
    <w:tmpl w:val="38D82E88"/>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3" w15:restartNumberingAfterBreak="0">
    <w:nsid w:val="71261194"/>
    <w:multiLevelType w:val="hybridMultilevel"/>
    <w:tmpl w:val="2B1C230C"/>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798B15B8"/>
    <w:multiLevelType w:val="hybridMultilevel"/>
    <w:tmpl w:val="81ECC6A6"/>
    <w:lvl w:ilvl="0" w:tplc="F2624EC0">
      <w:start w:val="3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8"/>
  </w:num>
  <w:num w:numId="4">
    <w:abstractNumId w:val="3"/>
  </w:num>
  <w:num w:numId="5">
    <w:abstractNumId w:val="6"/>
  </w:num>
  <w:num w:numId="6">
    <w:abstractNumId w:val="7"/>
  </w:num>
  <w:num w:numId="7">
    <w:abstractNumId w:val="24"/>
  </w:num>
  <w:num w:numId="8">
    <w:abstractNumId w:val="1"/>
  </w:num>
  <w:num w:numId="9">
    <w:abstractNumId w:val="14"/>
  </w:num>
  <w:num w:numId="10">
    <w:abstractNumId w:val="10"/>
  </w:num>
  <w:num w:numId="11">
    <w:abstractNumId w:val="12"/>
  </w:num>
  <w:num w:numId="12">
    <w:abstractNumId w:val="16"/>
  </w:num>
  <w:num w:numId="13">
    <w:abstractNumId w:val="5"/>
  </w:num>
  <w:num w:numId="14">
    <w:abstractNumId w:val="8"/>
  </w:num>
  <w:num w:numId="15">
    <w:abstractNumId w:val="17"/>
  </w:num>
  <w:num w:numId="16">
    <w:abstractNumId w:val="11"/>
  </w:num>
  <w:num w:numId="17">
    <w:abstractNumId w:val="15"/>
  </w:num>
  <w:num w:numId="18">
    <w:abstractNumId w:val="23"/>
  </w:num>
  <w:num w:numId="19">
    <w:abstractNumId w:val="22"/>
  </w:num>
  <w:num w:numId="20">
    <w:abstractNumId w:val="9"/>
  </w:num>
  <w:num w:numId="21">
    <w:abstractNumId w:val="21"/>
  </w:num>
  <w:num w:numId="22">
    <w:abstractNumId w:val="13"/>
  </w:num>
  <w:num w:numId="23">
    <w:abstractNumId w:val="25"/>
  </w:num>
  <w:num w:numId="24">
    <w:abstractNumId w:val="4"/>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106B9"/>
    <w:rsid w:val="00015CE8"/>
    <w:rsid w:val="00021E29"/>
    <w:rsid w:val="00037E95"/>
    <w:rsid w:val="0004012A"/>
    <w:rsid w:val="0007007F"/>
    <w:rsid w:val="000736C5"/>
    <w:rsid w:val="00086E13"/>
    <w:rsid w:val="000870E3"/>
    <w:rsid w:val="00091570"/>
    <w:rsid w:val="0009606F"/>
    <w:rsid w:val="000A6520"/>
    <w:rsid w:val="000B405A"/>
    <w:rsid w:val="000C30A7"/>
    <w:rsid w:val="000C55DB"/>
    <w:rsid w:val="000C727E"/>
    <w:rsid w:val="000D5782"/>
    <w:rsid w:val="000F3F3C"/>
    <w:rsid w:val="000F4956"/>
    <w:rsid w:val="000F74D7"/>
    <w:rsid w:val="001210C7"/>
    <w:rsid w:val="00124753"/>
    <w:rsid w:val="00130F0D"/>
    <w:rsid w:val="00137144"/>
    <w:rsid w:val="0015114B"/>
    <w:rsid w:val="00165248"/>
    <w:rsid w:val="00166903"/>
    <w:rsid w:val="00185FDB"/>
    <w:rsid w:val="001931DE"/>
    <w:rsid w:val="001A0A6A"/>
    <w:rsid w:val="001A34A6"/>
    <w:rsid w:val="001E2247"/>
    <w:rsid w:val="001E4C86"/>
    <w:rsid w:val="001E7040"/>
    <w:rsid w:val="001F0FE4"/>
    <w:rsid w:val="001F4464"/>
    <w:rsid w:val="00203584"/>
    <w:rsid w:val="002132F5"/>
    <w:rsid w:val="0021479B"/>
    <w:rsid w:val="00246ABD"/>
    <w:rsid w:val="00254798"/>
    <w:rsid w:val="00267F3B"/>
    <w:rsid w:val="00291992"/>
    <w:rsid w:val="002921C1"/>
    <w:rsid w:val="002A7946"/>
    <w:rsid w:val="002C2031"/>
    <w:rsid w:val="002D27CF"/>
    <w:rsid w:val="002D3360"/>
    <w:rsid w:val="002E1751"/>
    <w:rsid w:val="002E4CF3"/>
    <w:rsid w:val="002E5EB6"/>
    <w:rsid w:val="002F6CA0"/>
    <w:rsid w:val="003018B2"/>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F36D5"/>
    <w:rsid w:val="003F585F"/>
    <w:rsid w:val="004024DC"/>
    <w:rsid w:val="00415D9A"/>
    <w:rsid w:val="00431CC4"/>
    <w:rsid w:val="00436BD3"/>
    <w:rsid w:val="00437989"/>
    <w:rsid w:val="00443D2B"/>
    <w:rsid w:val="0044508C"/>
    <w:rsid w:val="004472C4"/>
    <w:rsid w:val="004578D4"/>
    <w:rsid w:val="00460EDA"/>
    <w:rsid w:val="0046610B"/>
    <w:rsid w:val="00471019"/>
    <w:rsid w:val="004719E8"/>
    <w:rsid w:val="00471A50"/>
    <w:rsid w:val="00480BEA"/>
    <w:rsid w:val="0049209D"/>
    <w:rsid w:val="004A59A6"/>
    <w:rsid w:val="004B0F57"/>
    <w:rsid w:val="004B60A0"/>
    <w:rsid w:val="004D0125"/>
    <w:rsid w:val="004F0726"/>
    <w:rsid w:val="00500E46"/>
    <w:rsid w:val="00584FE2"/>
    <w:rsid w:val="0058670B"/>
    <w:rsid w:val="00595167"/>
    <w:rsid w:val="005A28CD"/>
    <w:rsid w:val="005A334A"/>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373FA"/>
    <w:rsid w:val="0064031E"/>
    <w:rsid w:val="0064194B"/>
    <w:rsid w:val="00673BB6"/>
    <w:rsid w:val="00681C24"/>
    <w:rsid w:val="00694D62"/>
    <w:rsid w:val="006A6E42"/>
    <w:rsid w:val="006B00AF"/>
    <w:rsid w:val="006B1C47"/>
    <w:rsid w:val="006B21D5"/>
    <w:rsid w:val="006B356C"/>
    <w:rsid w:val="006B4CF8"/>
    <w:rsid w:val="006D4A31"/>
    <w:rsid w:val="006D73E4"/>
    <w:rsid w:val="006E5077"/>
    <w:rsid w:val="006E5B79"/>
    <w:rsid w:val="006F4017"/>
    <w:rsid w:val="006F4D98"/>
    <w:rsid w:val="00700ABE"/>
    <w:rsid w:val="00702906"/>
    <w:rsid w:val="0072397A"/>
    <w:rsid w:val="00733342"/>
    <w:rsid w:val="007379C5"/>
    <w:rsid w:val="00741368"/>
    <w:rsid w:val="0074588F"/>
    <w:rsid w:val="00760605"/>
    <w:rsid w:val="00766E42"/>
    <w:rsid w:val="00797CFD"/>
    <w:rsid w:val="007B4F0C"/>
    <w:rsid w:val="007C7831"/>
    <w:rsid w:val="007D06A0"/>
    <w:rsid w:val="00800D54"/>
    <w:rsid w:val="00801693"/>
    <w:rsid w:val="00812A81"/>
    <w:rsid w:val="00851A02"/>
    <w:rsid w:val="00856D26"/>
    <w:rsid w:val="00865416"/>
    <w:rsid w:val="008672B8"/>
    <w:rsid w:val="00890977"/>
    <w:rsid w:val="008A4DDD"/>
    <w:rsid w:val="008A51F0"/>
    <w:rsid w:val="008B43E8"/>
    <w:rsid w:val="008C7178"/>
    <w:rsid w:val="008D7C3D"/>
    <w:rsid w:val="008E3714"/>
    <w:rsid w:val="008F0381"/>
    <w:rsid w:val="00915E95"/>
    <w:rsid w:val="00941DC7"/>
    <w:rsid w:val="00943169"/>
    <w:rsid w:val="00947C80"/>
    <w:rsid w:val="00964DB3"/>
    <w:rsid w:val="00967F54"/>
    <w:rsid w:val="009808E7"/>
    <w:rsid w:val="00984379"/>
    <w:rsid w:val="009A4B51"/>
    <w:rsid w:val="009B3C31"/>
    <w:rsid w:val="009B3FEF"/>
    <w:rsid w:val="009D2966"/>
    <w:rsid w:val="00A04853"/>
    <w:rsid w:val="00A06FA3"/>
    <w:rsid w:val="00A3459F"/>
    <w:rsid w:val="00A359E5"/>
    <w:rsid w:val="00A42B3E"/>
    <w:rsid w:val="00A431C6"/>
    <w:rsid w:val="00A45A83"/>
    <w:rsid w:val="00A4609C"/>
    <w:rsid w:val="00A60B83"/>
    <w:rsid w:val="00A63CDF"/>
    <w:rsid w:val="00A7022F"/>
    <w:rsid w:val="00A85DB3"/>
    <w:rsid w:val="00AA0289"/>
    <w:rsid w:val="00AB548F"/>
    <w:rsid w:val="00AC0DFB"/>
    <w:rsid w:val="00AE08EB"/>
    <w:rsid w:val="00AE1FB6"/>
    <w:rsid w:val="00AE5C01"/>
    <w:rsid w:val="00AF6D86"/>
    <w:rsid w:val="00B05ACE"/>
    <w:rsid w:val="00B127AA"/>
    <w:rsid w:val="00B23759"/>
    <w:rsid w:val="00B25231"/>
    <w:rsid w:val="00B72FE5"/>
    <w:rsid w:val="00BB138B"/>
    <w:rsid w:val="00BB4EB0"/>
    <w:rsid w:val="00BD7AEF"/>
    <w:rsid w:val="00BE4DEE"/>
    <w:rsid w:val="00BF7915"/>
    <w:rsid w:val="00C0258D"/>
    <w:rsid w:val="00C0330F"/>
    <w:rsid w:val="00C03728"/>
    <w:rsid w:val="00C0385B"/>
    <w:rsid w:val="00C1152B"/>
    <w:rsid w:val="00C12E23"/>
    <w:rsid w:val="00C331C9"/>
    <w:rsid w:val="00C33E77"/>
    <w:rsid w:val="00C43907"/>
    <w:rsid w:val="00C569F4"/>
    <w:rsid w:val="00C65F6D"/>
    <w:rsid w:val="00C751F4"/>
    <w:rsid w:val="00C75C43"/>
    <w:rsid w:val="00C7713E"/>
    <w:rsid w:val="00C8432F"/>
    <w:rsid w:val="00C865A6"/>
    <w:rsid w:val="00C87759"/>
    <w:rsid w:val="00CA73D0"/>
    <w:rsid w:val="00CD42DC"/>
    <w:rsid w:val="00CF3F91"/>
    <w:rsid w:val="00D40462"/>
    <w:rsid w:val="00D4532E"/>
    <w:rsid w:val="00D82B7B"/>
    <w:rsid w:val="00D925E6"/>
    <w:rsid w:val="00D9436E"/>
    <w:rsid w:val="00DA5A7D"/>
    <w:rsid w:val="00DA7448"/>
    <w:rsid w:val="00DA7467"/>
    <w:rsid w:val="00DD3735"/>
    <w:rsid w:val="00DD7F12"/>
    <w:rsid w:val="00DF3705"/>
    <w:rsid w:val="00DF6B2B"/>
    <w:rsid w:val="00E0474E"/>
    <w:rsid w:val="00E054F6"/>
    <w:rsid w:val="00E44FAB"/>
    <w:rsid w:val="00E50D3B"/>
    <w:rsid w:val="00E66943"/>
    <w:rsid w:val="00E74472"/>
    <w:rsid w:val="00E76D3E"/>
    <w:rsid w:val="00E81527"/>
    <w:rsid w:val="00E911A3"/>
    <w:rsid w:val="00E92A64"/>
    <w:rsid w:val="00E96C4C"/>
    <w:rsid w:val="00EA0BCA"/>
    <w:rsid w:val="00EF0D81"/>
    <w:rsid w:val="00EF11EF"/>
    <w:rsid w:val="00F0689D"/>
    <w:rsid w:val="00F37398"/>
    <w:rsid w:val="00F50AAA"/>
    <w:rsid w:val="00F835EE"/>
    <w:rsid w:val="00FC3F12"/>
    <w:rsid w:val="00FD3974"/>
    <w:rsid w:val="00FD5C7F"/>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DDF45"/>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E92A64"/>
    <w:pPr>
      <w:spacing w:after="0" w:line="240" w:lineRule="auto"/>
      <w:ind w:right="0"/>
      <w:jc w:val="left"/>
      <w:outlineLvl w:val="0"/>
    </w:pPr>
  </w:style>
  <w:style w:type="paragraph" w:styleId="Heading2">
    <w:name w:val="heading 2"/>
    <w:basedOn w:val="Normal"/>
    <w:next w:val="Normal"/>
    <w:link w:val="Heading2Char"/>
    <w:qFormat/>
    <w:rsid w:val="00E92A64"/>
    <w:pPr>
      <w:spacing w:line="240" w:lineRule="auto"/>
      <w:outlineLvl w:val="1"/>
    </w:pPr>
  </w:style>
  <w:style w:type="paragraph" w:styleId="Heading3">
    <w:name w:val="heading 3"/>
    <w:basedOn w:val="Normal"/>
    <w:next w:val="Normal"/>
    <w:link w:val="Heading3Char"/>
    <w:qFormat/>
    <w:rsid w:val="00E92A64"/>
    <w:pPr>
      <w:spacing w:line="240" w:lineRule="auto"/>
      <w:outlineLvl w:val="2"/>
    </w:pPr>
  </w:style>
  <w:style w:type="paragraph" w:styleId="Heading4">
    <w:name w:val="heading 4"/>
    <w:basedOn w:val="Normal"/>
    <w:next w:val="Normal"/>
    <w:link w:val="Heading4Char"/>
    <w:qFormat/>
    <w:rsid w:val="00E92A64"/>
    <w:pPr>
      <w:spacing w:line="240" w:lineRule="auto"/>
      <w:outlineLvl w:val="3"/>
    </w:pPr>
  </w:style>
  <w:style w:type="paragraph" w:styleId="Heading5">
    <w:name w:val="heading 5"/>
    <w:basedOn w:val="Normal"/>
    <w:next w:val="Normal"/>
    <w:link w:val="Heading5Char"/>
    <w:qFormat/>
    <w:rsid w:val="00E92A64"/>
    <w:pPr>
      <w:spacing w:line="240" w:lineRule="auto"/>
      <w:outlineLvl w:val="4"/>
    </w:pPr>
  </w:style>
  <w:style w:type="paragraph" w:styleId="Heading6">
    <w:name w:val="heading 6"/>
    <w:basedOn w:val="Normal"/>
    <w:next w:val="Normal"/>
    <w:link w:val="Heading6Char"/>
    <w:qFormat/>
    <w:rsid w:val="00E92A64"/>
    <w:pPr>
      <w:spacing w:line="240" w:lineRule="auto"/>
      <w:outlineLvl w:val="5"/>
    </w:pPr>
  </w:style>
  <w:style w:type="paragraph" w:styleId="Heading7">
    <w:name w:val="heading 7"/>
    <w:basedOn w:val="Normal"/>
    <w:next w:val="Normal"/>
    <w:link w:val="Heading7Char"/>
    <w:qFormat/>
    <w:rsid w:val="00E92A64"/>
    <w:pPr>
      <w:spacing w:line="240" w:lineRule="auto"/>
      <w:outlineLvl w:val="6"/>
    </w:pPr>
  </w:style>
  <w:style w:type="paragraph" w:styleId="Heading8">
    <w:name w:val="heading 8"/>
    <w:basedOn w:val="Normal"/>
    <w:next w:val="Normal"/>
    <w:link w:val="Heading8Char"/>
    <w:qFormat/>
    <w:rsid w:val="00E92A64"/>
    <w:pPr>
      <w:spacing w:line="240" w:lineRule="auto"/>
      <w:outlineLvl w:val="7"/>
    </w:pPr>
  </w:style>
  <w:style w:type="paragraph" w:styleId="Heading9">
    <w:name w:val="heading 9"/>
    <w:basedOn w:val="Normal"/>
    <w:next w:val="Normal"/>
    <w:link w:val="Heading9Char"/>
    <w:qFormat/>
    <w:rsid w:val="00E92A6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F0D81"/>
    <w:rPr>
      <w:rFonts w:ascii="Tahoma" w:eastAsia="Times New Roman" w:hAnsi="Tahoma" w:cs="Tahoma"/>
      <w:sz w:val="16"/>
      <w:szCs w:val="16"/>
      <w:lang w:val="en-GB"/>
    </w:rPr>
  </w:style>
  <w:style w:type="paragraph" w:styleId="Header">
    <w:name w:val="header"/>
    <w:aliases w:val="6_G"/>
    <w:basedOn w:val="Normal"/>
    <w:link w:val="HeaderChar"/>
    <w:unhideWhenUsed/>
    <w:rsid w:val="00203584"/>
    <w:pPr>
      <w:tabs>
        <w:tab w:val="center" w:pos="4680"/>
        <w:tab w:val="right" w:pos="9360"/>
      </w:tabs>
      <w:spacing w:line="240" w:lineRule="auto"/>
    </w:pPr>
  </w:style>
  <w:style w:type="character" w:customStyle="1" w:styleId="HeaderChar">
    <w:name w:val="Header Char"/>
    <w:aliases w:val="6_G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aliases w:val="3_G"/>
    <w:basedOn w:val="Normal"/>
    <w:link w:val="FooterChar"/>
    <w:unhideWhenUsed/>
    <w:rsid w:val="00203584"/>
    <w:pPr>
      <w:tabs>
        <w:tab w:val="center" w:pos="4680"/>
        <w:tab w:val="right" w:pos="9360"/>
      </w:tabs>
      <w:spacing w:line="240" w:lineRule="auto"/>
    </w:pPr>
  </w:style>
  <w:style w:type="character" w:customStyle="1" w:styleId="FooterChar">
    <w:name w:val="Footer Char"/>
    <w:aliases w:val="3_G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Heading1Char">
    <w:name w:val="Heading 1 Char"/>
    <w:aliases w:val="Table_G Char"/>
    <w:basedOn w:val="DefaultParagraphFont"/>
    <w:link w:val="Heading1"/>
    <w:rsid w:val="00E92A64"/>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E92A64"/>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E92A64"/>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E92A64"/>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E92A64"/>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E92A64"/>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E92A64"/>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E92A64"/>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E92A64"/>
    <w:rPr>
      <w:rFonts w:ascii="Times New Roman" w:eastAsia="Times New Roman" w:hAnsi="Times New Roman" w:cs="Times New Roman"/>
      <w:sz w:val="20"/>
      <w:szCs w:val="20"/>
      <w:lang w:val="en-GB"/>
    </w:rPr>
  </w:style>
  <w:style w:type="paragraph" w:customStyle="1" w:styleId="HMG">
    <w:name w:val="_ H __M_G"/>
    <w:basedOn w:val="Normal"/>
    <w:next w:val="Normal"/>
    <w:rsid w:val="00E92A64"/>
    <w:pPr>
      <w:keepNext/>
      <w:keepLines/>
      <w:tabs>
        <w:tab w:val="right" w:pos="851"/>
      </w:tabs>
      <w:spacing w:before="240" w:after="240" w:line="360" w:lineRule="exact"/>
      <w:ind w:left="1134" w:right="1134" w:hanging="1134"/>
    </w:pPr>
    <w:rPr>
      <w:b/>
      <w:sz w:val="34"/>
    </w:rPr>
  </w:style>
  <w:style w:type="character" w:styleId="FootnoteReference">
    <w:name w:val="footnote reference"/>
    <w:aliases w:val="4_G"/>
    <w:rsid w:val="00E92A64"/>
    <w:rPr>
      <w:rFonts w:ascii="Times New Roman" w:hAnsi="Times New Roman"/>
      <w:sz w:val="18"/>
      <w:vertAlign w:val="superscript"/>
    </w:rPr>
  </w:style>
  <w:style w:type="character" w:styleId="EndnoteReference">
    <w:name w:val="endnote reference"/>
    <w:aliases w:val="1_G"/>
    <w:basedOn w:val="FootnoteReference"/>
    <w:rsid w:val="00E92A64"/>
    <w:rPr>
      <w:rFonts w:ascii="Times New Roman" w:hAnsi="Times New Roman"/>
      <w:sz w:val="18"/>
      <w:vertAlign w:val="superscript"/>
    </w:rPr>
  </w:style>
  <w:style w:type="table" w:styleId="TableGrid">
    <w:name w:val="Table Grid"/>
    <w:basedOn w:val="TableNormal"/>
    <w:uiPriority w:val="59"/>
    <w:rsid w:val="00E92A64"/>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A64"/>
    <w:rPr>
      <w:color w:val="auto"/>
      <w:u w:val="none"/>
    </w:rPr>
  </w:style>
  <w:style w:type="paragraph" w:customStyle="1" w:styleId="SMG">
    <w:name w:val="__S_M_G"/>
    <w:basedOn w:val="Normal"/>
    <w:next w:val="Normal"/>
    <w:rsid w:val="00E92A64"/>
    <w:pPr>
      <w:keepNext/>
      <w:keepLines/>
      <w:spacing w:before="240" w:after="240" w:line="420" w:lineRule="exact"/>
      <w:ind w:left="1134" w:right="1134"/>
    </w:pPr>
    <w:rPr>
      <w:b/>
      <w:sz w:val="40"/>
    </w:rPr>
  </w:style>
  <w:style w:type="paragraph" w:customStyle="1" w:styleId="SLG">
    <w:name w:val="__S_L_G"/>
    <w:basedOn w:val="Normal"/>
    <w:next w:val="Normal"/>
    <w:rsid w:val="00E92A64"/>
    <w:pPr>
      <w:keepNext/>
      <w:keepLines/>
      <w:spacing w:before="240" w:after="240" w:line="580" w:lineRule="exact"/>
      <w:ind w:left="1134" w:right="1134"/>
    </w:pPr>
    <w:rPr>
      <w:b/>
      <w:sz w:val="56"/>
    </w:rPr>
  </w:style>
  <w:style w:type="paragraph" w:customStyle="1" w:styleId="SSG">
    <w:name w:val="__S_S_G"/>
    <w:basedOn w:val="Normal"/>
    <w:next w:val="Normal"/>
    <w:rsid w:val="00E92A6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E92A6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92A64"/>
    <w:rPr>
      <w:rFonts w:ascii="Times New Roman" w:eastAsia="Times New Roman" w:hAnsi="Times New Roman" w:cs="Times New Roman"/>
      <w:sz w:val="18"/>
      <w:szCs w:val="20"/>
      <w:lang w:val="en-GB"/>
    </w:rPr>
  </w:style>
  <w:style w:type="paragraph" w:styleId="EndnoteText">
    <w:name w:val="endnote text"/>
    <w:aliases w:val="2_G"/>
    <w:basedOn w:val="FootnoteText"/>
    <w:link w:val="EndnoteTextChar"/>
    <w:rsid w:val="00E92A64"/>
  </w:style>
  <w:style w:type="character" w:customStyle="1" w:styleId="EndnoteTextChar">
    <w:name w:val="Endnote Text Char"/>
    <w:aliases w:val="2_G Char"/>
    <w:basedOn w:val="DefaultParagraphFont"/>
    <w:link w:val="EndnoteText"/>
    <w:rsid w:val="00E92A64"/>
    <w:rPr>
      <w:rFonts w:ascii="Times New Roman" w:eastAsia="Times New Roman" w:hAnsi="Times New Roman" w:cs="Times New Roman"/>
      <w:sz w:val="18"/>
      <w:szCs w:val="20"/>
      <w:lang w:val="en-GB"/>
    </w:rPr>
  </w:style>
  <w:style w:type="character" w:styleId="PageNumber">
    <w:name w:val="page number"/>
    <w:aliases w:val="7_G"/>
    <w:rsid w:val="00E92A64"/>
    <w:rPr>
      <w:rFonts w:ascii="Times New Roman" w:hAnsi="Times New Roman"/>
      <w:b/>
      <w:sz w:val="18"/>
    </w:rPr>
  </w:style>
  <w:style w:type="paragraph" w:customStyle="1" w:styleId="XLargeG">
    <w:name w:val="__XLarge_G"/>
    <w:basedOn w:val="Normal"/>
    <w:next w:val="Normal"/>
    <w:rsid w:val="00E92A64"/>
    <w:pPr>
      <w:keepNext/>
      <w:keepLines/>
      <w:spacing w:before="240" w:after="240" w:line="420" w:lineRule="exact"/>
      <w:ind w:left="1134" w:right="1134"/>
    </w:pPr>
    <w:rPr>
      <w:b/>
      <w:sz w:val="40"/>
    </w:rPr>
  </w:style>
  <w:style w:type="paragraph" w:customStyle="1" w:styleId="Bullet1G">
    <w:name w:val="_Bullet 1_G"/>
    <w:basedOn w:val="Normal"/>
    <w:rsid w:val="00E92A64"/>
    <w:pPr>
      <w:numPr>
        <w:numId w:val="1"/>
      </w:numPr>
      <w:spacing w:after="120"/>
      <w:ind w:right="1134"/>
      <w:jc w:val="both"/>
    </w:pPr>
  </w:style>
  <w:style w:type="paragraph" w:customStyle="1" w:styleId="Bullet2G">
    <w:name w:val="_Bullet 2_G"/>
    <w:basedOn w:val="Normal"/>
    <w:rsid w:val="00E92A64"/>
    <w:pPr>
      <w:numPr>
        <w:numId w:val="2"/>
      </w:numPr>
      <w:spacing w:after="120"/>
      <w:ind w:right="1134"/>
      <w:jc w:val="both"/>
    </w:pPr>
  </w:style>
  <w:style w:type="paragraph" w:customStyle="1" w:styleId="H23G">
    <w:name w:val="_ H_2/3_G"/>
    <w:basedOn w:val="Normal"/>
    <w:next w:val="Normal"/>
    <w:rsid w:val="00E92A6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A6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A64"/>
    <w:pPr>
      <w:keepNext/>
      <w:keepLines/>
      <w:tabs>
        <w:tab w:val="right" w:pos="851"/>
      </w:tabs>
      <w:spacing w:before="240" w:after="120" w:line="240" w:lineRule="exact"/>
      <w:ind w:left="1134" w:right="1134" w:hanging="1134"/>
    </w:pPr>
  </w:style>
  <w:style w:type="character" w:customStyle="1" w:styleId="SingleTxtGChar">
    <w:name w:val="_ Single Txt_G Char"/>
    <w:rsid w:val="00E92A64"/>
    <w:rPr>
      <w:lang w:eastAsia="en-US"/>
    </w:rPr>
  </w:style>
  <w:style w:type="table" w:customStyle="1" w:styleId="TableGrid1">
    <w:name w:val="Table Grid1"/>
    <w:basedOn w:val="TableNormal"/>
    <w:next w:val="TableGrid"/>
    <w:rsid w:val="00E92A6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2A64"/>
    <w:rPr>
      <w:color w:val="605E5C"/>
      <w:shd w:val="clear" w:color="auto" w:fill="E1DFDD"/>
    </w:rPr>
  </w:style>
  <w:style w:type="character" w:styleId="CommentReference">
    <w:name w:val="annotation reference"/>
    <w:basedOn w:val="DefaultParagraphFont"/>
    <w:uiPriority w:val="99"/>
    <w:semiHidden/>
    <w:unhideWhenUsed/>
    <w:rsid w:val="00E92A64"/>
    <w:rPr>
      <w:sz w:val="16"/>
      <w:szCs w:val="16"/>
    </w:rPr>
  </w:style>
  <w:style w:type="paragraph" w:styleId="CommentText">
    <w:name w:val="annotation text"/>
    <w:basedOn w:val="Normal"/>
    <w:link w:val="CommentTextChar"/>
    <w:uiPriority w:val="99"/>
    <w:unhideWhenUsed/>
    <w:rsid w:val="00E92A64"/>
    <w:pPr>
      <w:spacing w:line="240" w:lineRule="auto"/>
    </w:pPr>
  </w:style>
  <w:style w:type="character" w:customStyle="1" w:styleId="CommentTextChar">
    <w:name w:val="Comment Text Char"/>
    <w:basedOn w:val="DefaultParagraphFont"/>
    <w:link w:val="CommentText"/>
    <w:uiPriority w:val="99"/>
    <w:rsid w:val="00E92A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E92A64"/>
    <w:rPr>
      <w:b/>
      <w:bCs/>
    </w:rPr>
  </w:style>
  <w:style w:type="character" w:customStyle="1" w:styleId="CommentSubjectChar">
    <w:name w:val="Comment Subject Char"/>
    <w:basedOn w:val="CommentTextChar"/>
    <w:link w:val="CommentSubject"/>
    <w:semiHidden/>
    <w:rsid w:val="00E92A6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E92A64"/>
    <w:pPr>
      <w:suppressAutoHyphens w:val="0"/>
      <w:spacing w:line="240" w:lineRule="auto"/>
      <w:ind w:left="720"/>
      <w:contextualSpacing/>
    </w:pPr>
    <w:rPr>
      <w:rFonts w:ascii="Calibri" w:eastAsiaTheme="minorEastAsia" w:hAnsi="Calibri" w:cstheme="minorBidi"/>
      <w:szCs w:val="24"/>
      <w:lang w:val="en-US"/>
    </w:rPr>
  </w:style>
  <w:style w:type="paragraph" w:styleId="Revision">
    <w:name w:val="Revision"/>
    <w:hidden/>
    <w:uiPriority w:val="99"/>
    <w:semiHidden/>
    <w:rsid w:val="00E92A64"/>
    <w:pPr>
      <w:spacing w:after="0" w:line="240" w:lineRule="auto"/>
    </w:pPr>
    <w:rPr>
      <w:rFonts w:ascii="Times New Roman" w:eastAsia="Times New Roman" w:hAnsi="Times New Roman" w:cs="Times New Roman"/>
      <w:sz w:val="20"/>
      <w:szCs w:val="20"/>
      <w:lang w:val="en-GB"/>
    </w:rPr>
  </w:style>
  <w:style w:type="character" w:customStyle="1" w:styleId="UnresolvedMention2">
    <w:name w:val="Unresolved Mention2"/>
    <w:basedOn w:val="DefaultParagraphFont"/>
    <w:uiPriority w:val="99"/>
    <w:semiHidden/>
    <w:unhideWhenUsed/>
    <w:rsid w:val="00E92A64"/>
    <w:rPr>
      <w:color w:val="605E5C"/>
      <w:shd w:val="clear" w:color="auto" w:fill="E1DFDD"/>
    </w:rPr>
  </w:style>
  <w:style w:type="character" w:customStyle="1" w:styleId="UnresolvedMention3">
    <w:name w:val="Unresolved Mention3"/>
    <w:basedOn w:val="DefaultParagraphFont"/>
    <w:uiPriority w:val="99"/>
    <w:semiHidden/>
    <w:unhideWhenUsed/>
    <w:rsid w:val="00E92A64"/>
    <w:rPr>
      <w:color w:val="605E5C"/>
      <w:shd w:val="clear" w:color="auto" w:fill="E1DFDD"/>
    </w:rPr>
  </w:style>
  <w:style w:type="character" w:customStyle="1" w:styleId="UnresolvedMention4">
    <w:name w:val="Unresolved Mention4"/>
    <w:basedOn w:val="DefaultParagraphFont"/>
    <w:uiPriority w:val="99"/>
    <w:semiHidden/>
    <w:unhideWhenUsed/>
    <w:rsid w:val="00E92A64"/>
    <w:rPr>
      <w:color w:val="605E5C"/>
      <w:shd w:val="clear" w:color="auto" w:fill="E1DFDD"/>
    </w:rPr>
  </w:style>
  <w:style w:type="paragraph" w:styleId="PlainText">
    <w:name w:val="Plain Text"/>
    <w:basedOn w:val="Normal"/>
    <w:link w:val="PlainTextChar"/>
    <w:uiPriority w:val="99"/>
    <w:semiHidden/>
    <w:unhideWhenUsed/>
    <w:rsid w:val="00C87759"/>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C877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7304">
      <w:bodyDiv w:val="1"/>
      <w:marLeft w:val="0"/>
      <w:marRight w:val="0"/>
      <w:marTop w:val="0"/>
      <w:marBottom w:val="0"/>
      <w:divBdr>
        <w:top w:val="none" w:sz="0" w:space="0" w:color="auto"/>
        <w:left w:val="none" w:sz="0" w:space="0" w:color="auto"/>
        <w:bottom w:val="none" w:sz="0" w:space="0" w:color="auto"/>
        <w:right w:val="none" w:sz="0" w:space="0" w:color="auto"/>
      </w:divBdr>
    </w:div>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1542-DF16-44AA-8EAC-3AACD39D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Christine Barrio-Champeau</cp:lastModifiedBy>
  <cp:revision>3</cp:revision>
  <cp:lastPrinted>2019-12-11T08:14:00Z</cp:lastPrinted>
  <dcterms:created xsi:type="dcterms:W3CDTF">2019-12-11T08:15:00Z</dcterms:created>
  <dcterms:modified xsi:type="dcterms:W3CDTF">2019-12-11T08:19:00Z</dcterms:modified>
</cp:coreProperties>
</file>