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21BD9032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14979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5C4EAB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42DA4C" w14:textId="77777777" w:rsidR="00E52109" w:rsidRDefault="005F1E81" w:rsidP="005F1E81">
            <w:pPr>
              <w:suppressAutoHyphens w:val="0"/>
              <w:jc w:val="right"/>
            </w:pPr>
            <w:r w:rsidRPr="005F1E81">
              <w:rPr>
                <w:sz w:val="40"/>
              </w:rPr>
              <w:t>ST</w:t>
            </w:r>
            <w:r>
              <w:t>/SG/AC.10/C.4/77/Rev.1</w:t>
            </w:r>
          </w:p>
        </w:tc>
      </w:tr>
      <w:tr w:rsidR="00E52109" w14:paraId="535D252A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05187F0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FE1419F" wp14:editId="1F9F3759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2D8B763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F002974" w14:textId="77777777" w:rsidR="00D94B05" w:rsidRDefault="005F1E81" w:rsidP="005F1E81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24434339" w14:textId="20836CD1" w:rsidR="005F1E81" w:rsidRDefault="00FD47DA" w:rsidP="005F1E81">
            <w:pPr>
              <w:suppressAutoHyphens w:val="0"/>
              <w:spacing w:line="240" w:lineRule="exact"/>
            </w:pPr>
            <w:r>
              <w:t>4</w:t>
            </w:r>
            <w:r w:rsidR="0097072E" w:rsidRPr="0097072E">
              <w:t xml:space="preserve"> August</w:t>
            </w:r>
            <w:r w:rsidR="005F1E81" w:rsidRPr="0097072E">
              <w:t xml:space="preserve"> 2020</w:t>
            </w:r>
          </w:p>
          <w:p w14:paraId="4376B3C1" w14:textId="77777777" w:rsidR="005F1E81" w:rsidRDefault="005F1E81" w:rsidP="005F1E81">
            <w:pPr>
              <w:suppressAutoHyphens w:val="0"/>
              <w:spacing w:line="240" w:lineRule="exact"/>
            </w:pPr>
          </w:p>
          <w:p w14:paraId="3BDAC8FB" w14:textId="77777777" w:rsidR="005F1E81" w:rsidRDefault="005F1E81" w:rsidP="005F1E81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768603CA" w14:textId="77777777" w:rsidR="005F15AE" w:rsidRPr="009F0F06" w:rsidRDefault="005F15AE" w:rsidP="004858F5">
      <w:pPr>
        <w:spacing w:before="120"/>
        <w:rPr>
          <w:b/>
          <w:sz w:val="24"/>
          <w:szCs w:val="24"/>
          <w:lang w:val="en-US"/>
        </w:rPr>
      </w:pPr>
      <w:r w:rsidRPr="009F0F06"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on the Globally Harmonized System of Classification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Labelling of Chemicals</w:t>
      </w:r>
    </w:p>
    <w:p w14:paraId="0E4C5BC4" w14:textId="77777777" w:rsidR="005F15AE" w:rsidRPr="009F0F06" w:rsidRDefault="005F15AE" w:rsidP="004858F5">
      <w:pPr>
        <w:spacing w:before="120"/>
        <w:rPr>
          <w:rFonts w:ascii="Helv" w:hAnsi="Helv" w:cs="Helv"/>
          <w:b/>
          <w:color w:val="000000"/>
          <w:lang w:val="en-US"/>
        </w:rPr>
      </w:pPr>
      <w:r w:rsidRPr="009F0F06">
        <w:rPr>
          <w:b/>
          <w:lang w:val="en-US"/>
        </w:rPr>
        <w:t>Sub-Committee of Experts on the Globally Harmonized</w:t>
      </w:r>
      <w:r>
        <w:rPr>
          <w:b/>
          <w:lang w:val="en-US"/>
        </w:rPr>
        <w:br/>
      </w:r>
      <w:r w:rsidRPr="009F0F06">
        <w:rPr>
          <w:b/>
          <w:lang w:val="en-US"/>
        </w:rPr>
        <w:t>System of Classification and Labelling of Chemicals</w:t>
      </w:r>
    </w:p>
    <w:p w14:paraId="653551F2" w14:textId="77777777" w:rsidR="005F15AE" w:rsidRPr="00283442" w:rsidRDefault="005F15AE" w:rsidP="008631D8">
      <w:pPr>
        <w:spacing w:before="120"/>
        <w:rPr>
          <w:b/>
        </w:rPr>
      </w:pPr>
      <w:r w:rsidRPr="00283442">
        <w:rPr>
          <w:b/>
          <w:bCs/>
        </w:rPr>
        <w:t>T</w:t>
      </w:r>
      <w:r>
        <w:rPr>
          <w:b/>
          <w:bCs/>
        </w:rPr>
        <w:t>hirty-ninth</w:t>
      </w:r>
      <w:r w:rsidRPr="00283442">
        <w:rPr>
          <w:b/>
          <w:bCs/>
        </w:rPr>
        <w:t xml:space="preserve"> session</w:t>
      </w:r>
    </w:p>
    <w:p w14:paraId="499592EC" w14:textId="54DF1ABA" w:rsidR="005F15AE" w:rsidRPr="00283442" w:rsidRDefault="005F15AE" w:rsidP="008631D8">
      <w:pPr>
        <w:jc w:val="both"/>
      </w:pPr>
      <w:r w:rsidRPr="00283442">
        <w:t xml:space="preserve">Geneva, </w:t>
      </w:r>
      <w:r>
        <w:t>9-11 December 2020</w:t>
      </w:r>
    </w:p>
    <w:p w14:paraId="0A3231B1" w14:textId="77777777" w:rsidR="005F15AE" w:rsidRPr="00283442" w:rsidRDefault="005F15AE" w:rsidP="008631D8">
      <w:pPr>
        <w:jc w:val="both"/>
        <w:rPr>
          <w:lang w:val="en-US"/>
        </w:rPr>
      </w:pPr>
      <w:r w:rsidRPr="00283442">
        <w:rPr>
          <w:lang w:val="en-US"/>
        </w:rPr>
        <w:t>Item 1 of the provisional agenda</w:t>
      </w:r>
    </w:p>
    <w:p w14:paraId="42A9117E" w14:textId="77777777" w:rsidR="005F15AE" w:rsidRPr="00283442" w:rsidRDefault="005F15AE" w:rsidP="008631D8">
      <w:pPr>
        <w:jc w:val="both"/>
        <w:rPr>
          <w:b/>
        </w:rPr>
      </w:pPr>
      <w:r w:rsidRPr="00283442">
        <w:rPr>
          <w:b/>
          <w:lang w:val="en-US"/>
        </w:rPr>
        <w:t>Adoption of the agenda</w:t>
      </w:r>
    </w:p>
    <w:p w14:paraId="6B10DF78" w14:textId="77777777" w:rsidR="005F15AE" w:rsidRPr="00283442" w:rsidRDefault="005F15AE" w:rsidP="008631D8">
      <w:pPr>
        <w:pStyle w:val="HChG"/>
        <w:keepNext w:val="0"/>
        <w:keepLines w:val="0"/>
        <w:rPr>
          <w:b w:val="0"/>
        </w:rPr>
      </w:pPr>
      <w:r w:rsidRPr="00283442">
        <w:tab/>
      </w:r>
      <w:r w:rsidRPr="00283442">
        <w:tab/>
        <w:t>Provisional agenda for the t</w:t>
      </w:r>
      <w:r>
        <w:t>hirty-ninth</w:t>
      </w:r>
      <w:r w:rsidRPr="00283442">
        <w:t xml:space="preserve"> session</w:t>
      </w:r>
      <w:r w:rsidRPr="009A51E7">
        <w:rPr>
          <w:rStyle w:val="FootnoteReference"/>
          <w:sz w:val="20"/>
          <w:vertAlign w:val="baseline"/>
        </w:rPr>
        <w:footnoteReference w:customMarkFollows="1" w:id="2"/>
        <w:t>*</w:t>
      </w:r>
      <w:r w:rsidRPr="009A51E7">
        <w:rPr>
          <w:sz w:val="20"/>
          <w:vertAlign w:val="superscript"/>
        </w:rPr>
        <w:t>,</w:t>
      </w:r>
      <w:r w:rsidRPr="00283442">
        <w:t xml:space="preserve"> </w:t>
      </w:r>
      <w:r w:rsidRPr="009A51E7">
        <w:rPr>
          <w:rStyle w:val="FootnoteReference"/>
          <w:sz w:val="20"/>
          <w:vertAlign w:val="baseline"/>
        </w:rPr>
        <w:footnoteReference w:customMarkFollows="1" w:id="3"/>
        <w:t>**</w:t>
      </w:r>
      <w:r w:rsidRPr="009A51E7">
        <w:rPr>
          <w:sz w:val="20"/>
          <w:vertAlign w:val="superscript"/>
        </w:rPr>
        <w:t>,</w:t>
      </w:r>
      <w:r>
        <w:rPr>
          <w:sz w:val="20"/>
        </w:rPr>
        <w:t xml:space="preserve"> </w:t>
      </w:r>
      <w:r w:rsidRPr="009A51E7">
        <w:rPr>
          <w:rStyle w:val="FootnoteReference"/>
          <w:sz w:val="20"/>
          <w:vertAlign w:val="baseline"/>
        </w:rPr>
        <w:footnoteReference w:customMarkFollows="1" w:id="4"/>
        <w:t>***</w:t>
      </w:r>
    </w:p>
    <w:p w14:paraId="0159F07D" w14:textId="1F28674A" w:rsidR="005F15AE" w:rsidRDefault="005F15AE">
      <w:pPr>
        <w:pStyle w:val="H56G"/>
        <w:keepNext w:val="0"/>
        <w:keepLines w:val="0"/>
      </w:pPr>
      <w:r w:rsidRPr="00283442">
        <w:tab/>
      </w:r>
      <w:r w:rsidRPr="00283442">
        <w:tab/>
      </w:r>
      <w:r>
        <w:t>T</w:t>
      </w:r>
      <w:r w:rsidRPr="00283442">
        <w:t>o be held at the Palais des Nations, Geneva</w:t>
      </w:r>
      <w:r>
        <w:t>,</w:t>
      </w:r>
      <w:r w:rsidRPr="00283442">
        <w:t xml:space="preserve"> starting at </w:t>
      </w:r>
      <w:r>
        <w:t xml:space="preserve">10:00 </w:t>
      </w:r>
      <w:r w:rsidRPr="00283442">
        <w:t xml:space="preserve">on </w:t>
      </w:r>
      <w:r>
        <w:t>Wednesday</w:t>
      </w:r>
      <w:r w:rsidRPr="00283442">
        <w:t xml:space="preserve"> </w:t>
      </w:r>
      <w:r>
        <w:t>9 December 2020</w:t>
      </w:r>
    </w:p>
    <w:p w14:paraId="070A9F07" w14:textId="26793C70" w:rsidR="005939D2" w:rsidRDefault="005939D2" w:rsidP="005939D2">
      <w:pPr>
        <w:pStyle w:val="H1G"/>
      </w:pPr>
      <w:r>
        <w:tab/>
      </w:r>
      <w:r>
        <w:tab/>
      </w:r>
      <w:r w:rsidRPr="005939D2">
        <w:t>Revision</w:t>
      </w:r>
    </w:p>
    <w:p w14:paraId="4E9BC943" w14:textId="2BD12863" w:rsidR="005939D2" w:rsidRPr="007C45E3" w:rsidRDefault="0020523C" w:rsidP="00D72883">
      <w:pPr>
        <w:pStyle w:val="SingleTxtG"/>
        <w:rPr>
          <w:i/>
          <w:iCs/>
        </w:rPr>
      </w:pPr>
      <w:r w:rsidRPr="007C45E3">
        <w:rPr>
          <w:b/>
          <w:bCs/>
          <w:i/>
          <w:iCs/>
        </w:rPr>
        <w:t>Note by the secretariat:</w:t>
      </w:r>
      <w:r w:rsidRPr="007C45E3">
        <w:rPr>
          <w:i/>
          <w:iCs/>
        </w:rPr>
        <w:t xml:space="preserve"> </w:t>
      </w:r>
      <w:r w:rsidR="005939D2" w:rsidRPr="007C45E3">
        <w:rPr>
          <w:i/>
          <w:iCs/>
        </w:rPr>
        <w:t>Due to the risks related to the</w:t>
      </w:r>
      <w:r w:rsidR="00A5446C" w:rsidRPr="007C45E3">
        <w:rPr>
          <w:i/>
          <w:iCs/>
        </w:rPr>
        <w:t xml:space="preserve"> spread of the</w:t>
      </w:r>
      <w:r w:rsidR="005939D2" w:rsidRPr="007C45E3">
        <w:rPr>
          <w:i/>
          <w:iCs/>
        </w:rPr>
        <w:t xml:space="preserve"> Covid-19</w:t>
      </w:r>
      <w:r w:rsidR="00D72883" w:rsidRPr="007C45E3">
        <w:rPr>
          <w:i/>
          <w:iCs/>
        </w:rPr>
        <w:t xml:space="preserve"> virus </w:t>
      </w:r>
      <w:r w:rsidR="00A5446C" w:rsidRPr="007C45E3">
        <w:rPr>
          <w:i/>
          <w:iCs/>
        </w:rPr>
        <w:t xml:space="preserve">and the </w:t>
      </w:r>
      <w:r w:rsidR="002F0232" w:rsidRPr="007C45E3">
        <w:rPr>
          <w:i/>
          <w:iCs/>
        </w:rPr>
        <w:t xml:space="preserve">related </w:t>
      </w:r>
      <w:r w:rsidR="00A5446C" w:rsidRPr="007C45E3">
        <w:rPr>
          <w:i/>
          <w:iCs/>
        </w:rPr>
        <w:t>containment measures</w:t>
      </w:r>
      <w:r w:rsidR="002F0232" w:rsidRPr="007C45E3">
        <w:rPr>
          <w:i/>
          <w:iCs/>
        </w:rPr>
        <w:t xml:space="preserve"> implemented worldwide </w:t>
      </w:r>
      <w:r>
        <w:rPr>
          <w:i/>
          <w:iCs/>
        </w:rPr>
        <w:t xml:space="preserve">such as </w:t>
      </w:r>
      <w:r w:rsidR="00A5446C" w:rsidRPr="007C45E3">
        <w:rPr>
          <w:i/>
          <w:iCs/>
        </w:rPr>
        <w:t>travel restrictions</w:t>
      </w:r>
      <w:r>
        <w:rPr>
          <w:i/>
          <w:iCs/>
        </w:rPr>
        <w:t xml:space="preserve"> and </w:t>
      </w:r>
      <w:r w:rsidR="00A5446C" w:rsidRPr="007C45E3">
        <w:rPr>
          <w:i/>
          <w:iCs/>
        </w:rPr>
        <w:t xml:space="preserve"> lock-downs</w:t>
      </w:r>
      <w:r>
        <w:rPr>
          <w:i/>
          <w:iCs/>
        </w:rPr>
        <w:t>,</w:t>
      </w:r>
      <w:r w:rsidR="00A5446C" w:rsidRPr="007C45E3">
        <w:rPr>
          <w:i/>
          <w:iCs/>
        </w:rPr>
        <w:t xml:space="preserve"> </w:t>
      </w:r>
      <w:r w:rsidR="00D72883" w:rsidRPr="007C45E3">
        <w:rPr>
          <w:i/>
          <w:iCs/>
        </w:rPr>
        <w:t xml:space="preserve">the </w:t>
      </w:r>
      <w:r w:rsidR="005939D2" w:rsidRPr="007C45E3">
        <w:rPr>
          <w:i/>
          <w:iCs/>
        </w:rPr>
        <w:t>thirty-ninth session of the Sub-</w:t>
      </w:r>
      <w:r w:rsidR="00D72883" w:rsidRPr="007C45E3">
        <w:rPr>
          <w:i/>
          <w:iCs/>
        </w:rPr>
        <w:t>Committee</w:t>
      </w:r>
      <w:r w:rsidR="002F0232" w:rsidRPr="007C45E3">
        <w:rPr>
          <w:i/>
          <w:iCs/>
        </w:rPr>
        <w:t xml:space="preserve"> </w:t>
      </w:r>
      <w:r w:rsidR="00D72883" w:rsidRPr="007C45E3">
        <w:rPr>
          <w:i/>
          <w:iCs/>
        </w:rPr>
        <w:t>initially scheduled in July</w:t>
      </w:r>
      <w:r w:rsidR="002F0232" w:rsidRPr="007C45E3">
        <w:rPr>
          <w:i/>
          <w:iCs/>
        </w:rPr>
        <w:t>, was postponed</w:t>
      </w:r>
      <w:r w:rsidR="00D72883" w:rsidRPr="007C45E3">
        <w:rPr>
          <w:i/>
          <w:iCs/>
        </w:rPr>
        <w:t xml:space="preserve"> </w:t>
      </w:r>
      <w:r w:rsidR="00A5446C" w:rsidRPr="007C45E3">
        <w:rPr>
          <w:i/>
          <w:iCs/>
        </w:rPr>
        <w:t xml:space="preserve">until </w:t>
      </w:r>
      <w:r w:rsidR="00D72883" w:rsidRPr="007C45E3">
        <w:rPr>
          <w:i/>
          <w:iCs/>
        </w:rPr>
        <w:t>December at the dates initially scheduled for the fortieth session</w:t>
      </w:r>
      <w:r w:rsidR="002F0232" w:rsidRPr="007C45E3">
        <w:rPr>
          <w:i/>
          <w:iCs/>
        </w:rPr>
        <w:t xml:space="preserve"> (9-11 December)</w:t>
      </w:r>
      <w:r w:rsidR="00A5446C" w:rsidRPr="007C45E3">
        <w:rPr>
          <w:i/>
          <w:iCs/>
        </w:rPr>
        <w:t>.</w:t>
      </w:r>
    </w:p>
    <w:p w14:paraId="6C2B3EDC" w14:textId="03123BBC" w:rsidR="005939D2" w:rsidRDefault="009D6FE3" w:rsidP="00C925BE">
      <w:pPr>
        <w:pStyle w:val="SingleTxtG"/>
        <w:rPr>
          <w:i/>
          <w:iCs/>
        </w:rPr>
      </w:pPr>
      <w:r>
        <w:rPr>
          <w:i/>
          <w:iCs/>
        </w:rPr>
        <w:t>U</w:t>
      </w:r>
      <w:r w:rsidRPr="00166831">
        <w:rPr>
          <w:i/>
          <w:iCs/>
        </w:rPr>
        <w:t xml:space="preserve">nless </w:t>
      </w:r>
      <w:r w:rsidR="004F325B">
        <w:rPr>
          <w:i/>
          <w:iCs/>
        </w:rPr>
        <w:t xml:space="preserve">they </w:t>
      </w:r>
      <w:r w:rsidRPr="00166831">
        <w:rPr>
          <w:i/>
          <w:iCs/>
        </w:rPr>
        <w:t>are withdrawn by the authors</w:t>
      </w:r>
      <w:r>
        <w:rPr>
          <w:i/>
          <w:iCs/>
        </w:rPr>
        <w:t>,</w:t>
      </w:r>
      <w:r w:rsidRPr="0020523C">
        <w:rPr>
          <w:i/>
          <w:iCs/>
        </w:rPr>
        <w:t xml:space="preserve"> </w:t>
      </w:r>
      <w:r>
        <w:rPr>
          <w:i/>
          <w:iCs/>
        </w:rPr>
        <w:t>a</w:t>
      </w:r>
      <w:r w:rsidR="002F0232" w:rsidRPr="007C45E3">
        <w:rPr>
          <w:i/>
          <w:iCs/>
        </w:rPr>
        <w:t>ll d</w:t>
      </w:r>
      <w:r w:rsidR="00A5446C" w:rsidRPr="007C45E3">
        <w:rPr>
          <w:i/>
          <w:iCs/>
        </w:rPr>
        <w:t xml:space="preserve">ocuments initially submitted for consideration </w:t>
      </w:r>
      <w:r w:rsidR="00475E72">
        <w:rPr>
          <w:i/>
          <w:iCs/>
        </w:rPr>
        <w:t>in</w:t>
      </w:r>
      <w:r w:rsidR="004F325B">
        <w:rPr>
          <w:i/>
          <w:iCs/>
        </w:rPr>
        <w:t xml:space="preserve"> </w:t>
      </w:r>
      <w:r w:rsidR="00A5446C" w:rsidRPr="007C45E3">
        <w:rPr>
          <w:i/>
          <w:iCs/>
        </w:rPr>
        <w:t>July</w:t>
      </w:r>
      <w:r w:rsidR="00C925BE">
        <w:rPr>
          <w:i/>
          <w:iCs/>
        </w:rPr>
        <w:t xml:space="preserve">, </w:t>
      </w:r>
      <w:r w:rsidR="004572EF" w:rsidRPr="007C45E3">
        <w:rPr>
          <w:i/>
          <w:iCs/>
        </w:rPr>
        <w:t>i.e</w:t>
      </w:r>
      <w:r w:rsidR="004572EF">
        <w:rPr>
          <w:i/>
          <w:iCs/>
        </w:rPr>
        <w:t>.</w:t>
      </w:r>
      <w:r w:rsidR="004572EF" w:rsidRPr="007C45E3">
        <w:rPr>
          <w:i/>
          <w:iCs/>
        </w:rPr>
        <w:t xml:space="preserve">: </w:t>
      </w:r>
      <w:r w:rsidR="004572EF">
        <w:rPr>
          <w:i/>
          <w:iCs/>
        </w:rPr>
        <w:t xml:space="preserve">official </w:t>
      </w:r>
      <w:r w:rsidR="004572EF" w:rsidRPr="007C45E3">
        <w:rPr>
          <w:i/>
          <w:iCs/>
        </w:rPr>
        <w:t>documents ST/SG/AC.10/C.4/2020/1 to ST/SG/AC.10/C.4/2020/14 and related informal documents</w:t>
      </w:r>
      <w:r w:rsidR="00C925BE">
        <w:rPr>
          <w:i/>
          <w:iCs/>
        </w:rPr>
        <w:t xml:space="preserve">, </w:t>
      </w:r>
      <w:r w:rsidR="002F0232" w:rsidRPr="007C45E3">
        <w:rPr>
          <w:i/>
          <w:iCs/>
        </w:rPr>
        <w:t xml:space="preserve">will be automatically placed on the agenda for the December </w:t>
      </w:r>
      <w:r w:rsidR="004F325B">
        <w:rPr>
          <w:i/>
          <w:iCs/>
        </w:rPr>
        <w:t>session</w:t>
      </w:r>
      <w:r w:rsidR="002F0232" w:rsidRPr="007C45E3">
        <w:rPr>
          <w:i/>
          <w:iCs/>
        </w:rPr>
        <w:t>.</w:t>
      </w:r>
      <w:r w:rsidR="00C925BE">
        <w:rPr>
          <w:i/>
          <w:iCs/>
        </w:rPr>
        <w:t xml:space="preserve"> </w:t>
      </w:r>
      <w:r w:rsidR="002F0232" w:rsidRPr="007C45E3">
        <w:rPr>
          <w:i/>
          <w:iCs/>
        </w:rPr>
        <w:t xml:space="preserve">Following-up to the online informal discussions held in </w:t>
      </w:r>
      <w:r w:rsidR="004F763D">
        <w:rPr>
          <w:i/>
          <w:iCs/>
        </w:rPr>
        <w:t>July</w:t>
      </w:r>
      <w:r w:rsidR="002F0232" w:rsidRPr="007C45E3">
        <w:rPr>
          <w:i/>
          <w:iCs/>
        </w:rPr>
        <w:t>, some proposals may need to be</w:t>
      </w:r>
      <w:r w:rsidR="002474B5">
        <w:rPr>
          <w:i/>
          <w:iCs/>
        </w:rPr>
        <w:t xml:space="preserve"> modified</w:t>
      </w:r>
      <w:r w:rsidR="00B63BAC">
        <w:rPr>
          <w:i/>
          <w:iCs/>
        </w:rPr>
        <w:t xml:space="preserve"> to take account of the comments received</w:t>
      </w:r>
      <w:r w:rsidR="002F0232" w:rsidRPr="007C45E3">
        <w:rPr>
          <w:i/>
          <w:iCs/>
        </w:rPr>
        <w:t xml:space="preserve">. </w:t>
      </w:r>
      <w:r w:rsidR="00F14C8D">
        <w:rPr>
          <w:i/>
          <w:iCs/>
        </w:rPr>
        <w:t>A</w:t>
      </w:r>
      <w:r w:rsidR="002F0232" w:rsidRPr="007C45E3">
        <w:rPr>
          <w:i/>
          <w:iCs/>
        </w:rPr>
        <w:t xml:space="preserve">uthors are invited to submit </w:t>
      </w:r>
      <w:r w:rsidR="00F14C8D">
        <w:rPr>
          <w:i/>
          <w:iCs/>
        </w:rPr>
        <w:t xml:space="preserve">the revised proposals as an addendum </w:t>
      </w:r>
      <w:r w:rsidR="00756870">
        <w:rPr>
          <w:i/>
          <w:iCs/>
        </w:rPr>
        <w:t xml:space="preserve">(Add.1) </w:t>
      </w:r>
      <w:r w:rsidR="002474B5">
        <w:rPr>
          <w:i/>
          <w:iCs/>
        </w:rPr>
        <w:t xml:space="preserve">to the </w:t>
      </w:r>
      <w:r w:rsidR="002F0232" w:rsidRPr="007C45E3">
        <w:rPr>
          <w:i/>
          <w:iCs/>
        </w:rPr>
        <w:t>original document. The</w:t>
      </w:r>
      <w:r w:rsidR="002474B5">
        <w:rPr>
          <w:i/>
          <w:iCs/>
        </w:rPr>
        <w:t xml:space="preserve"> addendum </w:t>
      </w:r>
      <w:r w:rsidR="002F0232" w:rsidRPr="007C45E3">
        <w:rPr>
          <w:i/>
          <w:iCs/>
        </w:rPr>
        <w:lastRenderedPageBreak/>
        <w:t xml:space="preserve">should not </w:t>
      </w:r>
      <w:r w:rsidR="0020523C" w:rsidRPr="007C45E3">
        <w:rPr>
          <w:i/>
          <w:iCs/>
        </w:rPr>
        <w:t xml:space="preserve">reproduce the contents </w:t>
      </w:r>
      <w:r w:rsidR="002F0232" w:rsidRPr="007C45E3">
        <w:rPr>
          <w:i/>
          <w:iCs/>
        </w:rPr>
        <w:t>of the original document but</w:t>
      </w:r>
      <w:r w:rsidR="0020523C" w:rsidRPr="007C45E3">
        <w:rPr>
          <w:i/>
          <w:iCs/>
        </w:rPr>
        <w:t xml:space="preserve"> </w:t>
      </w:r>
      <w:r w:rsidR="00D30FEE">
        <w:rPr>
          <w:i/>
          <w:iCs/>
        </w:rPr>
        <w:t xml:space="preserve">include only some background information on </w:t>
      </w:r>
      <w:r w:rsidR="006E46A2">
        <w:rPr>
          <w:i/>
          <w:iCs/>
        </w:rPr>
        <w:t xml:space="preserve">the rational for the </w:t>
      </w:r>
      <w:r w:rsidR="009F02A6">
        <w:rPr>
          <w:i/>
          <w:iCs/>
        </w:rPr>
        <w:t>proposed</w:t>
      </w:r>
      <w:r w:rsidR="00D30FEE">
        <w:rPr>
          <w:i/>
          <w:iCs/>
        </w:rPr>
        <w:t xml:space="preserve"> changes</w:t>
      </w:r>
      <w:r w:rsidR="009F02A6">
        <w:rPr>
          <w:i/>
          <w:iCs/>
        </w:rPr>
        <w:t xml:space="preserve"> together with </w:t>
      </w:r>
      <w:r w:rsidR="002474B5">
        <w:rPr>
          <w:i/>
          <w:iCs/>
        </w:rPr>
        <w:t>the modified proposal</w:t>
      </w:r>
      <w:r w:rsidR="004D7542">
        <w:rPr>
          <w:i/>
          <w:iCs/>
        </w:rPr>
        <w:t>. The changes to the original proposal should be indicated</w:t>
      </w:r>
      <w:r w:rsidR="002474B5">
        <w:rPr>
          <w:i/>
          <w:iCs/>
        </w:rPr>
        <w:t>.</w:t>
      </w:r>
    </w:p>
    <w:p w14:paraId="5CEE676B" w14:textId="052E9AC8" w:rsidR="002474B5" w:rsidRDefault="0014468E" w:rsidP="0014468E">
      <w:pPr>
        <w:pStyle w:val="SingleTxtG"/>
        <w:rPr>
          <w:i/>
          <w:iCs/>
        </w:rPr>
      </w:pPr>
      <w:r>
        <w:rPr>
          <w:i/>
          <w:iCs/>
        </w:rPr>
        <w:t xml:space="preserve">When a full review of the original document is needed, </w:t>
      </w:r>
      <w:r w:rsidR="002474B5">
        <w:rPr>
          <w:i/>
          <w:iCs/>
        </w:rPr>
        <w:t xml:space="preserve">authors are invited to submit </w:t>
      </w:r>
      <w:r w:rsidR="00D906A6">
        <w:rPr>
          <w:i/>
          <w:iCs/>
        </w:rPr>
        <w:t xml:space="preserve">a consolidated </w:t>
      </w:r>
      <w:r w:rsidR="002474B5">
        <w:rPr>
          <w:i/>
          <w:iCs/>
        </w:rPr>
        <w:t xml:space="preserve">revised version of the </w:t>
      </w:r>
      <w:r w:rsidR="00B63BAC">
        <w:rPr>
          <w:i/>
          <w:iCs/>
        </w:rPr>
        <w:t xml:space="preserve">original </w:t>
      </w:r>
      <w:r w:rsidR="002474B5">
        <w:rPr>
          <w:i/>
          <w:iCs/>
        </w:rPr>
        <w:t xml:space="preserve">document (Rev.1) together with a marked-up copy showing all changes </w:t>
      </w:r>
      <w:r w:rsidR="00D906A6">
        <w:rPr>
          <w:i/>
          <w:iCs/>
        </w:rPr>
        <w:t>made</w:t>
      </w:r>
      <w:r w:rsidR="00104E1B">
        <w:rPr>
          <w:i/>
          <w:iCs/>
        </w:rPr>
        <w:t xml:space="preserve"> to the original document</w:t>
      </w:r>
      <w:r w:rsidR="002474B5">
        <w:rPr>
          <w:i/>
          <w:iCs/>
        </w:rPr>
        <w:t xml:space="preserve">. </w:t>
      </w:r>
    </w:p>
    <w:p w14:paraId="726BA27B" w14:textId="77777777" w:rsidR="005F15AE" w:rsidRDefault="005F15AE" w:rsidP="008631D8">
      <w:pPr>
        <w:pStyle w:val="SingleTxtG"/>
      </w:pPr>
      <w:bookmarkStart w:id="2" w:name="_GoBack"/>
      <w:bookmarkEnd w:id="2"/>
      <w:r w:rsidRPr="008631D8">
        <w:t>1.</w:t>
      </w:r>
      <w:r w:rsidRPr="008631D8">
        <w:tab/>
        <w:t>Adoption of the agenda.</w:t>
      </w:r>
    </w:p>
    <w:p w14:paraId="264535EF" w14:textId="77777777" w:rsidR="005F15AE" w:rsidRPr="008631D8" w:rsidRDefault="005F15AE" w:rsidP="008631D8">
      <w:pPr>
        <w:pStyle w:val="SingleTxtG"/>
      </w:pPr>
      <w:r>
        <w:t>2.</w:t>
      </w:r>
      <w:r>
        <w:tab/>
        <w:t xml:space="preserve">Recommendations made by the Sub-Committee </w:t>
      </w:r>
      <w:r w:rsidRPr="005939D2">
        <w:t>at its thirty-seventh and thirty-eighth sessions.</w:t>
      </w:r>
    </w:p>
    <w:p w14:paraId="4832CA65" w14:textId="6C0F43AB" w:rsidR="005F15AE" w:rsidRPr="008631D8" w:rsidRDefault="005F15AE" w:rsidP="008631D8">
      <w:pPr>
        <w:pStyle w:val="SingleTxtG"/>
      </w:pPr>
      <w:r>
        <w:t>3</w:t>
      </w:r>
      <w:r w:rsidRPr="008631D8">
        <w:t>.</w:t>
      </w:r>
      <w:r w:rsidRPr="008631D8">
        <w:tab/>
        <w:t>Classification criteria and related hazard communication:</w:t>
      </w:r>
    </w:p>
    <w:p w14:paraId="5F8B63D9" w14:textId="77777777" w:rsidR="005F15AE" w:rsidRDefault="005F15AE" w:rsidP="008631D8">
      <w:pPr>
        <w:pStyle w:val="SingleTxtG"/>
        <w:spacing w:line="220" w:lineRule="exact"/>
        <w:ind w:left="2268" w:hanging="567"/>
      </w:pPr>
      <w:r w:rsidRPr="00283442">
        <w:t>(</w:t>
      </w:r>
      <w:r>
        <w:t>a</w:t>
      </w:r>
      <w:r w:rsidRPr="00283442">
        <w:t>)</w:t>
      </w:r>
      <w:r w:rsidRPr="00283442">
        <w:tab/>
        <w:t>Work of the Sub-Committee of Experts on the Transport of Dangerous Goods (TDG)</w:t>
      </w:r>
      <w:r>
        <w:t xml:space="preserve"> on matters of interest to the GHS Sub-Committee</w:t>
      </w:r>
      <w:r>
        <w:rPr>
          <w:rStyle w:val="FootnoteReference"/>
        </w:rPr>
        <w:footnoteReference w:id="5"/>
      </w:r>
      <w:r>
        <w:t>;</w:t>
      </w:r>
    </w:p>
    <w:p w14:paraId="4A0292A7" w14:textId="0CC6FE7C" w:rsidR="005F15AE" w:rsidRPr="00E130E9" w:rsidRDefault="005F15AE" w:rsidP="008631D8">
      <w:pPr>
        <w:pStyle w:val="SingleTxtG"/>
        <w:spacing w:line="220" w:lineRule="atLeast"/>
        <w:ind w:left="2268" w:hanging="567"/>
      </w:pPr>
      <w:r>
        <w:t>(</w:t>
      </w:r>
      <w:r w:rsidRPr="00E130E9">
        <w:t>b)</w:t>
      </w:r>
      <w:r w:rsidRPr="00E130E9">
        <w:tab/>
        <w:t>Review of Chapter 2.1;</w:t>
      </w:r>
    </w:p>
    <w:p w14:paraId="5FC0FA6C" w14:textId="77777777" w:rsidR="005F15AE" w:rsidRPr="00E130E9" w:rsidRDefault="005F15AE" w:rsidP="008631D8">
      <w:pPr>
        <w:pStyle w:val="SingleTxtG"/>
        <w:spacing w:line="240" w:lineRule="auto"/>
        <w:ind w:left="1701"/>
      </w:pPr>
      <w:r w:rsidRPr="00E130E9">
        <w:t>(c)</w:t>
      </w:r>
      <w:r w:rsidRPr="00E130E9">
        <w:tab/>
      </w:r>
      <w:bookmarkStart w:id="3" w:name="_Hlk38294103"/>
      <w:bookmarkStart w:id="4" w:name="_Hlk38287150"/>
      <w:r w:rsidRPr="00E130E9">
        <w:t>Clarification of 2.9.3.4.3.4 of the Model Regulations and 4.1.3.3.4 of the GHS</w:t>
      </w:r>
      <w:bookmarkEnd w:id="3"/>
      <w:r>
        <w:t>;</w:t>
      </w:r>
      <w:bookmarkEnd w:id="4"/>
    </w:p>
    <w:p w14:paraId="0953F574" w14:textId="77777777" w:rsidR="005F15AE" w:rsidRDefault="005F15AE" w:rsidP="008631D8">
      <w:pPr>
        <w:pStyle w:val="SingleTxtG"/>
        <w:spacing w:line="220" w:lineRule="atLeast"/>
        <w:ind w:left="2268" w:hanging="567"/>
      </w:pPr>
      <w:r w:rsidRPr="00E130E9">
        <w:t>(d)</w:t>
      </w:r>
      <w:r w:rsidRPr="00E130E9">
        <w:tab/>
      </w:r>
      <w:bookmarkStart w:id="5" w:name="_Hlk38287170"/>
      <w:r w:rsidRPr="00E130E9">
        <w:t>Simultaneous classification in physical hazard classes and precedence of hazards</w:t>
      </w:r>
      <w:bookmarkEnd w:id="5"/>
      <w:r w:rsidRPr="00E130E9">
        <w:t>;</w:t>
      </w:r>
    </w:p>
    <w:p w14:paraId="74FC0C0C" w14:textId="77777777" w:rsidR="005F15AE" w:rsidRDefault="005F15AE" w:rsidP="008631D8">
      <w:pPr>
        <w:pStyle w:val="SingleTxtG"/>
        <w:spacing w:line="220" w:lineRule="atLeast"/>
        <w:ind w:left="2268" w:hanging="567"/>
      </w:pPr>
      <w:r>
        <w:t>(e)</w:t>
      </w:r>
      <w:r>
        <w:tab/>
      </w:r>
      <w:bookmarkStart w:id="6" w:name="_Hlk38287182"/>
      <w:r>
        <w:t>Use of non-animal testing methods for classification of health hazards</w:t>
      </w:r>
      <w:bookmarkEnd w:id="6"/>
      <w:r>
        <w:t>;</w:t>
      </w:r>
      <w:r w:rsidRPr="00276CA2">
        <w:t xml:space="preserve"> </w:t>
      </w:r>
    </w:p>
    <w:p w14:paraId="04672F4F" w14:textId="77777777" w:rsidR="005F15AE" w:rsidRPr="00283442" w:rsidRDefault="005F15AE" w:rsidP="008631D8">
      <w:pPr>
        <w:pStyle w:val="SingleTxtG"/>
        <w:spacing w:line="220" w:lineRule="atLeast"/>
        <w:ind w:left="2268" w:hanging="567"/>
      </w:pPr>
      <w:r w:rsidRPr="00283442">
        <w:t>(</w:t>
      </w:r>
      <w:r>
        <w:t>f</w:t>
      </w:r>
      <w:r w:rsidRPr="00283442">
        <w:t>)</w:t>
      </w:r>
      <w:r w:rsidRPr="00283442">
        <w:tab/>
      </w:r>
      <w:bookmarkStart w:id="7" w:name="_Hlk38287203"/>
      <w:r w:rsidRPr="00283442">
        <w:t>Practical classification issues</w:t>
      </w:r>
      <w:bookmarkEnd w:id="7"/>
      <w:r w:rsidRPr="00283442">
        <w:t>;</w:t>
      </w:r>
    </w:p>
    <w:p w14:paraId="058EA26D" w14:textId="77777777" w:rsidR="005F15AE" w:rsidRPr="00283442" w:rsidRDefault="005F15AE" w:rsidP="008631D8">
      <w:pPr>
        <w:pStyle w:val="SingleTxtG"/>
        <w:spacing w:line="220" w:lineRule="atLeast"/>
        <w:ind w:left="2268" w:hanging="567"/>
      </w:pPr>
      <w:r w:rsidRPr="00283442">
        <w:t>(</w:t>
      </w:r>
      <w:r>
        <w:t>g</w:t>
      </w:r>
      <w:r w:rsidRPr="00283442">
        <w:t>)</w:t>
      </w:r>
      <w:r w:rsidRPr="00283442">
        <w:tab/>
      </w:r>
      <w:bookmarkStart w:id="8" w:name="_Hlk38287219"/>
      <w:r w:rsidRPr="00283442">
        <w:t>Aspiration hazard</w:t>
      </w:r>
      <w:bookmarkEnd w:id="8"/>
      <w:r w:rsidRPr="00283442">
        <w:t>;</w:t>
      </w:r>
    </w:p>
    <w:p w14:paraId="4BF9CFF7" w14:textId="77777777" w:rsidR="005F15AE" w:rsidRDefault="005F15AE" w:rsidP="008631D8">
      <w:pPr>
        <w:pStyle w:val="SingleTxtG"/>
        <w:spacing w:line="220" w:lineRule="atLeast"/>
        <w:ind w:left="2268" w:hanging="567"/>
      </w:pPr>
      <w:r w:rsidRPr="00283442">
        <w:t>(</w:t>
      </w:r>
      <w:r>
        <w:t>h</w:t>
      </w:r>
      <w:r w:rsidRPr="00283442">
        <w:t>)</w:t>
      </w:r>
      <w:r w:rsidRPr="00283442">
        <w:tab/>
      </w:r>
      <w:bookmarkStart w:id="9" w:name="_Hlk38287234"/>
      <w:r w:rsidRPr="00283442">
        <w:t>Nanomaterials</w:t>
      </w:r>
      <w:bookmarkEnd w:id="9"/>
      <w:r w:rsidRPr="00283442">
        <w:t>;</w:t>
      </w:r>
    </w:p>
    <w:p w14:paraId="49AC228D" w14:textId="33AE462E" w:rsidR="005F15AE" w:rsidRDefault="005F15AE" w:rsidP="008631D8">
      <w:pPr>
        <w:pStyle w:val="SingleTxtG"/>
        <w:ind w:left="2268" w:hanging="567"/>
      </w:pPr>
      <w:bookmarkStart w:id="10" w:name="_Hlk38294231"/>
      <w:r w:rsidRPr="00283442">
        <w:t>(</w:t>
      </w:r>
      <w:r>
        <w:t>i</w:t>
      </w:r>
      <w:r w:rsidRPr="00283442">
        <w:t>)</w:t>
      </w:r>
      <w:r w:rsidRPr="00283442">
        <w:tab/>
      </w:r>
      <w:r>
        <w:t>Other issues;</w:t>
      </w:r>
    </w:p>
    <w:p w14:paraId="6BB663AC" w14:textId="32C72CD2" w:rsidR="005F15AE" w:rsidRPr="00283442" w:rsidRDefault="005F15AE" w:rsidP="008631D8">
      <w:pPr>
        <w:pStyle w:val="SingleTxtG"/>
        <w:ind w:left="2268" w:hanging="567"/>
      </w:pPr>
      <w:r>
        <w:t xml:space="preserve">(j) </w:t>
      </w:r>
      <w:r>
        <w:tab/>
        <w:t>New proposals</w:t>
      </w:r>
      <w:r w:rsidR="000758C2">
        <w:t>.</w:t>
      </w:r>
      <w:r w:rsidR="00413650">
        <w:rPr>
          <w:rStyle w:val="FootnoteReference"/>
        </w:rPr>
        <w:footnoteReference w:id="6"/>
      </w:r>
    </w:p>
    <w:bookmarkEnd w:id="10"/>
    <w:p w14:paraId="4F1A9F44" w14:textId="74E0E660" w:rsidR="005F15AE" w:rsidRPr="00283442" w:rsidRDefault="005F15AE" w:rsidP="008631D8">
      <w:pPr>
        <w:pStyle w:val="SingleTxtG"/>
      </w:pPr>
      <w:r>
        <w:t>4</w:t>
      </w:r>
      <w:r w:rsidRPr="00283442">
        <w:t>.</w:t>
      </w:r>
      <w:r w:rsidRPr="00283442">
        <w:tab/>
        <w:t>Hazard communication:</w:t>
      </w:r>
    </w:p>
    <w:p w14:paraId="4B5CCF31" w14:textId="77777777" w:rsidR="005F15AE" w:rsidRPr="00283442" w:rsidRDefault="005F15AE" w:rsidP="008631D8">
      <w:pPr>
        <w:pStyle w:val="SingleTxtG"/>
        <w:spacing w:line="220" w:lineRule="atLeast"/>
        <w:ind w:left="2268" w:hanging="567"/>
      </w:pPr>
      <w:r w:rsidRPr="00283442">
        <w:t>(</w:t>
      </w:r>
      <w:r>
        <w:t>a</w:t>
      </w:r>
      <w:r w:rsidRPr="00283442">
        <w:t>)</w:t>
      </w:r>
      <w:r w:rsidRPr="00283442">
        <w:tab/>
      </w:r>
      <w:r>
        <w:t>Practical labelling issues</w:t>
      </w:r>
      <w:r w:rsidRPr="00283442">
        <w:t>;</w:t>
      </w:r>
    </w:p>
    <w:p w14:paraId="42855C53" w14:textId="77777777" w:rsidR="005F15AE" w:rsidRPr="00283442" w:rsidRDefault="005F15AE" w:rsidP="008631D8">
      <w:pPr>
        <w:pStyle w:val="SingleTxtG"/>
        <w:spacing w:line="220" w:lineRule="atLeast"/>
        <w:ind w:left="2268" w:hanging="567"/>
      </w:pPr>
      <w:r w:rsidRPr="00283442">
        <w:t>(</w:t>
      </w:r>
      <w:r>
        <w:t>b</w:t>
      </w:r>
      <w:r w:rsidRPr="00283442">
        <w:t>)</w:t>
      </w:r>
      <w:r w:rsidRPr="00283442">
        <w:tab/>
        <w:t>Improvement of annexes 1 to 3 and further rationalization of precautionary statements;</w:t>
      </w:r>
    </w:p>
    <w:p w14:paraId="1133A79C" w14:textId="77777777" w:rsidR="005F15AE" w:rsidRDefault="005F15AE" w:rsidP="008631D8">
      <w:pPr>
        <w:pStyle w:val="SingleTxtG"/>
        <w:spacing w:line="220" w:lineRule="atLeast"/>
        <w:ind w:left="2268" w:hanging="567"/>
      </w:pPr>
      <w:r w:rsidRPr="00283442">
        <w:t>(</w:t>
      </w:r>
      <w:r>
        <w:t>c</w:t>
      </w:r>
      <w:r w:rsidRPr="00283442">
        <w:t>)</w:t>
      </w:r>
      <w:r w:rsidRPr="00283442">
        <w:tab/>
      </w:r>
      <w:r>
        <w:t xml:space="preserve">Review of Annex 4, sub-section A4.3.3.2.3; </w:t>
      </w:r>
    </w:p>
    <w:p w14:paraId="05B1BBC8" w14:textId="72F2F545" w:rsidR="005F15AE" w:rsidRDefault="005F15AE" w:rsidP="008631D8">
      <w:pPr>
        <w:pStyle w:val="SingleTxtG"/>
        <w:spacing w:line="220" w:lineRule="atLeast"/>
        <w:ind w:left="2268" w:hanging="567"/>
      </w:pPr>
      <w:r>
        <w:t>(d)</w:t>
      </w:r>
      <w:r>
        <w:tab/>
        <w:t>Other issues;</w:t>
      </w:r>
    </w:p>
    <w:p w14:paraId="0E7D8C4D" w14:textId="4B38250A" w:rsidR="005F15AE" w:rsidRPr="00283442" w:rsidRDefault="005F15AE" w:rsidP="008631D8">
      <w:pPr>
        <w:pStyle w:val="SingleTxtG"/>
        <w:spacing w:line="220" w:lineRule="atLeast"/>
        <w:ind w:left="2268" w:hanging="567"/>
      </w:pPr>
      <w:r>
        <w:t>(e)</w:t>
      </w:r>
      <w:r>
        <w:tab/>
        <w:t>New proposals</w:t>
      </w:r>
      <w:r w:rsidR="000758C2">
        <w:t>.</w:t>
      </w:r>
      <w:r w:rsidR="00A5644B" w:rsidRPr="00A5644B">
        <w:rPr>
          <w:vertAlign w:val="superscript"/>
        </w:rPr>
        <w:t>2</w:t>
      </w:r>
    </w:p>
    <w:p w14:paraId="017C12A2" w14:textId="6DB856C5" w:rsidR="005F15AE" w:rsidRPr="00283442" w:rsidRDefault="005F15AE" w:rsidP="008631D8">
      <w:pPr>
        <w:pStyle w:val="SingleTxtG"/>
      </w:pPr>
      <w:r>
        <w:t>5</w:t>
      </w:r>
      <w:r w:rsidRPr="00283442">
        <w:t>.</w:t>
      </w:r>
      <w:r w:rsidRPr="00283442">
        <w:tab/>
        <w:t>Implementation of the GHS:</w:t>
      </w:r>
    </w:p>
    <w:p w14:paraId="0FE38E39" w14:textId="77777777" w:rsidR="005F15AE" w:rsidRPr="00283442" w:rsidRDefault="005F15AE" w:rsidP="008631D8">
      <w:pPr>
        <w:pStyle w:val="SingleTxtG"/>
        <w:spacing w:line="220" w:lineRule="atLeast"/>
        <w:ind w:left="2268" w:hanging="567"/>
      </w:pPr>
      <w:r w:rsidRPr="00283442">
        <w:t>(a)</w:t>
      </w:r>
      <w:r w:rsidRPr="00283442">
        <w:tab/>
      </w:r>
      <w:r>
        <w:t>Possible d</w:t>
      </w:r>
      <w:r w:rsidRPr="00283442">
        <w:t>evelopment of a list of chemicals classified in accordance with the GHS;</w:t>
      </w:r>
    </w:p>
    <w:p w14:paraId="27D3CB1F" w14:textId="77777777" w:rsidR="005F15AE" w:rsidRPr="00283442" w:rsidRDefault="005F15AE" w:rsidP="008631D8">
      <w:pPr>
        <w:pStyle w:val="SingleTxtG"/>
        <w:spacing w:line="220" w:lineRule="atLeast"/>
        <w:ind w:left="2268" w:hanging="567"/>
      </w:pPr>
      <w:r w:rsidRPr="00283442">
        <w:t>(b)</w:t>
      </w:r>
      <w:r w:rsidRPr="00283442">
        <w:tab/>
        <w:t>Reports on the status of implementation;</w:t>
      </w:r>
    </w:p>
    <w:p w14:paraId="03241BE6" w14:textId="77777777" w:rsidR="005F15AE" w:rsidRPr="00283442" w:rsidRDefault="005F15AE" w:rsidP="008631D8">
      <w:pPr>
        <w:pStyle w:val="SingleTxtG"/>
        <w:spacing w:line="220" w:lineRule="atLeast"/>
        <w:ind w:left="2268" w:hanging="567"/>
      </w:pPr>
      <w:r w:rsidRPr="00283442">
        <w:t>(c)</w:t>
      </w:r>
      <w:r w:rsidRPr="00283442">
        <w:tab/>
        <w:t>Cooperation with other bodies or international organizations;</w:t>
      </w:r>
    </w:p>
    <w:p w14:paraId="1B4F0828" w14:textId="77777777" w:rsidR="005F15AE" w:rsidRPr="00283442" w:rsidRDefault="005F15AE" w:rsidP="008631D8">
      <w:pPr>
        <w:pStyle w:val="SingleTxtG"/>
        <w:spacing w:line="220" w:lineRule="atLeast"/>
        <w:ind w:left="2268" w:hanging="567"/>
      </w:pPr>
      <w:r w:rsidRPr="00283442">
        <w:t>(d)</w:t>
      </w:r>
      <w:r w:rsidRPr="00283442">
        <w:tab/>
        <w:t>Miscellaneous.</w:t>
      </w:r>
    </w:p>
    <w:p w14:paraId="41F8AE34" w14:textId="53E5A366" w:rsidR="005F15AE" w:rsidRPr="00283442" w:rsidRDefault="005F15AE" w:rsidP="008631D8">
      <w:pPr>
        <w:pStyle w:val="SingleTxtG"/>
      </w:pPr>
      <w:r>
        <w:t>6</w:t>
      </w:r>
      <w:r w:rsidRPr="00283442">
        <w:t>.</w:t>
      </w:r>
      <w:r w:rsidRPr="00283442">
        <w:tab/>
        <w:t>Development of guidance on the application of GHS criteria.</w:t>
      </w:r>
    </w:p>
    <w:p w14:paraId="7C3FD48B" w14:textId="2BBA662F" w:rsidR="005F15AE" w:rsidRDefault="005F15AE" w:rsidP="008631D8">
      <w:pPr>
        <w:pStyle w:val="SingleTxtG"/>
      </w:pPr>
      <w:r>
        <w:t>7</w:t>
      </w:r>
      <w:r w:rsidRPr="00283442">
        <w:t>.</w:t>
      </w:r>
      <w:r w:rsidRPr="00283442">
        <w:tab/>
        <w:t>Capacity building.</w:t>
      </w:r>
    </w:p>
    <w:p w14:paraId="37C9E450" w14:textId="2CB201EB" w:rsidR="005F15AE" w:rsidRDefault="005F15AE" w:rsidP="008631D8">
      <w:pPr>
        <w:pStyle w:val="SingleTxtG"/>
      </w:pPr>
      <w:r>
        <w:t xml:space="preserve">8. </w:t>
      </w:r>
      <w:r>
        <w:tab/>
        <w:t>Programme of work for the biennium 2021-2022</w:t>
      </w:r>
      <w:r w:rsidR="00AE2585">
        <w:t>.</w:t>
      </w:r>
    </w:p>
    <w:p w14:paraId="5748A8CD" w14:textId="77777777" w:rsidR="005F15AE" w:rsidRDefault="005F15AE" w:rsidP="008631D8">
      <w:pPr>
        <w:pStyle w:val="SingleTxtG"/>
      </w:pPr>
      <w:r>
        <w:lastRenderedPageBreak/>
        <w:t>9.</w:t>
      </w:r>
      <w:r>
        <w:tab/>
        <w:t>Draft Resolution 2021/… of the Economic and Social Council.</w:t>
      </w:r>
    </w:p>
    <w:p w14:paraId="1980B537" w14:textId="77777777" w:rsidR="005F15AE" w:rsidRPr="00283442" w:rsidRDefault="005F15AE" w:rsidP="008631D8">
      <w:pPr>
        <w:pStyle w:val="SingleTxtG"/>
      </w:pPr>
      <w:r>
        <w:t>10.</w:t>
      </w:r>
      <w:r>
        <w:tab/>
        <w:t>Election of officers for the biennium 2021-2022.</w:t>
      </w:r>
    </w:p>
    <w:p w14:paraId="79B4B24E" w14:textId="28EEE2A8" w:rsidR="005F15AE" w:rsidRPr="00283442" w:rsidRDefault="005F15AE" w:rsidP="008631D8">
      <w:pPr>
        <w:pStyle w:val="SingleTxtG"/>
      </w:pPr>
      <w:r>
        <w:t>11</w:t>
      </w:r>
      <w:r w:rsidRPr="00283442">
        <w:t>.</w:t>
      </w:r>
      <w:r w:rsidRPr="00283442">
        <w:tab/>
        <w:t>Other business.</w:t>
      </w:r>
    </w:p>
    <w:p w14:paraId="24294470" w14:textId="6F7A08BE" w:rsidR="005F15AE" w:rsidRDefault="005F15AE" w:rsidP="008631D8">
      <w:pPr>
        <w:pStyle w:val="SingleTxtG"/>
      </w:pPr>
      <w:r>
        <w:t>12</w:t>
      </w:r>
      <w:r w:rsidRPr="00283442">
        <w:t>.</w:t>
      </w:r>
      <w:r w:rsidRPr="00283442">
        <w:tab/>
        <w:t>Adoption of the report.</w:t>
      </w:r>
    </w:p>
    <w:p w14:paraId="5E3337F4" w14:textId="77777777" w:rsidR="005F15AE" w:rsidRPr="008631D8" w:rsidRDefault="005F15AE" w:rsidP="008631D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F67F7A" w14:textId="77777777" w:rsidR="005F15AE" w:rsidRDefault="005F15AE"/>
    <w:p w14:paraId="3767B03F" w14:textId="77777777" w:rsidR="00AF5DE1" w:rsidRPr="005F1E81" w:rsidRDefault="00AF5DE1" w:rsidP="004858F5"/>
    <w:sectPr w:rsidR="00AF5DE1" w:rsidRPr="005F1E81" w:rsidSect="005F1E8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934AF" w14:textId="77777777" w:rsidR="005F1E81" w:rsidRPr="00C47B2E" w:rsidRDefault="005F1E81" w:rsidP="00C47B2E">
      <w:pPr>
        <w:pStyle w:val="Footer"/>
      </w:pPr>
    </w:p>
  </w:endnote>
  <w:endnote w:type="continuationSeparator" w:id="0">
    <w:p w14:paraId="2498D4CD" w14:textId="77777777" w:rsidR="005F1E81" w:rsidRPr="00C47B2E" w:rsidRDefault="005F1E81" w:rsidP="00C47B2E">
      <w:pPr>
        <w:pStyle w:val="Footer"/>
      </w:pPr>
    </w:p>
  </w:endnote>
  <w:endnote w:type="continuationNotice" w:id="1">
    <w:p w14:paraId="28C8CA09" w14:textId="77777777" w:rsidR="005F1E81" w:rsidRPr="00C47B2E" w:rsidRDefault="005F1E81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37CB7" w14:textId="77777777" w:rsidR="00D94B05" w:rsidRPr="005F1E81" w:rsidRDefault="005F1E81" w:rsidP="005F1E81">
    <w:pPr>
      <w:pStyle w:val="Footer"/>
      <w:tabs>
        <w:tab w:val="right" w:pos="9598"/>
        <w:tab w:val="right" w:pos="9638"/>
      </w:tabs>
      <w:rPr>
        <w:sz w:val="18"/>
      </w:rPr>
    </w:pPr>
    <w:r w:rsidRPr="005F1E81">
      <w:rPr>
        <w:b/>
        <w:sz w:val="18"/>
      </w:rPr>
      <w:fldChar w:fldCharType="begin"/>
    </w:r>
    <w:r w:rsidRPr="005F1E81">
      <w:rPr>
        <w:b/>
        <w:sz w:val="18"/>
      </w:rPr>
      <w:instrText xml:space="preserve"> PAGE  \* MERGEFORMAT </w:instrText>
    </w:r>
    <w:r w:rsidRPr="005F1E81">
      <w:rPr>
        <w:b/>
        <w:sz w:val="18"/>
      </w:rPr>
      <w:fldChar w:fldCharType="separate"/>
    </w:r>
    <w:r w:rsidRPr="005F1E81">
      <w:rPr>
        <w:b/>
        <w:noProof/>
        <w:sz w:val="18"/>
      </w:rPr>
      <w:t>2</w:t>
    </w:r>
    <w:r w:rsidRPr="005F1E8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ACEA5" w14:textId="77777777" w:rsidR="00D94B05" w:rsidRPr="00AE2585" w:rsidRDefault="005F1E81" w:rsidP="00AE2585">
    <w:pPr>
      <w:pStyle w:val="Footer"/>
      <w:tabs>
        <w:tab w:val="left" w:pos="5775"/>
        <w:tab w:val="right" w:pos="9598"/>
        <w:tab w:val="right" w:pos="9638"/>
      </w:tabs>
      <w:jc w:val="right"/>
      <w:rPr>
        <w:b/>
        <w:bCs/>
        <w:sz w:val="18"/>
      </w:rPr>
    </w:pPr>
    <w:r>
      <w:rPr>
        <w:b/>
        <w:sz w:val="18"/>
      </w:rPr>
      <w:tab/>
    </w:r>
    <w:r w:rsidRPr="00AE2585">
      <w:rPr>
        <w:b/>
        <w:bCs/>
        <w:sz w:val="18"/>
      </w:rPr>
      <w:fldChar w:fldCharType="begin"/>
    </w:r>
    <w:r w:rsidRPr="00AE2585">
      <w:rPr>
        <w:b/>
        <w:bCs/>
        <w:sz w:val="18"/>
      </w:rPr>
      <w:instrText xml:space="preserve"> PAGE  \* MERGEFORMAT </w:instrText>
    </w:r>
    <w:r w:rsidRPr="00AE2585">
      <w:rPr>
        <w:b/>
        <w:bCs/>
        <w:sz w:val="18"/>
      </w:rPr>
      <w:fldChar w:fldCharType="separate"/>
    </w:r>
    <w:r w:rsidRPr="00AE2585">
      <w:rPr>
        <w:b/>
        <w:bCs/>
        <w:noProof/>
        <w:sz w:val="18"/>
      </w:rPr>
      <w:t>3</w:t>
    </w:r>
    <w:r w:rsidRPr="00AE2585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EA8CD" w14:textId="77777777" w:rsidR="00D94B05" w:rsidRPr="005F1E81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178CB40E" wp14:editId="0BE4488B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6DF38" w14:textId="77777777" w:rsidR="005F1E81" w:rsidRPr="00C47B2E" w:rsidRDefault="005F1E81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60ADC66B" w14:textId="77777777" w:rsidR="005F1E81" w:rsidRPr="00C47B2E" w:rsidRDefault="005F1E81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2EC785A6" w14:textId="77777777" w:rsidR="005F1E81" w:rsidRPr="00C47B2E" w:rsidRDefault="005F1E81" w:rsidP="00C47B2E">
      <w:pPr>
        <w:pStyle w:val="Footer"/>
      </w:pPr>
    </w:p>
  </w:footnote>
  <w:footnote w:id="2">
    <w:p w14:paraId="2485647B" w14:textId="6353F8F0" w:rsidR="005F15AE" w:rsidRPr="009A51E7" w:rsidRDefault="005F15AE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9A51E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2219F6">
        <w:rPr>
          <w:bCs/>
          <w:szCs w:val="18"/>
        </w:rPr>
        <w:t>Annotations to the agenda will be circulated as document ST/SG/AC.10/C.4/</w:t>
      </w:r>
      <w:r>
        <w:rPr>
          <w:bCs/>
          <w:szCs w:val="18"/>
        </w:rPr>
        <w:t>77</w:t>
      </w:r>
      <w:r w:rsidRPr="002219F6">
        <w:rPr>
          <w:bCs/>
          <w:szCs w:val="18"/>
        </w:rPr>
        <w:t>/</w:t>
      </w:r>
      <w:r w:rsidR="00413650">
        <w:rPr>
          <w:bCs/>
          <w:szCs w:val="18"/>
        </w:rPr>
        <w:t>Rev.1/</w:t>
      </w:r>
      <w:r w:rsidRPr="002219F6">
        <w:rPr>
          <w:bCs/>
          <w:szCs w:val="18"/>
        </w:rPr>
        <w:t xml:space="preserve">Add.1. The deadline </w:t>
      </w:r>
      <w:r>
        <w:rPr>
          <w:bCs/>
          <w:szCs w:val="18"/>
        </w:rPr>
        <w:t xml:space="preserve">for submission of documents to be considered by the GHS Sub-Committee is </w:t>
      </w:r>
      <w:r w:rsidR="00413650">
        <w:rPr>
          <w:bCs/>
          <w:szCs w:val="18"/>
        </w:rPr>
        <w:t xml:space="preserve">10 September </w:t>
      </w:r>
      <w:r>
        <w:rPr>
          <w:bCs/>
          <w:szCs w:val="18"/>
        </w:rPr>
        <w:t>2020</w:t>
      </w:r>
      <w:r w:rsidRPr="002219F6">
        <w:rPr>
          <w:bCs/>
          <w:szCs w:val="18"/>
        </w:rPr>
        <w:t>.</w:t>
      </w:r>
      <w:r w:rsidRPr="00B07B78">
        <w:rPr>
          <w:bCs/>
          <w:szCs w:val="18"/>
        </w:rPr>
        <w:t xml:space="preserve"> </w:t>
      </w:r>
      <w:r>
        <w:rPr>
          <w:bCs/>
          <w:szCs w:val="18"/>
        </w:rPr>
        <w:t xml:space="preserve">The deadline for submission of documents to be considered by both sub-committees (TDG and GHS) is </w:t>
      </w:r>
      <w:r w:rsidR="00413650">
        <w:rPr>
          <w:bCs/>
          <w:szCs w:val="18"/>
        </w:rPr>
        <w:t xml:space="preserve">4 September </w:t>
      </w:r>
      <w:r>
        <w:rPr>
          <w:bCs/>
          <w:szCs w:val="18"/>
        </w:rPr>
        <w:t>2020.</w:t>
      </w:r>
    </w:p>
  </w:footnote>
  <w:footnote w:id="3">
    <w:p w14:paraId="2C6C9196" w14:textId="77777777" w:rsidR="005F15AE" w:rsidRPr="009A51E7" w:rsidRDefault="005F15AE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9A51E7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bookmarkStart w:id="0" w:name="_Hlk15914872"/>
      <w:r>
        <w:rPr>
          <w:szCs w:val="18"/>
        </w:rPr>
        <w:t xml:space="preserve">All documentation for the session will be made available online </w:t>
      </w:r>
      <w:bookmarkStart w:id="1" w:name="_Hlk15909003"/>
      <w:r>
        <w:rPr>
          <w:szCs w:val="18"/>
        </w:rPr>
        <w:t xml:space="preserve">at: </w:t>
      </w:r>
      <w:r w:rsidRPr="008B0905">
        <w:rPr>
          <w:szCs w:val="18"/>
        </w:rPr>
        <w:t>http://www.unece.org/trans/danger/danger.html</w:t>
      </w:r>
      <w:bookmarkEnd w:id="1"/>
      <w:r>
        <w:rPr>
          <w:szCs w:val="18"/>
        </w:rPr>
        <w:t xml:space="preserve">. </w:t>
      </w:r>
      <w:r w:rsidRPr="00EB47D3">
        <w:rPr>
          <w:szCs w:val="18"/>
        </w:rPr>
        <w:t>Delegates are kindly asked to bring their own copies of documents with them, as no paper copies</w:t>
      </w:r>
      <w:r w:rsidRPr="00EB47D3" w:rsidDel="00EB47D3">
        <w:rPr>
          <w:szCs w:val="18"/>
        </w:rPr>
        <w:t xml:space="preserve"> </w:t>
      </w:r>
      <w:r>
        <w:rPr>
          <w:szCs w:val="18"/>
        </w:rPr>
        <w:t>of documents made available online before the start of the session will be made available in the meeting room.</w:t>
      </w:r>
      <w:r w:rsidRPr="002219F6">
        <w:rPr>
          <w:szCs w:val="18"/>
        </w:rPr>
        <w:t xml:space="preserve"> </w:t>
      </w:r>
      <w:r>
        <w:rPr>
          <w:szCs w:val="18"/>
        </w:rPr>
        <w:t>Delegates wishing to obtain paper copies of</w:t>
      </w:r>
      <w:r w:rsidRPr="002219F6">
        <w:rPr>
          <w:szCs w:val="18"/>
        </w:rPr>
        <w:t xml:space="preserve"> official documents </w:t>
      </w:r>
      <w:r>
        <w:rPr>
          <w:szCs w:val="18"/>
        </w:rPr>
        <w:t xml:space="preserve">during the session are invited to contact </w:t>
      </w:r>
      <w:r w:rsidRPr="002219F6">
        <w:rPr>
          <w:szCs w:val="18"/>
        </w:rPr>
        <w:t>the UNOG Documents Distribution Section (Room C.337, third floor, Palais des Nations).</w:t>
      </w:r>
      <w:bookmarkEnd w:id="0"/>
    </w:p>
  </w:footnote>
  <w:footnote w:id="4">
    <w:p w14:paraId="5C19E53B" w14:textId="489E6826" w:rsidR="005F15AE" w:rsidRPr="009A51E7" w:rsidRDefault="005F15AE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D06849">
        <w:rPr>
          <w:rStyle w:val="FootnoteReference"/>
          <w:sz w:val="20"/>
          <w:vertAlign w:val="baseline"/>
        </w:rPr>
        <w:t>***</w:t>
      </w:r>
      <w:r w:rsidRPr="00D06849">
        <w:rPr>
          <w:rStyle w:val="FootnoteReference"/>
          <w:sz w:val="20"/>
          <w:vertAlign w:val="baseline"/>
        </w:rPr>
        <w:tab/>
      </w:r>
      <w:r w:rsidRPr="00D06849">
        <w:rPr>
          <w:color w:val="000000"/>
          <w:szCs w:val="18"/>
        </w:rPr>
        <w:t>Delegates are requested to register online</w:t>
      </w:r>
      <w:r w:rsidR="00413650" w:rsidRPr="00D06849">
        <w:rPr>
          <w:color w:val="000000"/>
          <w:szCs w:val="18"/>
        </w:rPr>
        <w:t xml:space="preserve"> at:</w:t>
      </w:r>
      <w:r w:rsidR="00D06849" w:rsidRPr="00D06849">
        <w:rPr>
          <w:color w:val="000000"/>
          <w:szCs w:val="18"/>
        </w:rPr>
        <w:t xml:space="preserve"> </w:t>
      </w:r>
      <w:r w:rsidR="00112E29" w:rsidRPr="00D06849">
        <w:rPr>
          <w:color w:val="000000"/>
          <w:szCs w:val="18"/>
        </w:rPr>
        <w:t>https://uncdb.unece.org/app/ext/meeting-registration?id=Y0gx28</w:t>
      </w:r>
      <w:r w:rsidR="00D06849" w:rsidRPr="00D06849">
        <w:rPr>
          <w:color w:val="000000"/>
          <w:szCs w:val="18"/>
        </w:rPr>
        <w:t>.</w:t>
      </w:r>
      <w:r w:rsidRPr="00D06849">
        <w:rPr>
          <w:color w:val="000000"/>
          <w:szCs w:val="18"/>
        </w:rPr>
        <w:t xml:space="preserve"> Upon arrival at the Palais des Nations, delegates should obtain an identification badge at the UNOG Security and Safety Section, located</w:t>
      </w:r>
      <w:r>
        <w:rPr>
          <w:color w:val="000000"/>
          <w:szCs w:val="18"/>
        </w:rPr>
        <w:t xml:space="preserve"> at the Pregny Gate (14, Avenue de la Paix).  In case of difficulty, please contact the secretariat by telephone (ext. 72106).  For a map of the Palais des Nations and other useful information, see </w:t>
      </w:r>
      <w:r w:rsidRPr="003400A8">
        <w:rPr>
          <w:color w:val="000000"/>
        </w:rPr>
        <w:t>www.unece.org/meetings/practical.htm</w:t>
      </w:r>
      <w:r>
        <w:rPr>
          <w:color w:val="000000"/>
        </w:rPr>
        <w:t>l.</w:t>
      </w:r>
    </w:p>
  </w:footnote>
  <w:footnote w:id="5">
    <w:p w14:paraId="687BFC0C" w14:textId="5F438DC5" w:rsidR="005F15AE" w:rsidRPr="00DF4425" w:rsidRDefault="005F15AE" w:rsidP="008631D8">
      <w:pPr>
        <w:pStyle w:val="FootnoteText"/>
        <w:rPr>
          <w:lang w:val="fr-CH"/>
        </w:rPr>
      </w:pPr>
      <w:r>
        <w:tab/>
      </w:r>
      <w:r w:rsidRPr="00DF4425">
        <w:rPr>
          <w:rStyle w:val="FootnoteReference"/>
        </w:rPr>
        <w:footnoteRef/>
      </w:r>
      <w:r w:rsidRPr="00DF4425">
        <w:t xml:space="preserve"> </w:t>
      </w:r>
      <w:r w:rsidRPr="00DF4425">
        <w:tab/>
        <w:t xml:space="preserve">GHS Sub-Committee </w:t>
      </w:r>
      <w:r w:rsidR="00B827B4" w:rsidRPr="00DF4425">
        <w:t xml:space="preserve">delegates </w:t>
      </w:r>
      <w:r w:rsidRPr="00DF4425">
        <w:t>are invited to participate in the sessions of the TDG Sub-Committee when the TDG Sub-Committee is acting as GHS focal point on physical hazards</w:t>
      </w:r>
      <w:r w:rsidR="00B827B4" w:rsidRPr="00DF4425">
        <w:t>.</w:t>
      </w:r>
      <w:r w:rsidR="00D30FEE" w:rsidRPr="00DF4425">
        <w:t xml:space="preserve"> </w:t>
      </w:r>
      <w:r w:rsidR="00DF4425" w:rsidRPr="00DF4425">
        <w:t xml:space="preserve">GHS Sub-Committee delegates interested in participating in the discussions of the </w:t>
      </w:r>
      <w:r w:rsidR="00D30FEE" w:rsidRPr="00DF4425">
        <w:t xml:space="preserve">TDG Sub-Committee </w:t>
      </w:r>
      <w:r w:rsidR="00DF4425" w:rsidRPr="00DF4425">
        <w:t>on</w:t>
      </w:r>
      <w:r w:rsidR="00B827B4" w:rsidRPr="00DF4425">
        <w:t xml:space="preserve"> </w:t>
      </w:r>
      <w:r w:rsidR="00D30FEE" w:rsidRPr="00DF4425">
        <w:t>matters of interest to the GHS</w:t>
      </w:r>
      <w:r w:rsidR="00B827B4" w:rsidRPr="00DF4425">
        <w:t xml:space="preserve"> </w:t>
      </w:r>
      <w:r w:rsidR="00DF4425" w:rsidRPr="00DF4425">
        <w:t xml:space="preserve">should register for the TDG </w:t>
      </w:r>
      <w:r w:rsidR="006769F2">
        <w:t xml:space="preserve">Sub-Committee </w:t>
      </w:r>
      <w:r w:rsidR="00DF4425" w:rsidRPr="00DF4425">
        <w:t>session.</w:t>
      </w:r>
    </w:p>
  </w:footnote>
  <w:footnote w:id="6">
    <w:p w14:paraId="32F27063" w14:textId="6EF7E1A4" w:rsidR="00413650" w:rsidRPr="007C45E3" w:rsidRDefault="00413650">
      <w:pPr>
        <w:pStyle w:val="FootnoteText"/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fr-CH"/>
        </w:rPr>
        <w:t>Documents addressing matters not previously considered by the Sub-Committee during the biennium 2019-2020.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A2B0E" w14:textId="0C47ECE6" w:rsidR="005F1E81" w:rsidRPr="005F1E81" w:rsidRDefault="00F043C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ST/SG/AC.10/C.4/77/Rev.1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9FB6B" w14:textId="4D219142" w:rsidR="00D94B05" w:rsidRPr="005F1E81" w:rsidRDefault="00F043C6" w:rsidP="005F1E8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ST/SG/AC.10/C.4/77/Rev.1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2"/>
  </w:num>
  <w:num w:numId="11">
    <w:abstractNumId w:val="9"/>
  </w:num>
  <w:num w:numId="12">
    <w:abstractNumId w:val="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attachedTemplate r:id="rId1"/>
  <w:defaultTabStop w:val="567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81"/>
    <w:rsid w:val="00046E92"/>
    <w:rsid w:val="00063C90"/>
    <w:rsid w:val="000758C2"/>
    <w:rsid w:val="00077BC5"/>
    <w:rsid w:val="00101B98"/>
    <w:rsid w:val="00104E1B"/>
    <w:rsid w:val="00112E29"/>
    <w:rsid w:val="0014468E"/>
    <w:rsid w:val="001514D1"/>
    <w:rsid w:val="0020523C"/>
    <w:rsid w:val="002474B5"/>
    <w:rsid w:val="00247E2C"/>
    <w:rsid w:val="002A32CB"/>
    <w:rsid w:val="002D5B2C"/>
    <w:rsid w:val="002D6C53"/>
    <w:rsid w:val="002E3C6B"/>
    <w:rsid w:val="002F0232"/>
    <w:rsid w:val="002F5595"/>
    <w:rsid w:val="00334F6A"/>
    <w:rsid w:val="00342AC8"/>
    <w:rsid w:val="00343302"/>
    <w:rsid w:val="003979DE"/>
    <w:rsid w:val="003B4550"/>
    <w:rsid w:val="003D2A18"/>
    <w:rsid w:val="003F66EB"/>
    <w:rsid w:val="00413386"/>
    <w:rsid w:val="00413650"/>
    <w:rsid w:val="004572EF"/>
    <w:rsid w:val="00461253"/>
    <w:rsid w:val="00475E72"/>
    <w:rsid w:val="004858F5"/>
    <w:rsid w:val="004A2814"/>
    <w:rsid w:val="004C0622"/>
    <w:rsid w:val="004D7542"/>
    <w:rsid w:val="004F325B"/>
    <w:rsid w:val="004F763D"/>
    <w:rsid w:val="005042C2"/>
    <w:rsid w:val="0050639D"/>
    <w:rsid w:val="005102EA"/>
    <w:rsid w:val="005939D2"/>
    <w:rsid w:val="005D3237"/>
    <w:rsid w:val="005E716E"/>
    <w:rsid w:val="005F15AE"/>
    <w:rsid w:val="005F1E81"/>
    <w:rsid w:val="006476E1"/>
    <w:rsid w:val="006604DF"/>
    <w:rsid w:val="00671529"/>
    <w:rsid w:val="006769F2"/>
    <w:rsid w:val="006E46A2"/>
    <w:rsid w:val="0070489D"/>
    <w:rsid w:val="007268F9"/>
    <w:rsid w:val="00750282"/>
    <w:rsid w:val="00756870"/>
    <w:rsid w:val="00764440"/>
    <w:rsid w:val="0077101B"/>
    <w:rsid w:val="007C45E3"/>
    <w:rsid w:val="007C52B0"/>
    <w:rsid w:val="007C6033"/>
    <w:rsid w:val="008147C8"/>
    <w:rsid w:val="0081753A"/>
    <w:rsid w:val="00857D23"/>
    <w:rsid w:val="009411B4"/>
    <w:rsid w:val="00946F1D"/>
    <w:rsid w:val="0097072E"/>
    <w:rsid w:val="009D0139"/>
    <w:rsid w:val="009D6FE3"/>
    <w:rsid w:val="009D717D"/>
    <w:rsid w:val="009F02A6"/>
    <w:rsid w:val="009F5CDC"/>
    <w:rsid w:val="00A034E0"/>
    <w:rsid w:val="00A072D7"/>
    <w:rsid w:val="00A5446C"/>
    <w:rsid w:val="00A5644B"/>
    <w:rsid w:val="00A775CF"/>
    <w:rsid w:val="00AD1A9C"/>
    <w:rsid w:val="00AE2585"/>
    <w:rsid w:val="00AF5DE1"/>
    <w:rsid w:val="00B06045"/>
    <w:rsid w:val="00B206DD"/>
    <w:rsid w:val="00B52EF4"/>
    <w:rsid w:val="00B63BAC"/>
    <w:rsid w:val="00B777AD"/>
    <w:rsid w:val="00B827B4"/>
    <w:rsid w:val="00C03015"/>
    <w:rsid w:val="00C0358D"/>
    <w:rsid w:val="00C35A27"/>
    <w:rsid w:val="00C47B2E"/>
    <w:rsid w:val="00C925BE"/>
    <w:rsid w:val="00D06849"/>
    <w:rsid w:val="00D30FEE"/>
    <w:rsid w:val="00D63CD2"/>
    <w:rsid w:val="00D72883"/>
    <w:rsid w:val="00D87DC2"/>
    <w:rsid w:val="00D906A6"/>
    <w:rsid w:val="00D94B05"/>
    <w:rsid w:val="00DB04B0"/>
    <w:rsid w:val="00DF4425"/>
    <w:rsid w:val="00E02C2B"/>
    <w:rsid w:val="00E21C27"/>
    <w:rsid w:val="00E26BCF"/>
    <w:rsid w:val="00E52109"/>
    <w:rsid w:val="00E75317"/>
    <w:rsid w:val="00EC0CE6"/>
    <w:rsid w:val="00EC7C1D"/>
    <w:rsid w:val="00ED6C48"/>
    <w:rsid w:val="00EE3045"/>
    <w:rsid w:val="00F043C6"/>
    <w:rsid w:val="00F14C8D"/>
    <w:rsid w:val="00F65F5D"/>
    <w:rsid w:val="00F86A3A"/>
    <w:rsid w:val="00FD47D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FBFAC99"/>
  <w15:docId w15:val="{98A30C3D-6C4C-4422-BB73-AD1ADE49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ar">
    <w:name w:val="_ Single Txt_G Car"/>
    <w:link w:val="SingleTxtG"/>
    <w:rsid w:val="005F15AE"/>
  </w:style>
  <w:style w:type="character" w:customStyle="1" w:styleId="HChGChar">
    <w:name w:val="_ H _Ch_G Char"/>
    <w:link w:val="HChG"/>
    <w:rsid w:val="005F15AE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2008-33B7-469D-9F04-F15F4561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436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ST/SG/AC.10/C.4/77/Rev.1</vt:lpstr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ST/SG/AC.10/C.4/77/Rev.1</dc:title>
  <dc:subject/>
  <dc:creator>Rosa</dc:creator>
  <cp:lastModifiedBy>Laurence Berthet</cp:lastModifiedBy>
  <cp:revision>36</cp:revision>
  <cp:lastPrinted>2020-08-04T09:29:00Z</cp:lastPrinted>
  <dcterms:created xsi:type="dcterms:W3CDTF">2020-07-14T08:06:00Z</dcterms:created>
  <dcterms:modified xsi:type="dcterms:W3CDTF">2020-08-04T09:29:00Z</dcterms:modified>
</cp:coreProperties>
</file>