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AD4DDF" w14:paraId="3FBCF16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4A9EA7A" w14:textId="77777777" w:rsidR="00132EA9" w:rsidRPr="00DB58B5" w:rsidRDefault="00132EA9" w:rsidP="00AD4DD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95207D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0C30E8" w14:textId="77777777" w:rsidR="00132EA9" w:rsidRPr="00AD4DDF" w:rsidRDefault="00AD4DDF" w:rsidP="00AD4DDF">
            <w:pPr>
              <w:jc w:val="right"/>
              <w:rPr>
                <w:lang w:val="en-US"/>
              </w:rPr>
            </w:pPr>
            <w:r w:rsidRPr="00AD4DDF">
              <w:rPr>
                <w:sz w:val="40"/>
                <w:lang w:val="en-US"/>
              </w:rPr>
              <w:t>ST</w:t>
            </w:r>
            <w:r w:rsidRPr="00AD4DDF">
              <w:rPr>
                <w:lang w:val="en-US"/>
              </w:rPr>
              <w:t>/SG/AC.10/C.4/77/Rev.1/Add.1</w:t>
            </w:r>
          </w:p>
        </w:tc>
      </w:tr>
      <w:tr w:rsidR="00132EA9" w:rsidRPr="00DB58B5" w14:paraId="25DA3167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869E7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ECCFA1E" wp14:editId="78A4382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7A1A1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47BC8B" w14:textId="77777777" w:rsidR="00132EA9" w:rsidRDefault="00AD4DDF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0B1918AF" w14:textId="77777777" w:rsidR="00AD4DDF" w:rsidRDefault="00AD4DDF" w:rsidP="00AD4DDF">
            <w:pPr>
              <w:spacing w:line="240" w:lineRule="exact"/>
            </w:pPr>
            <w:r>
              <w:t>25 septembre 2020</w:t>
            </w:r>
          </w:p>
          <w:p w14:paraId="5CD4B289" w14:textId="77777777" w:rsidR="00AD4DDF" w:rsidRDefault="00AD4DDF" w:rsidP="00AD4DDF">
            <w:pPr>
              <w:spacing w:line="240" w:lineRule="exact"/>
            </w:pPr>
            <w:r>
              <w:t>Français</w:t>
            </w:r>
          </w:p>
          <w:p w14:paraId="66D21E1D" w14:textId="77777777" w:rsidR="00AD4DDF" w:rsidRPr="00DB58B5" w:rsidRDefault="00AD4DDF" w:rsidP="00AD4DDF">
            <w:pPr>
              <w:spacing w:line="240" w:lineRule="exact"/>
            </w:pPr>
            <w:r>
              <w:t>Original : anglais</w:t>
            </w:r>
          </w:p>
        </w:tc>
      </w:tr>
    </w:tbl>
    <w:p w14:paraId="3EA6015A" w14:textId="77777777" w:rsidR="00195014" w:rsidRPr="00165A03" w:rsidRDefault="00195014" w:rsidP="00165A03">
      <w:pPr>
        <w:spacing w:before="120"/>
        <w:rPr>
          <w:b/>
          <w:sz w:val="24"/>
          <w:szCs w:val="24"/>
        </w:rPr>
      </w:pPr>
      <w:r w:rsidRPr="00165A03">
        <w:rPr>
          <w:b/>
          <w:bCs/>
          <w:sz w:val="24"/>
          <w:szCs w:val="24"/>
        </w:rPr>
        <w:t xml:space="preserve">Comité d’experts du transport des marchandises dangereuses </w:t>
      </w:r>
      <w:r w:rsidR="00165A03">
        <w:rPr>
          <w:b/>
          <w:bCs/>
          <w:sz w:val="24"/>
          <w:szCs w:val="24"/>
        </w:rPr>
        <w:br/>
      </w:r>
      <w:proofErr w:type="gramStart"/>
      <w:r w:rsidRPr="00165A03">
        <w:rPr>
          <w:b/>
          <w:bCs/>
          <w:sz w:val="24"/>
          <w:szCs w:val="24"/>
        </w:rPr>
        <w:t>et</w:t>
      </w:r>
      <w:proofErr w:type="gramEnd"/>
      <w:r w:rsidRPr="00165A03">
        <w:rPr>
          <w:b/>
          <w:bCs/>
          <w:sz w:val="24"/>
          <w:szCs w:val="24"/>
        </w:rPr>
        <w:t xml:space="preserve"> du Système général harmonisé de classification </w:t>
      </w:r>
      <w:r w:rsidR="00165A03">
        <w:rPr>
          <w:b/>
          <w:bCs/>
          <w:sz w:val="24"/>
          <w:szCs w:val="24"/>
        </w:rPr>
        <w:br/>
      </w:r>
      <w:r w:rsidRPr="00165A03">
        <w:rPr>
          <w:b/>
          <w:bCs/>
          <w:sz w:val="24"/>
          <w:szCs w:val="24"/>
        </w:rPr>
        <w:t>et d’étiquetage des produits chimiques</w:t>
      </w:r>
    </w:p>
    <w:p w14:paraId="018EB7BC" w14:textId="77777777" w:rsidR="00195014" w:rsidRPr="00165A03" w:rsidRDefault="00195014" w:rsidP="00165A03">
      <w:pPr>
        <w:spacing w:before="120"/>
        <w:rPr>
          <w:b/>
          <w:color w:val="000000"/>
        </w:rPr>
      </w:pPr>
      <w:r w:rsidRPr="00165A03">
        <w:rPr>
          <w:b/>
          <w:bCs/>
        </w:rPr>
        <w:t xml:space="preserve">Sous-Comité d’experts du Système général harmonisé de classification </w:t>
      </w:r>
      <w:r w:rsidR="00165A03">
        <w:rPr>
          <w:b/>
          <w:bCs/>
        </w:rPr>
        <w:br/>
      </w:r>
      <w:r w:rsidRPr="00165A03">
        <w:rPr>
          <w:b/>
          <w:bCs/>
        </w:rPr>
        <w:t>et d’étiquetage des produits chimiques</w:t>
      </w:r>
    </w:p>
    <w:p w14:paraId="5B2B5933" w14:textId="77777777" w:rsidR="00195014" w:rsidRPr="00165A03" w:rsidRDefault="00195014" w:rsidP="00165A03">
      <w:pPr>
        <w:spacing w:before="120"/>
        <w:rPr>
          <w:b/>
        </w:rPr>
      </w:pPr>
      <w:r w:rsidRPr="00165A03">
        <w:rPr>
          <w:b/>
          <w:bCs/>
        </w:rPr>
        <w:t>Trente-neuvième session</w:t>
      </w:r>
    </w:p>
    <w:p w14:paraId="2909D252" w14:textId="77777777" w:rsidR="00195014" w:rsidRPr="00165A03" w:rsidRDefault="00195014" w:rsidP="00195014">
      <w:r w:rsidRPr="00165A03">
        <w:t>Genève, 9-11 décembre 2020</w:t>
      </w:r>
    </w:p>
    <w:p w14:paraId="78D65C17" w14:textId="77777777" w:rsidR="00195014" w:rsidRPr="00165A03" w:rsidRDefault="00195014" w:rsidP="00195014">
      <w:r w:rsidRPr="00165A03">
        <w:t>Point 1 de l’ordre du jour provisoire</w:t>
      </w:r>
    </w:p>
    <w:p w14:paraId="5297E96C" w14:textId="77777777" w:rsidR="00195014" w:rsidRPr="00165A03" w:rsidRDefault="00195014" w:rsidP="00195014">
      <w:pPr>
        <w:rPr>
          <w:b/>
        </w:rPr>
      </w:pPr>
      <w:r w:rsidRPr="00165A03">
        <w:rPr>
          <w:b/>
          <w:bCs/>
        </w:rPr>
        <w:t>Adoption de l’ordre du jour</w:t>
      </w:r>
    </w:p>
    <w:p w14:paraId="28E2B2DF" w14:textId="77777777" w:rsidR="00195014" w:rsidRPr="00E66101" w:rsidRDefault="00195014" w:rsidP="00165A03">
      <w:pPr>
        <w:pStyle w:val="HChG"/>
      </w:pPr>
      <w:r w:rsidRPr="00E66101">
        <w:tab/>
      </w:r>
      <w:r w:rsidRPr="00E66101">
        <w:tab/>
        <w:t>Ordre du jour provisoire révisé de la trente-neuvième session</w:t>
      </w:r>
    </w:p>
    <w:p w14:paraId="1BF4D84D" w14:textId="77777777" w:rsidR="00195014" w:rsidRPr="00E66101" w:rsidRDefault="00195014" w:rsidP="00165A03">
      <w:pPr>
        <w:pStyle w:val="H23G"/>
      </w:pPr>
      <w:r w:rsidRPr="00E66101">
        <w:tab/>
      </w:r>
      <w:r w:rsidRPr="00E66101">
        <w:tab/>
        <w:t>Additif</w:t>
      </w:r>
    </w:p>
    <w:p w14:paraId="1B1AB9CC" w14:textId="77777777" w:rsidR="00195014" w:rsidRPr="00E66101" w:rsidRDefault="00195014" w:rsidP="00165A03">
      <w:pPr>
        <w:pStyle w:val="HChG"/>
      </w:pPr>
      <w:r w:rsidRPr="00E66101">
        <w:tab/>
      </w:r>
      <w:r w:rsidRPr="00E66101">
        <w:tab/>
        <w:t>Liste des documents et annotations</w:t>
      </w:r>
    </w:p>
    <w:p w14:paraId="6B5686F2" w14:textId="77777777" w:rsidR="00195014" w:rsidRPr="00E66101" w:rsidRDefault="00165A03" w:rsidP="00165A03">
      <w:pPr>
        <w:pStyle w:val="H1G"/>
      </w:pPr>
      <w:r>
        <w:tab/>
      </w:r>
      <w:r>
        <w:tab/>
      </w:r>
      <w:r w:rsidR="00195014" w:rsidRPr="00E66101">
        <w:t>Note du secrétariat</w:t>
      </w:r>
    </w:p>
    <w:p w14:paraId="7183E8D3" w14:textId="77777777" w:rsidR="00195014" w:rsidRPr="00E66101" w:rsidRDefault="00195014" w:rsidP="00165A03">
      <w:pPr>
        <w:pStyle w:val="SingleTxtG"/>
        <w:ind w:firstLine="567"/>
      </w:pPr>
      <w:r w:rsidRPr="00E66101">
        <w:t>Compte tenu de l</w:t>
      </w:r>
      <w:r>
        <w:t>’</w:t>
      </w:r>
      <w:r w:rsidRPr="00E66101">
        <w:t>incidence que continue d</w:t>
      </w:r>
      <w:r>
        <w:t>’</w:t>
      </w:r>
      <w:r w:rsidRPr="00E66101">
        <w:t>avoir la pandémie de coronavirus (COVID-19) sur le plan mondial, le secrétariat a été informé que certaines délégations pourraient ne pas être en mesure de participer physiquement à la session. Afin qu</w:t>
      </w:r>
      <w:r>
        <w:t>’</w:t>
      </w:r>
      <w:r w:rsidRPr="00E66101">
        <w:t>elles puissent y participer à distance, le secrétariat prend les mesures nécessaires pour organiser une session « hybride » (c</w:t>
      </w:r>
      <w:r>
        <w:t>’</w:t>
      </w:r>
      <w:r w:rsidRPr="00E66101">
        <w:t>est-à-dire avec des représentants sur place et d</w:t>
      </w:r>
      <w:r>
        <w:t>’</w:t>
      </w:r>
      <w:r w:rsidRPr="00E66101">
        <w:t>autres connectés en ligne). De plus amples informations sur les modalités de travail de la session seront diffusées prochainement.</w:t>
      </w:r>
    </w:p>
    <w:p w14:paraId="6C87CAAE" w14:textId="77777777" w:rsidR="00195014" w:rsidRPr="00E66101" w:rsidRDefault="00195014" w:rsidP="00165A03">
      <w:pPr>
        <w:pStyle w:val="HChG"/>
      </w:pPr>
      <w:r w:rsidRPr="00E66101">
        <w:tab/>
        <w:t>1.</w:t>
      </w:r>
      <w:r w:rsidRPr="00E66101">
        <w:tab/>
        <w:t>Adoption de l</w:t>
      </w:r>
      <w:r>
        <w:t>’</w:t>
      </w:r>
      <w:r w:rsidRPr="00E66101">
        <w:t>ordre du jour</w:t>
      </w:r>
    </w:p>
    <w:tbl>
      <w:tblPr>
        <w:tblStyle w:val="TableGrid"/>
        <w:tblW w:w="7371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531"/>
      </w:tblGrid>
      <w:tr w:rsidR="00195014" w:rsidRPr="00E66101" w14:paraId="41E45366" w14:textId="77777777" w:rsidTr="00F86F49">
        <w:tc>
          <w:tcPr>
            <w:tcW w:w="2840" w:type="dxa"/>
          </w:tcPr>
          <w:p w14:paraId="307761EF" w14:textId="77777777" w:rsidR="00195014" w:rsidRPr="00C76350" w:rsidRDefault="00195014" w:rsidP="00F86F49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ST/SG/AC.10/C.4/77/Rev.1</w:t>
            </w:r>
          </w:p>
        </w:tc>
        <w:tc>
          <w:tcPr>
            <w:tcW w:w="4531" w:type="dxa"/>
          </w:tcPr>
          <w:p w14:paraId="6EF4D6E0" w14:textId="77777777" w:rsidR="00195014" w:rsidRPr="00E66101" w:rsidRDefault="00195014" w:rsidP="00F86F49">
            <w:pPr>
              <w:spacing w:after="120"/>
            </w:pPr>
            <w:r w:rsidRPr="00E66101">
              <w:t>Ordre du jour provisoire de la trente-neuvième session (révision)</w:t>
            </w:r>
          </w:p>
        </w:tc>
      </w:tr>
      <w:tr w:rsidR="00195014" w:rsidRPr="00E66101" w14:paraId="098B37C4" w14:textId="77777777" w:rsidTr="00F86F49">
        <w:tc>
          <w:tcPr>
            <w:tcW w:w="2840" w:type="dxa"/>
          </w:tcPr>
          <w:p w14:paraId="6F604BFD" w14:textId="77777777" w:rsidR="00195014" w:rsidRPr="00C76350" w:rsidRDefault="00195014" w:rsidP="00F86F49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ST/SG/AC.10/C.4/77/Rev.1/Add.1</w:t>
            </w:r>
          </w:p>
        </w:tc>
        <w:tc>
          <w:tcPr>
            <w:tcW w:w="4531" w:type="dxa"/>
          </w:tcPr>
          <w:p w14:paraId="5C50243E" w14:textId="77777777" w:rsidR="00195014" w:rsidRPr="00E66101" w:rsidRDefault="00195014" w:rsidP="00F86F49">
            <w:pPr>
              <w:spacing w:after="120"/>
            </w:pPr>
            <w:r w:rsidRPr="00E66101">
              <w:t>Liste des documents et annotations</w:t>
            </w:r>
          </w:p>
        </w:tc>
      </w:tr>
    </w:tbl>
    <w:p w14:paraId="3CE71A7E" w14:textId="77777777" w:rsidR="00195014" w:rsidRPr="00E66101" w:rsidRDefault="00195014" w:rsidP="00E00D03">
      <w:pPr>
        <w:pStyle w:val="SingleTxtG"/>
        <w:spacing w:before="120"/>
        <w:ind w:firstLine="567"/>
      </w:pPr>
      <w:r w:rsidRPr="00E66101">
        <w:t>Le document informel INF.11 dans lequel figure le calendrier des débats informels tenus en juillet en préparation de la trente-neuvième session n</w:t>
      </w:r>
      <w:r>
        <w:t>’</w:t>
      </w:r>
      <w:r w:rsidRPr="00E66101">
        <w:t>est plus d</w:t>
      </w:r>
      <w:r>
        <w:t>’</w:t>
      </w:r>
      <w:r w:rsidRPr="00E66101">
        <w:t>actualité et ne sera pas examiné pendant la session.</w:t>
      </w:r>
    </w:p>
    <w:p w14:paraId="08F027C6" w14:textId="77777777" w:rsidR="00195014" w:rsidRPr="00F86F49" w:rsidRDefault="00195014" w:rsidP="00F86F49">
      <w:pPr>
        <w:pStyle w:val="H23G"/>
        <w:rPr>
          <w:i/>
          <w:iCs/>
        </w:rPr>
      </w:pPr>
      <w:r w:rsidRPr="00E66101">
        <w:lastRenderedPageBreak/>
        <w:tab/>
      </w:r>
      <w:r w:rsidRPr="00E66101">
        <w:tab/>
      </w:r>
      <w:r w:rsidRPr="00F86F49">
        <w:rPr>
          <w:i/>
          <w:iCs/>
        </w:rPr>
        <w:t xml:space="preserve">Documents de référence 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5"/>
      </w:tblGrid>
      <w:tr w:rsidR="00195014" w:rsidRPr="00E66101" w14:paraId="19A757DB" w14:textId="77777777" w:rsidTr="00CA653F">
        <w:tc>
          <w:tcPr>
            <w:tcW w:w="2665" w:type="dxa"/>
          </w:tcPr>
          <w:p w14:paraId="00327BCC" w14:textId="77777777" w:rsidR="00195014" w:rsidRPr="00E66101" w:rsidRDefault="00195014" w:rsidP="00F86F49">
            <w:pPr>
              <w:keepNext/>
              <w:spacing w:after="120"/>
            </w:pPr>
            <w:r w:rsidRPr="00E66101">
              <w:t>ST/SG/AC.10/30/Rev.8</w:t>
            </w:r>
          </w:p>
        </w:tc>
        <w:tc>
          <w:tcPr>
            <w:tcW w:w="4706" w:type="dxa"/>
          </w:tcPr>
          <w:p w14:paraId="2BC402AC" w14:textId="77777777" w:rsidR="00195014" w:rsidRPr="00E66101" w:rsidRDefault="00195014" w:rsidP="00F86F49">
            <w:pPr>
              <w:keepNext/>
              <w:spacing w:after="120"/>
            </w:pPr>
            <w:r w:rsidRPr="00E66101">
              <w:t xml:space="preserve">Système général harmonisé de classification </w:t>
            </w:r>
            <w:r w:rsidR="000F0FF9">
              <w:br/>
            </w:r>
            <w:r w:rsidRPr="00E66101">
              <w:t>et d</w:t>
            </w:r>
            <w:r>
              <w:t>’</w:t>
            </w:r>
            <w:r w:rsidRPr="00E66101">
              <w:t xml:space="preserve">étiquetage des produits chimiques (SGH), </w:t>
            </w:r>
            <w:r w:rsidR="000F0FF9">
              <w:br/>
            </w:r>
            <w:r w:rsidRPr="00E66101">
              <w:t>huitième édition révisée</w:t>
            </w:r>
          </w:p>
        </w:tc>
      </w:tr>
      <w:tr w:rsidR="00195014" w:rsidRPr="00E66101" w14:paraId="3364EB8A" w14:textId="77777777" w:rsidTr="00CA653F">
        <w:tc>
          <w:tcPr>
            <w:tcW w:w="2665" w:type="dxa"/>
          </w:tcPr>
          <w:p w14:paraId="43E2267A" w14:textId="77777777" w:rsidR="00195014" w:rsidRPr="00E66101" w:rsidRDefault="00195014" w:rsidP="00F86F49">
            <w:pPr>
              <w:keepNext/>
              <w:spacing w:after="120"/>
            </w:pPr>
            <w:r w:rsidRPr="00E66101">
              <w:t>ST/SG/AC.10/1/Rev.21</w:t>
            </w:r>
          </w:p>
        </w:tc>
        <w:tc>
          <w:tcPr>
            <w:tcW w:w="4706" w:type="dxa"/>
          </w:tcPr>
          <w:p w14:paraId="55EAFFD1" w14:textId="77777777" w:rsidR="00195014" w:rsidRPr="00E66101" w:rsidRDefault="00195014" w:rsidP="00F86F49">
            <w:pPr>
              <w:keepNext/>
              <w:spacing w:after="120"/>
            </w:pPr>
            <w:r w:rsidRPr="00E66101">
              <w:t>Recommandations relatives au transport des marchandises dangereuses, Règlement type, vingt et unième édition révisée</w:t>
            </w:r>
          </w:p>
        </w:tc>
      </w:tr>
      <w:tr w:rsidR="00195014" w:rsidRPr="00E66101" w14:paraId="26B2B34B" w14:textId="77777777" w:rsidTr="00CA653F">
        <w:tc>
          <w:tcPr>
            <w:tcW w:w="2665" w:type="dxa"/>
          </w:tcPr>
          <w:p w14:paraId="41ACD537" w14:textId="77777777" w:rsidR="00195014" w:rsidRPr="00E66101" w:rsidRDefault="00195014" w:rsidP="00F86F49">
            <w:pPr>
              <w:spacing w:after="120"/>
            </w:pPr>
            <w:r w:rsidRPr="00E66101">
              <w:t>ST/SG/AC.10/11/Rev.7</w:t>
            </w:r>
          </w:p>
        </w:tc>
        <w:tc>
          <w:tcPr>
            <w:tcW w:w="4706" w:type="dxa"/>
          </w:tcPr>
          <w:p w14:paraId="1E7C6EC8" w14:textId="77777777" w:rsidR="00195014" w:rsidRPr="00E66101" w:rsidRDefault="00195014" w:rsidP="00F86F49">
            <w:pPr>
              <w:spacing w:after="120"/>
            </w:pPr>
            <w:r w:rsidRPr="00E66101">
              <w:t>Manuel d</w:t>
            </w:r>
            <w:r>
              <w:t>’</w:t>
            </w:r>
            <w:r w:rsidRPr="00E66101">
              <w:t>épreuves et de critères, septième édition révisée</w:t>
            </w:r>
          </w:p>
        </w:tc>
      </w:tr>
      <w:tr w:rsidR="00195014" w:rsidRPr="00E66101" w14:paraId="539EB4B2" w14:textId="77777777" w:rsidTr="00CA653F">
        <w:tc>
          <w:tcPr>
            <w:tcW w:w="2665" w:type="dxa"/>
          </w:tcPr>
          <w:p w14:paraId="30950669" w14:textId="77777777" w:rsidR="00195014" w:rsidRPr="00E66101" w:rsidRDefault="00195014" w:rsidP="00F86F49">
            <w:pPr>
              <w:spacing w:after="120"/>
            </w:pPr>
            <w:r w:rsidRPr="00E66101">
              <w:t>ST/SG/AC.10/C.4/74</w:t>
            </w:r>
          </w:p>
        </w:tc>
        <w:tc>
          <w:tcPr>
            <w:tcW w:w="4706" w:type="dxa"/>
          </w:tcPr>
          <w:p w14:paraId="6023AC88" w14:textId="77777777" w:rsidR="00195014" w:rsidRPr="00E66101" w:rsidRDefault="00195014" w:rsidP="00F86F49">
            <w:pPr>
              <w:spacing w:after="120"/>
            </w:pPr>
            <w:r w:rsidRPr="00E66101">
              <w:t>Rapport du Sous-Comité d</w:t>
            </w:r>
            <w:r>
              <w:t>’</w:t>
            </w:r>
            <w:r w:rsidRPr="00E66101">
              <w:t>experts du Système général harmonisé de classification et d</w:t>
            </w:r>
            <w:r>
              <w:t>’</w:t>
            </w:r>
            <w:r w:rsidRPr="00E66101">
              <w:t>étiquetage des produits chimiques sur sa trente-septième session</w:t>
            </w:r>
          </w:p>
        </w:tc>
      </w:tr>
      <w:tr w:rsidR="00195014" w:rsidRPr="00E66101" w14:paraId="043A60F1" w14:textId="77777777" w:rsidTr="00CA653F">
        <w:tc>
          <w:tcPr>
            <w:tcW w:w="2665" w:type="dxa"/>
          </w:tcPr>
          <w:p w14:paraId="0A8701F6" w14:textId="77777777" w:rsidR="00195014" w:rsidRPr="00E66101" w:rsidRDefault="00195014" w:rsidP="00F86F49">
            <w:pPr>
              <w:spacing w:after="120"/>
            </w:pPr>
            <w:r w:rsidRPr="00E66101">
              <w:t>ST/SG/AC.10/C.4/76</w:t>
            </w:r>
          </w:p>
        </w:tc>
        <w:tc>
          <w:tcPr>
            <w:tcW w:w="4706" w:type="dxa"/>
          </w:tcPr>
          <w:p w14:paraId="7862E00E" w14:textId="77777777" w:rsidR="00195014" w:rsidRPr="00E66101" w:rsidRDefault="00195014" w:rsidP="00F86F49">
            <w:pPr>
              <w:spacing w:after="120"/>
            </w:pPr>
            <w:r w:rsidRPr="00E66101">
              <w:t>Rapport du Sous-Comité d</w:t>
            </w:r>
            <w:r>
              <w:t>’</w:t>
            </w:r>
            <w:r w:rsidRPr="00E66101">
              <w:t>experts du Système général harmonisé de classification et d</w:t>
            </w:r>
            <w:r>
              <w:t>’</w:t>
            </w:r>
            <w:r w:rsidRPr="00E66101">
              <w:t>étiquetage des produits chimiques sur sa trente-huitième session</w:t>
            </w:r>
          </w:p>
        </w:tc>
      </w:tr>
      <w:tr w:rsidR="00195014" w:rsidRPr="00E66101" w14:paraId="36BC6BEE" w14:textId="77777777" w:rsidTr="00CA653F">
        <w:tc>
          <w:tcPr>
            <w:tcW w:w="2665" w:type="dxa"/>
          </w:tcPr>
          <w:p w14:paraId="4EA5A7BC" w14:textId="77777777" w:rsidR="00195014" w:rsidRPr="00E66101" w:rsidRDefault="00195014" w:rsidP="00F86F49">
            <w:pPr>
              <w:spacing w:after="120"/>
            </w:pPr>
            <w:r w:rsidRPr="00E66101">
              <w:t xml:space="preserve">ST/SG/AC.10/C.3/110 </w:t>
            </w:r>
          </w:p>
        </w:tc>
        <w:tc>
          <w:tcPr>
            <w:tcW w:w="4706" w:type="dxa"/>
          </w:tcPr>
          <w:p w14:paraId="4420BB40" w14:textId="77777777" w:rsidR="00195014" w:rsidRPr="00E66101" w:rsidRDefault="00195014" w:rsidP="00F86F49">
            <w:pPr>
              <w:spacing w:after="120"/>
            </w:pPr>
            <w:r w:rsidRPr="00E66101">
              <w:t>Rapport du Sous-Comité d</w:t>
            </w:r>
            <w:r>
              <w:t>’</w:t>
            </w:r>
            <w:r w:rsidRPr="00E66101">
              <w:t>experts du transport des marchandises dangereuses sur sa cinquante-cinquième session</w:t>
            </w:r>
          </w:p>
        </w:tc>
      </w:tr>
      <w:tr w:rsidR="00195014" w:rsidRPr="00E66101" w14:paraId="62FB9429" w14:textId="77777777" w:rsidTr="00CA653F">
        <w:tc>
          <w:tcPr>
            <w:tcW w:w="2665" w:type="dxa"/>
          </w:tcPr>
          <w:p w14:paraId="75854F97" w14:textId="77777777" w:rsidR="00195014" w:rsidRPr="00C76350" w:rsidRDefault="00195014" w:rsidP="00F86F49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 xml:space="preserve">ST/SG/AC.10/C.3/112 et ST/SG/AC.10/C.3/112/Add.1 </w:t>
            </w:r>
          </w:p>
        </w:tc>
        <w:tc>
          <w:tcPr>
            <w:tcW w:w="4706" w:type="dxa"/>
          </w:tcPr>
          <w:p w14:paraId="164B54A9" w14:textId="77777777" w:rsidR="00195014" w:rsidRPr="00E66101" w:rsidRDefault="00195014" w:rsidP="00F86F49">
            <w:pPr>
              <w:spacing w:after="120"/>
            </w:pPr>
            <w:r w:rsidRPr="00E66101">
              <w:t>Rapport du Sous-Comité d</w:t>
            </w:r>
            <w:r>
              <w:t>’</w:t>
            </w:r>
            <w:r w:rsidRPr="00E66101">
              <w:t>experts du transport des marchandises dangereuses sur sa cinquante-sixième session</w:t>
            </w:r>
          </w:p>
        </w:tc>
      </w:tr>
    </w:tbl>
    <w:p w14:paraId="686FCEA5" w14:textId="77777777" w:rsidR="00195014" w:rsidRPr="00E66101" w:rsidRDefault="00195014" w:rsidP="00165A03">
      <w:pPr>
        <w:pStyle w:val="HChG"/>
      </w:pPr>
      <w:r w:rsidRPr="00E66101">
        <w:tab/>
        <w:t>2.</w:t>
      </w:r>
      <w:r w:rsidRPr="00E66101">
        <w:tab/>
        <w:t xml:space="preserve">Recommandations formulées par le Sous-Comité </w:t>
      </w:r>
      <w:r w:rsidR="0049220F">
        <w:br/>
      </w:r>
      <w:r w:rsidRPr="00E66101">
        <w:t xml:space="preserve">lors de ses trente-septième et </w:t>
      </w:r>
      <w:proofErr w:type="gramStart"/>
      <w:r w:rsidRPr="00E66101">
        <w:t>trente-huitième sessions</w:t>
      </w:r>
      <w:proofErr w:type="gramEnd"/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6"/>
      </w:tblGrid>
      <w:tr w:rsidR="00195014" w:rsidRPr="00E66101" w14:paraId="0DD8B984" w14:textId="77777777" w:rsidTr="00CA653F">
        <w:tc>
          <w:tcPr>
            <w:tcW w:w="2665" w:type="dxa"/>
          </w:tcPr>
          <w:p w14:paraId="24578368" w14:textId="77777777" w:rsidR="00195014" w:rsidRPr="00E66101" w:rsidRDefault="00195014" w:rsidP="00680C3D">
            <w:r w:rsidRPr="00E66101">
              <w:t>ST/SG/AC.10/C.4/2020/15 (secrétariat)</w:t>
            </w:r>
          </w:p>
        </w:tc>
        <w:tc>
          <w:tcPr>
            <w:tcW w:w="4706" w:type="dxa"/>
          </w:tcPr>
          <w:p w14:paraId="4C590319" w14:textId="77777777" w:rsidR="00195014" w:rsidRPr="00E66101" w:rsidRDefault="00195014" w:rsidP="00680C3D">
            <w:r w:rsidRPr="00E66101">
              <w:t>Liste récapitulative des projets d</w:t>
            </w:r>
            <w:r>
              <w:t>’</w:t>
            </w:r>
            <w:r w:rsidRPr="00E66101">
              <w:t xml:space="preserve">amendements adoptés par le Sous-Comité à ses trente-septième </w:t>
            </w:r>
            <w:r w:rsidR="000F0FF9">
              <w:br/>
            </w:r>
            <w:r w:rsidRPr="00E66101">
              <w:t>et trente-huitième sessions</w:t>
            </w:r>
          </w:p>
        </w:tc>
      </w:tr>
    </w:tbl>
    <w:p w14:paraId="4E51B1DA" w14:textId="77777777" w:rsidR="00195014" w:rsidRPr="00E66101" w:rsidRDefault="00195014" w:rsidP="00165A03">
      <w:pPr>
        <w:pStyle w:val="HChG"/>
      </w:pPr>
      <w:r w:rsidRPr="00E66101">
        <w:tab/>
        <w:t>3.</w:t>
      </w:r>
      <w:r w:rsidRPr="00E66101">
        <w:tab/>
        <w:t xml:space="preserve">Critères de classification et communication des dangers </w:t>
      </w:r>
      <w:r w:rsidR="0049220F">
        <w:br/>
      </w:r>
      <w:r w:rsidRPr="00E66101">
        <w:t>s</w:t>
      </w:r>
      <w:r>
        <w:t>’</w:t>
      </w:r>
      <w:r w:rsidRPr="00E66101">
        <w:t>y rapportant</w:t>
      </w:r>
    </w:p>
    <w:p w14:paraId="2F20DB2D" w14:textId="77777777" w:rsidR="00195014" w:rsidRPr="00E66101" w:rsidRDefault="00195014" w:rsidP="00165A03">
      <w:pPr>
        <w:pStyle w:val="H1G"/>
      </w:pPr>
      <w:r w:rsidRPr="00E66101">
        <w:tab/>
        <w:t>a)</w:t>
      </w:r>
      <w:r w:rsidRPr="00E66101">
        <w:tab/>
        <w:t>Travaux du Sous-Comité d</w:t>
      </w:r>
      <w:r>
        <w:t>’</w:t>
      </w:r>
      <w:r w:rsidRPr="00E66101">
        <w:t>experts du transport des marchandises dangereuses (TMD) sur des questions intéressant le Sous-Comité d</w:t>
      </w:r>
      <w:r>
        <w:t>’</w:t>
      </w:r>
      <w:r w:rsidRPr="00E66101">
        <w:t>experts du Système général harmonisé de classification et d</w:t>
      </w:r>
      <w:r>
        <w:t>’</w:t>
      </w:r>
      <w:r w:rsidRPr="00E66101">
        <w:t>étiquetage des produits chimiques (Sous-Comité SGH)</w:t>
      </w:r>
      <w:r w:rsidRPr="00F86F49">
        <w:rPr>
          <w:rStyle w:val="FootnoteReference"/>
          <w:b w:val="0"/>
          <w:bCs/>
        </w:rPr>
        <w:footnoteReference w:id="2"/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710"/>
      </w:tblGrid>
      <w:tr w:rsidR="00195014" w:rsidRPr="00E66101" w14:paraId="01B19684" w14:textId="77777777" w:rsidTr="00CA653F">
        <w:tc>
          <w:tcPr>
            <w:tcW w:w="2660" w:type="dxa"/>
          </w:tcPr>
          <w:p w14:paraId="1A85252B" w14:textId="77777777" w:rsidR="00195014" w:rsidRPr="00E66101" w:rsidRDefault="00195014" w:rsidP="00F86F49">
            <w:pPr>
              <w:spacing w:after="120"/>
            </w:pPr>
            <w:r w:rsidRPr="00E66101">
              <w:t xml:space="preserve">ST/SG/AC.10/C.4/2020/4, </w:t>
            </w:r>
            <w:r w:rsidR="00F86F49">
              <w:br/>
            </w:r>
            <w:r w:rsidRPr="00E66101">
              <w:t xml:space="preserve">ST/SG/AC.10/C.4/2020/4/Add.1 </w:t>
            </w:r>
            <w:r w:rsidR="00F86F49">
              <w:br/>
            </w:r>
            <w:r w:rsidRPr="00E66101">
              <w:t>et document informel INF.3 (Président du Groupe de travail des explosifs)</w:t>
            </w:r>
          </w:p>
        </w:tc>
        <w:tc>
          <w:tcPr>
            <w:tcW w:w="4710" w:type="dxa"/>
          </w:tcPr>
          <w:p w14:paraId="00EF919B" w14:textId="77777777" w:rsidR="00195014" w:rsidRPr="00E66101" w:rsidRDefault="00195014" w:rsidP="00F86F49">
            <w:pPr>
              <w:spacing w:after="120"/>
            </w:pPr>
            <w:r w:rsidRPr="00E66101">
              <w:t>Manuel d</w:t>
            </w:r>
            <w:r>
              <w:t>’</w:t>
            </w:r>
            <w:r w:rsidRPr="00E66101">
              <w:t>essais et de critères, examen de la série d</w:t>
            </w:r>
            <w:r>
              <w:t>’</w:t>
            </w:r>
            <w:r w:rsidRPr="00E66101">
              <w:t>épreuves H</w:t>
            </w:r>
            <w:r w:rsidR="00F86F49">
              <w:t> </w:t>
            </w:r>
            <w:r w:rsidRPr="00E66101">
              <w:t xml:space="preserve">: détermination de la température </w:t>
            </w:r>
            <w:r w:rsidR="009853DB">
              <w:br/>
            </w:r>
            <w:r w:rsidRPr="00E66101">
              <w:t>de décomposition auto-accélérée</w:t>
            </w:r>
          </w:p>
        </w:tc>
      </w:tr>
      <w:tr w:rsidR="00195014" w:rsidRPr="00E66101" w14:paraId="64F8931D" w14:textId="77777777" w:rsidTr="00CA653F">
        <w:tc>
          <w:tcPr>
            <w:tcW w:w="2660" w:type="dxa"/>
          </w:tcPr>
          <w:p w14:paraId="14E80A11" w14:textId="77777777" w:rsidR="00195014" w:rsidRPr="00C76350" w:rsidRDefault="00195014" w:rsidP="00F86F49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ST/SG/AC.10/C.4/2020/9 (France)</w:t>
            </w:r>
          </w:p>
        </w:tc>
        <w:tc>
          <w:tcPr>
            <w:tcW w:w="4710" w:type="dxa"/>
          </w:tcPr>
          <w:p w14:paraId="24D6F16C" w14:textId="77777777" w:rsidR="00195014" w:rsidRPr="00E66101" w:rsidRDefault="00195014" w:rsidP="00F86F49">
            <w:pPr>
              <w:spacing w:after="120"/>
            </w:pPr>
            <w:r w:rsidRPr="00E66101">
              <w:t xml:space="preserve">Épreuves relatives aux matières comburantes liquides </w:t>
            </w:r>
            <w:r w:rsidR="009853DB">
              <w:br/>
            </w:r>
            <w:r w:rsidRPr="00E66101">
              <w:t>ou solides</w:t>
            </w:r>
            <w:r w:rsidR="00F86F49">
              <w:t> </w:t>
            </w:r>
            <w:r w:rsidRPr="00E66101">
              <w:t xml:space="preserve">: amélioration de la prise en considération </w:t>
            </w:r>
            <w:r w:rsidR="009853DB">
              <w:br/>
            </w:r>
            <w:r w:rsidRPr="00E66101">
              <w:t xml:space="preserve">de la taille des particules, des matières friables </w:t>
            </w:r>
            <w:r w:rsidR="009853DB">
              <w:br/>
            </w:r>
            <w:r w:rsidRPr="00E66101">
              <w:t>ou des matières enrobées</w:t>
            </w:r>
          </w:p>
        </w:tc>
      </w:tr>
    </w:tbl>
    <w:p w14:paraId="2F309DAF" w14:textId="77777777" w:rsidR="00195014" w:rsidRPr="00E66101" w:rsidRDefault="00195014" w:rsidP="00165A03">
      <w:pPr>
        <w:pStyle w:val="H1G"/>
      </w:pPr>
      <w:r w:rsidRPr="00E66101">
        <w:lastRenderedPageBreak/>
        <w:tab/>
        <w:t>b)</w:t>
      </w:r>
      <w:r w:rsidRPr="00E66101">
        <w:tab/>
        <w:t>Révision du chapitre 2.1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5"/>
      </w:tblGrid>
      <w:tr w:rsidR="00195014" w:rsidRPr="00E66101" w14:paraId="58DA7327" w14:textId="77777777" w:rsidTr="00CA653F">
        <w:tc>
          <w:tcPr>
            <w:tcW w:w="2665" w:type="dxa"/>
          </w:tcPr>
          <w:p w14:paraId="771E1225" w14:textId="77777777" w:rsidR="00195014" w:rsidRPr="00E66101" w:rsidRDefault="00195014" w:rsidP="00E00D03">
            <w:pPr>
              <w:spacing w:after="120"/>
            </w:pPr>
            <w:r w:rsidRPr="00E00D03">
              <w:t>ST/SG/AC.10/C.4/2020/5, ST/SG/AC.10/C.4/2020/5/Add.1 et</w:t>
            </w:r>
            <w:r w:rsidR="00CA653F">
              <w:t xml:space="preserve"> </w:t>
            </w:r>
            <w:r w:rsidRPr="00E66101">
              <w:t>document informel INF.14 (Suède)</w:t>
            </w:r>
          </w:p>
        </w:tc>
        <w:tc>
          <w:tcPr>
            <w:tcW w:w="4706" w:type="dxa"/>
          </w:tcPr>
          <w:p w14:paraId="57AB11E5" w14:textId="77777777" w:rsidR="00195014" w:rsidRPr="00E66101" w:rsidRDefault="00195014" w:rsidP="00E00D03">
            <w:pPr>
              <w:spacing w:after="120"/>
            </w:pPr>
            <w:r w:rsidRPr="00E66101">
              <w:t>Nouveau chapitre 2.1 du SGH</w:t>
            </w:r>
          </w:p>
        </w:tc>
      </w:tr>
      <w:tr w:rsidR="00195014" w:rsidRPr="00E66101" w14:paraId="3FB89D28" w14:textId="77777777" w:rsidTr="00CA653F">
        <w:tc>
          <w:tcPr>
            <w:tcW w:w="2665" w:type="dxa"/>
          </w:tcPr>
          <w:p w14:paraId="4F808DC3" w14:textId="77777777" w:rsidR="00195014" w:rsidRPr="00C76350" w:rsidRDefault="00195014" w:rsidP="00E00D03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ST/SG/AC.10/C.4/2020/18 (Suède)</w:t>
            </w:r>
          </w:p>
        </w:tc>
        <w:tc>
          <w:tcPr>
            <w:tcW w:w="4706" w:type="dxa"/>
          </w:tcPr>
          <w:p w14:paraId="11CB4F94" w14:textId="77777777" w:rsidR="00195014" w:rsidRPr="00E66101" w:rsidRDefault="00195014" w:rsidP="00E00D03">
            <w:pPr>
              <w:spacing w:after="120"/>
            </w:pPr>
            <w:r w:rsidRPr="00E66101">
              <w:t>Diagrammes de décision dans le nouveau chapitre 2.1</w:t>
            </w:r>
          </w:p>
        </w:tc>
      </w:tr>
      <w:tr w:rsidR="00195014" w:rsidRPr="00E66101" w14:paraId="682BD8F0" w14:textId="77777777" w:rsidTr="00CA653F">
        <w:tc>
          <w:tcPr>
            <w:tcW w:w="2665" w:type="dxa"/>
          </w:tcPr>
          <w:p w14:paraId="2871F0CF" w14:textId="77777777" w:rsidR="00195014" w:rsidRPr="00E66101" w:rsidRDefault="00195014" w:rsidP="00E00D03">
            <w:pPr>
              <w:spacing w:after="120"/>
            </w:pPr>
          </w:p>
        </w:tc>
        <w:tc>
          <w:tcPr>
            <w:tcW w:w="4706" w:type="dxa"/>
          </w:tcPr>
          <w:p w14:paraId="362FF08B" w14:textId="77777777" w:rsidR="00195014" w:rsidRPr="00E66101" w:rsidRDefault="00195014" w:rsidP="00E00D03">
            <w:pPr>
              <w:spacing w:after="120"/>
            </w:pPr>
          </w:p>
        </w:tc>
      </w:tr>
      <w:tr w:rsidR="00195014" w:rsidRPr="00E66101" w14:paraId="002734C3" w14:textId="77777777" w:rsidTr="00CA653F">
        <w:tc>
          <w:tcPr>
            <w:tcW w:w="2665" w:type="dxa"/>
          </w:tcPr>
          <w:p w14:paraId="752E6439" w14:textId="77777777" w:rsidR="00195014" w:rsidRPr="00E66101" w:rsidRDefault="00195014" w:rsidP="00E00D03">
            <w:pPr>
              <w:spacing w:after="120"/>
            </w:pPr>
            <w:r w:rsidRPr="00E00D03">
              <w:t xml:space="preserve">ST/SG/AC.10/C.4/2020/8, </w:t>
            </w:r>
            <w:r w:rsidR="00E00D03" w:rsidRPr="00E00D03">
              <w:br/>
            </w:r>
            <w:r w:rsidRPr="00E00D03">
              <w:t>ST/SG/AC.10/C.4/2020/8/Add.1 et</w:t>
            </w:r>
            <w:r w:rsidR="00CA653F">
              <w:t xml:space="preserve"> </w:t>
            </w:r>
            <w:r w:rsidRPr="00E66101">
              <w:t>document informel INF.16 (Suède)</w:t>
            </w:r>
          </w:p>
        </w:tc>
        <w:tc>
          <w:tcPr>
            <w:tcW w:w="4706" w:type="dxa"/>
          </w:tcPr>
          <w:p w14:paraId="0FC7D446" w14:textId="77777777" w:rsidR="00195014" w:rsidRPr="00E66101" w:rsidRDefault="00195014" w:rsidP="00E00D03">
            <w:pPr>
              <w:spacing w:after="120"/>
            </w:pPr>
            <w:r w:rsidRPr="00E66101">
              <w:t xml:space="preserve">Attribution des conseils de prudence pour le nouveau chapitre 2.1 </w:t>
            </w:r>
          </w:p>
        </w:tc>
      </w:tr>
      <w:tr w:rsidR="00195014" w:rsidRPr="00E66101" w14:paraId="6CE5F22F" w14:textId="77777777" w:rsidTr="00CA653F">
        <w:tc>
          <w:tcPr>
            <w:tcW w:w="2665" w:type="dxa"/>
          </w:tcPr>
          <w:p w14:paraId="7B1FBA35" w14:textId="77777777" w:rsidR="00195014" w:rsidRPr="00C76350" w:rsidRDefault="00195014" w:rsidP="00E00D03">
            <w:pPr>
              <w:spacing w:after="120"/>
              <w:rPr>
                <w:lang w:val="en-US"/>
              </w:rPr>
            </w:pPr>
            <w:bookmarkStart w:id="1" w:name="_Hlk53045495"/>
            <w:r w:rsidRPr="00C76350">
              <w:rPr>
                <w:lang w:val="en-US"/>
              </w:rPr>
              <w:t xml:space="preserve">ST/SG/AC.10/C.4/2020/16 </w:t>
            </w:r>
            <w:bookmarkEnd w:id="1"/>
            <w:r w:rsidRPr="00C76350">
              <w:rPr>
                <w:lang w:val="en-US"/>
              </w:rPr>
              <w:t>(Suède)</w:t>
            </w:r>
          </w:p>
        </w:tc>
        <w:tc>
          <w:tcPr>
            <w:tcW w:w="4706" w:type="dxa"/>
          </w:tcPr>
          <w:p w14:paraId="0B378B41" w14:textId="77777777" w:rsidR="00195014" w:rsidRPr="00E66101" w:rsidRDefault="00195014" w:rsidP="00E00D03">
            <w:pPr>
              <w:spacing w:after="120"/>
            </w:pPr>
            <w:r w:rsidRPr="00E66101">
              <w:t>Modifications à apporter au Manuel d</w:t>
            </w:r>
            <w:r>
              <w:t>’</w:t>
            </w:r>
            <w:r w:rsidRPr="00E66101">
              <w:t xml:space="preserve">épreuves </w:t>
            </w:r>
            <w:r w:rsidR="0049220F">
              <w:br/>
            </w:r>
            <w:r w:rsidRPr="00E66101">
              <w:t>et de critères pour tenir compte du nouveau chapitre 2.1 du SGH</w:t>
            </w:r>
          </w:p>
        </w:tc>
      </w:tr>
      <w:tr w:rsidR="00195014" w:rsidRPr="00E66101" w14:paraId="6D906977" w14:textId="77777777" w:rsidTr="00CA653F">
        <w:tc>
          <w:tcPr>
            <w:tcW w:w="2665" w:type="dxa"/>
          </w:tcPr>
          <w:p w14:paraId="4C88F068" w14:textId="77777777" w:rsidR="00195014" w:rsidRPr="00E66101" w:rsidRDefault="00195014" w:rsidP="00E00D03">
            <w:pPr>
              <w:spacing w:after="120"/>
              <w:rPr>
                <w:b/>
                <w:bCs/>
                <w:i/>
                <w:iCs/>
              </w:rPr>
            </w:pPr>
            <w:r w:rsidRPr="00E66101">
              <w:rPr>
                <w:b/>
                <w:bCs/>
                <w:i/>
                <w:iCs/>
              </w:rPr>
              <w:t>Documents de référence</w:t>
            </w:r>
          </w:p>
        </w:tc>
        <w:tc>
          <w:tcPr>
            <w:tcW w:w="4706" w:type="dxa"/>
          </w:tcPr>
          <w:p w14:paraId="3C7B9F05" w14:textId="77777777" w:rsidR="00195014" w:rsidRPr="00E66101" w:rsidRDefault="00195014" w:rsidP="00E00D03">
            <w:pPr>
              <w:spacing w:after="120"/>
            </w:pPr>
          </w:p>
        </w:tc>
      </w:tr>
      <w:tr w:rsidR="00195014" w:rsidRPr="00E66101" w14:paraId="34D6BD6D" w14:textId="77777777" w:rsidTr="00CA653F">
        <w:tc>
          <w:tcPr>
            <w:tcW w:w="2665" w:type="dxa"/>
          </w:tcPr>
          <w:p w14:paraId="582AF496" w14:textId="77777777" w:rsidR="00195014" w:rsidRPr="00C76350" w:rsidRDefault="00195014" w:rsidP="00E00D03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ST/SG/AC.10/C.4/2020/7 (Suède)</w:t>
            </w:r>
          </w:p>
        </w:tc>
        <w:tc>
          <w:tcPr>
            <w:tcW w:w="4706" w:type="dxa"/>
          </w:tcPr>
          <w:p w14:paraId="02F6102A" w14:textId="77777777" w:rsidR="00195014" w:rsidRPr="00E66101" w:rsidRDefault="00195014" w:rsidP="00E00D03">
            <w:pPr>
              <w:spacing w:after="120"/>
            </w:pPr>
            <w:r w:rsidRPr="00E66101">
              <w:t>Modifications de principe à apporter au Manuel d</w:t>
            </w:r>
            <w:r>
              <w:t>’</w:t>
            </w:r>
            <w:r w:rsidRPr="00E66101">
              <w:t xml:space="preserve">épreuves et de critères pour tenir compte </w:t>
            </w:r>
            <w:r w:rsidR="009853DB">
              <w:br/>
            </w:r>
            <w:r w:rsidRPr="00E66101">
              <w:t>du nouveau chapitre 2.1 du SGH</w:t>
            </w:r>
          </w:p>
        </w:tc>
      </w:tr>
      <w:tr w:rsidR="00195014" w:rsidRPr="00C76350" w14:paraId="6E6C3EBA" w14:textId="77777777" w:rsidTr="00CA653F">
        <w:tc>
          <w:tcPr>
            <w:tcW w:w="2665" w:type="dxa"/>
          </w:tcPr>
          <w:p w14:paraId="2D2DD1D9" w14:textId="77777777" w:rsidR="00195014" w:rsidRPr="00E66101" w:rsidRDefault="00195014" w:rsidP="00E00D03">
            <w:pPr>
              <w:spacing w:after="120"/>
            </w:pPr>
            <w:r w:rsidRPr="00E66101">
              <w:t>Document informel INF.10 (IME, SAAMI)</w:t>
            </w:r>
          </w:p>
        </w:tc>
        <w:tc>
          <w:tcPr>
            <w:tcW w:w="4706" w:type="dxa"/>
          </w:tcPr>
          <w:p w14:paraId="51D834BE" w14:textId="77777777" w:rsidR="00195014" w:rsidRPr="00C76350" w:rsidRDefault="00195014" w:rsidP="00E00D03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GHS Chapter 2.1: Revised exclusion and exemption criteria for explosive - containing articles not assigned to Class 1</w:t>
            </w:r>
          </w:p>
        </w:tc>
      </w:tr>
      <w:tr w:rsidR="00195014" w:rsidRPr="00C76350" w14:paraId="779DBB13" w14:textId="77777777" w:rsidTr="00CA653F">
        <w:tc>
          <w:tcPr>
            <w:tcW w:w="2665" w:type="dxa"/>
          </w:tcPr>
          <w:p w14:paraId="49AF6061" w14:textId="77777777" w:rsidR="00195014" w:rsidRPr="00E66101" w:rsidRDefault="00195014" w:rsidP="00E00D03">
            <w:pPr>
              <w:spacing w:after="120"/>
            </w:pPr>
            <w:r w:rsidRPr="00E66101">
              <w:t>Document informel INF.13 (Suède)</w:t>
            </w:r>
          </w:p>
        </w:tc>
        <w:tc>
          <w:tcPr>
            <w:tcW w:w="4706" w:type="dxa"/>
          </w:tcPr>
          <w:p w14:paraId="681137FC" w14:textId="77777777" w:rsidR="00195014" w:rsidRPr="00C76350" w:rsidRDefault="00195014" w:rsidP="00E00D03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 xml:space="preserve">Status report (3 July 2020) on the review of GHS Chapter 2.1 </w:t>
            </w:r>
            <w:r w:rsidR="00E00D03">
              <w:rPr>
                <w:lang w:val="en-US"/>
              </w:rPr>
              <w:t>−</w:t>
            </w:r>
            <w:r w:rsidRPr="00C76350">
              <w:rPr>
                <w:lang w:val="en-US"/>
              </w:rPr>
              <w:t xml:space="preserve"> update on the open issues</w:t>
            </w:r>
          </w:p>
        </w:tc>
      </w:tr>
    </w:tbl>
    <w:p w14:paraId="791EC3C1" w14:textId="77777777" w:rsidR="00195014" w:rsidRPr="00E66101" w:rsidRDefault="00195014" w:rsidP="00165A03">
      <w:pPr>
        <w:pStyle w:val="H1G"/>
      </w:pPr>
      <w:r w:rsidRPr="00C76350">
        <w:rPr>
          <w:lang w:val="en-US"/>
        </w:rPr>
        <w:tab/>
      </w:r>
      <w:r w:rsidRPr="00E66101">
        <w:t>c)</w:t>
      </w:r>
      <w:r w:rsidRPr="00E66101">
        <w:tab/>
        <w:t xml:space="preserve">Clarification du paragraphe 2.9.3.4.3.4 du Règlement type </w:t>
      </w:r>
      <w:r w:rsidR="0049220F">
        <w:br/>
      </w:r>
      <w:r w:rsidRPr="00E66101">
        <w:t>et du paragraphe 4.1.3.3.4 du SGH</w:t>
      </w:r>
      <w:bookmarkStart w:id="2" w:name="_Hlk38294103"/>
      <w:bookmarkStart w:id="3" w:name="_Hlk38287150"/>
      <w:bookmarkEnd w:id="2"/>
      <w:bookmarkEnd w:id="3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5"/>
      </w:tblGrid>
      <w:tr w:rsidR="00195014" w:rsidRPr="00E66101" w14:paraId="215C5A21" w14:textId="77777777" w:rsidTr="00CA653F">
        <w:tc>
          <w:tcPr>
            <w:tcW w:w="2665" w:type="dxa"/>
          </w:tcPr>
          <w:p w14:paraId="2C48CD0F" w14:textId="77777777" w:rsidR="00195014" w:rsidRPr="00C76350" w:rsidRDefault="00195014" w:rsidP="00E00D03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 xml:space="preserve">ST/SG/AC.10/C.4/2020/10 (Chine) </w:t>
            </w:r>
          </w:p>
        </w:tc>
        <w:tc>
          <w:tcPr>
            <w:tcW w:w="4706" w:type="dxa"/>
          </w:tcPr>
          <w:p w14:paraId="7FEF7B5B" w14:textId="77777777" w:rsidR="00195014" w:rsidRPr="00E66101" w:rsidRDefault="00195014" w:rsidP="00E00D03">
            <w:pPr>
              <w:spacing w:after="120"/>
            </w:pPr>
            <w:r w:rsidRPr="00E66101">
              <w:t xml:space="preserve">Précisions concernant le 2.9.3.4.3.4 du Règlement type </w:t>
            </w:r>
            <w:r w:rsidR="00CA653F">
              <w:br/>
            </w:r>
            <w:r w:rsidRPr="00E66101">
              <w:t>et le 4.1.3.3.4 du SGH</w:t>
            </w:r>
          </w:p>
        </w:tc>
      </w:tr>
    </w:tbl>
    <w:p w14:paraId="6EFA786E" w14:textId="77777777" w:rsidR="00195014" w:rsidRPr="00E66101" w:rsidRDefault="00195014" w:rsidP="00165A03">
      <w:pPr>
        <w:pStyle w:val="H1G"/>
      </w:pPr>
      <w:r w:rsidRPr="00E66101">
        <w:tab/>
        <w:t>d)</w:t>
      </w:r>
      <w:r w:rsidRPr="00E66101">
        <w:tab/>
        <w:t xml:space="preserve">Classification simultanée dans les classes de danger physique </w:t>
      </w:r>
      <w:r w:rsidR="009853DB">
        <w:br/>
      </w:r>
      <w:r w:rsidRPr="00E66101">
        <w:t>et ordre de prépondérance des dangers</w:t>
      </w:r>
      <w:bookmarkStart w:id="4" w:name="_Hlk38287170"/>
      <w:bookmarkEnd w:id="4"/>
    </w:p>
    <w:p w14:paraId="19EB0900" w14:textId="77777777" w:rsidR="00195014" w:rsidRPr="00E66101" w:rsidRDefault="00195014" w:rsidP="00E00D03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68C51459" w14:textId="77777777" w:rsidR="00195014" w:rsidRPr="00E66101" w:rsidRDefault="00195014" w:rsidP="00165A03">
      <w:pPr>
        <w:pStyle w:val="H1G"/>
      </w:pPr>
      <w:r w:rsidRPr="00E66101">
        <w:tab/>
        <w:t>e)</w:t>
      </w:r>
      <w:r w:rsidRPr="00E66101">
        <w:tab/>
        <w:t>Utilisation de méthodes d</w:t>
      </w:r>
      <w:r>
        <w:t>’</w:t>
      </w:r>
      <w:r w:rsidRPr="00E66101">
        <w:t xml:space="preserve">expérimentation non animales </w:t>
      </w:r>
      <w:r w:rsidR="0049220F">
        <w:br/>
      </w:r>
      <w:r w:rsidRPr="00E66101">
        <w:t>pour le classement des dangers pour la santé</w:t>
      </w:r>
      <w:bookmarkStart w:id="5" w:name="_Hlk38287182"/>
      <w:bookmarkEnd w:id="5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5"/>
      </w:tblGrid>
      <w:tr w:rsidR="00195014" w:rsidRPr="00C76350" w14:paraId="1397F17D" w14:textId="77777777" w:rsidTr="0049220F">
        <w:tc>
          <w:tcPr>
            <w:tcW w:w="2665" w:type="dxa"/>
          </w:tcPr>
          <w:p w14:paraId="6BAA81E1" w14:textId="77777777" w:rsidR="00195014" w:rsidRPr="00E66101" w:rsidRDefault="00195014" w:rsidP="00E00D03">
            <w:pPr>
              <w:spacing w:after="120"/>
            </w:pPr>
            <w:r w:rsidRPr="00E66101">
              <w:t xml:space="preserve">Document informel INF.12 </w:t>
            </w:r>
            <w:r w:rsidR="00E00D03">
              <w:br/>
            </w:r>
            <w:r w:rsidRPr="00E66101">
              <w:t xml:space="preserve">(Royaume-Uni, Pays-Bas) </w:t>
            </w:r>
          </w:p>
        </w:tc>
        <w:tc>
          <w:tcPr>
            <w:tcW w:w="4706" w:type="dxa"/>
          </w:tcPr>
          <w:p w14:paraId="074595FE" w14:textId="77777777" w:rsidR="00195014" w:rsidRPr="00C76350" w:rsidRDefault="00195014" w:rsidP="00E00D03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Use of non-animal testing methods for classification of health hazards: Status report (3 July 2020)</w:t>
            </w:r>
          </w:p>
        </w:tc>
      </w:tr>
    </w:tbl>
    <w:p w14:paraId="47181570" w14:textId="77777777" w:rsidR="00195014" w:rsidRPr="00E66101" w:rsidRDefault="00195014" w:rsidP="00165A03">
      <w:pPr>
        <w:pStyle w:val="H1G"/>
      </w:pPr>
      <w:r w:rsidRPr="00C76350">
        <w:rPr>
          <w:lang w:val="en-US"/>
        </w:rPr>
        <w:tab/>
      </w:r>
      <w:r w:rsidRPr="00E66101">
        <w:t>f)</w:t>
      </w:r>
      <w:r w:rsidRPr="00E66101">
        <w:tab/>
        <w:t>Questions pratiques de classement</w:t>
      </w:r>
      <w:bookmarkStart w:id="6" w:name="_Hlk38287203"/>
      <w:bookmarkEnd w:id="6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5"/>
      </w:tblGrid>
      <w:tr w:rsidR="00195014" w:rsidRPr="00E66101" w14:paraId="1B2E542F" w14:textId="77777777" w:rsidTr="0049220F">
        <w:tc>
          <w:tcPr>
            <w:tcW w:w="2665" w:type="dxa"/>
          </w:tcPr>
          <w:p w14:paraId="01FB390A" w14:textId="77777777" w:rsidR="00195014" w:rsidRPr="00E66101" w:rsidRDefault="00195014" w:rsidP="00E00D03">
            <w:pPr>
              <w:spacing w:after="120"/>
            </w:pPr>
            <w:r w:rsidRPr="00E66101">
              <w:t xml:space="preserve">ST/SG/AC.10/C.4/2020/14 </w:t>
            </w:r>
            <w:r w:rsidR="00E00D03">
              <w:br/>
            </w:r>
            <w:r w:rsidRPr="00E66101">
              <w:t>(États-Unis d</w:t>
            </w:r>
            <w:r>
              <w:t>’</w:t>
            </w:r>
            <w:r w:rsidRPr="00E66101">
              <w:t xml:space="preserve">Amérique) </w:t>
            </w:r>
          </w:p>
        </w:tc>
        <w:tc>
          <w:tcPr>
            <w:tcW w:w="4706" w:type="dxa"/>
          </w:tcPr>
          <w:p w14:paraId="1DC7F5D3" w14:textId="77777777" w:rsidR="00195014" w:rsidRPr="00E66101" w:rsidRDefault="00195014" w:rsidP="00E00D03">
            <w:pPr>
              <w:spacing w:after="120"/>
            </w:pPr>
            <w:r w:rsidRPr="00E66101">
              <w:t xml:space="preserve">Proposition tendant à régler des questions inscrites </w:t>
            </w:r>
            <w:r w:rsidR="0049220F">
              <w:br/>
            </w:r>
            <w:r w:rsidRPr="00E66101">
              <w:t xml:space="preserve">au programme de travail du groupe de travail </w:t>
            </w:r>
            <w:r w:rsidR="0049220F">
              <w:br/>
            </w:r>
            <w:r w:rsidRPr="00E66101">
              <w:t xml:space="preserve">par correspondance chargé des questions </w:t>
            </w:r>
            <w:r w:rsidR="009853DB">
              <w:br/>
            </w:r>
            <w:r w:rsidRPr="00E66101">
              <w:t>pratiques de classification</w:t>
            </w:r>
          </w:p>
        </w:tc>
      </w:tr>
    </w:tbl>
    <w:p w14:paraId="5B603FDA" w14:textId="77777777" w:rsidR="00195014" w:rsidRPr="00E66101" w:rsidRDefault="00195014" w:rsidP="00165A03">
      <w:pPr>
        <w:pStyle w:val="H1G"/>
      </w:pPr>
      <w:r w:rsidRPr="00E66101">
        <w:lastRenderedPageBreak/>
        <w:tab/>
        <w:t>g)</w:t>
      </w:r>
      <w:r w:rsidRPr="00E66101">
        <w:tab/>
        <w:t>Danger par aspiration</w:t>
      </w:r>
      <w:bookmarkStart w:id="7" w:name="_Hlk38287219"/>
      <w:bookmarkEnd w:id="7"/>
    </w:p>
    <w:p w14:paraId="167E718E" w14:textId="77777777" w:rsidR="00195014" w:rsidRPr="00E66101" w:rsidRDefault="00195014" w:rsidP="00CA653F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0BD70285" w14:textId="77777777" w:rsidR="00195014" w:rsidRPr="00E66101" w:rsidRDefault="00195014" w:rsidP="00165A03">
      <w:pPr>
        <w:pStyle w:val="H1G"/>
      </w:pPr>
      <w:r w:rsidRPr="00E66101">
        <w:tab/>
        <w:t>h)</w:t>
      </w:r>
      <w:r w:rsidRPr="00E66101">
        <w:tab/>
        <w:t>Nanomatériaux</w:t>
      </w:r>
      <w:bookmarkStart w:id="8" w:name="_Hlk38287234"/>
      <w:bookmarkStart w:id="9" w:name="_Hlk38294231"/>
      <w:bookmarkEnd w:id="8"/>
    </w:p>
    <w:p w14:paraId="5288690E" w14:textId="77777777" w:rsidR="00195014" w:rsidRPr="00E66101" w:rsidRDefault="00195014" w:rsidP="00CA653F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56331587" w14:textId="77777777" w:rsidR="00195014" w:rsidRPr="00E66101" w:rsidRDefault="00195014" w:rsidP="00165A03">
      <w:pPr>
        <w:pStyle w:val="H1G"/>
      </w:pPr>
      <w:r w:rsidRPr="00E66101">
        <w:tab/>
        <w:t>i)</w:t>
      </w:r>
      <w:r w:rsidRPr="00E66101">
        <w:tab/>
        <w:t>Autres questions</w:t>
      </w:r>
    </w:p>
    <w:p w14:paraId="00CDB4E9" w14:textId="77777777" w:rsidR="00195014" w:rsidRPr="00E66101" w:rsidRDefault="00195014" w:rsidP="00CA653F">
      <w:pPr>
        <w:pStyle w:val="H23G"/>
      </w:pPr>
      <w:r w:rsidRPr="00E66101">
        <w:tab/>
      </w:r>
      <w:r w:rsidRPr="00E66101">
        <w:tab/>
        <w:t>Définitions et utilisation de sigles, acronymes et abréviations dans le SGH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4570"/>
      </w:tblGrid>
      <w:tr w:rsidR="00195014" w:rsidRPr="00E66101" w14:paraId="66B051EA" w14:textId="77777777" w:rsidTr="0049220F">
        <w:tc>
          <w:tcPr>
            <w:tcW w:w="2800" w:type="dxa"/>
          </w:tcPr>
          <w:p w14:paraId="6EA21274" w14:textId="77777777" w:rsidR="00195014" w:rsidRPr="00E66101" w:rsidRDefault="00195014" w:rsidP="00CA653F">
            <w:pPr>
              <w:spacing w:after="120"/>
              <w:rPr>
                <w:sz w:val="18"/>
              </w:rPr>
            </w:pPr>
            <w:r w:rsidRPr="00E66101">
              <w:t>ST/SG/AC.10/C.4/2020/2 (Secrétariat)</w:t>
            </w:r>
          </w:p>
        </w:tc>
        <w:tc>
          <w:tcPr>
            <w:tcW w:w="4570" w:type="dxa"/>
          </w:tcPr>
          <w:p w14:paraId="5AAAD4BE" w14:textId="77777777" w:rsidR="00195014" w:rsidRPr="00E66101" w:rsidRDefault="00195014" w:rsidP="00CA653F">
            <w:pPr>
              <w:spacing w:after="120"/>
              <w:rPr>
                <w:sz w:val="18"/>
              </w:rPr>
            </w:pPr>
            <w:r w:rsidRPr="00E66101">
              <w:t xml:space="preserve">Définitions et utilisation de sigles, acronymes </w:t>
            </w:r>
            <w:r w:rsidR="0049220F">
              <w:br/>
            </w:r>
            <w:r w:rsidRPr="00E66101">
              <w:t>et abréviations dans le SGH</w:t>
            </w:r>
          </w:p>
        </w:tc>
      </w:tr>
      <w:tr w:rsidR="00195014" w:rsidRPr="00E66101" w14:paraId="35F5E889" w14:textId="77777777" w:rsidTr="0049220F">
        <w:tc>
          <w:tcPr>
            <w:tcW w:w="2800" w:type="dxa"/>
          </w:tcPr>
          <w:p w14:paraId="1543767F" w14:textId="77777777" w:rsidR="00195014" w:rsidRPr="00E66101" w:rsidRDefault="00195014" w:rsidP="00CA653F">
            <w:pPr>
              <w:spacing w:after="120"/>
              <w:rPr>
                <w:sz w:val="18"/>
              </w:rPr>
            </w:pPr>
            <w:r w:rsidRPr="00E66101">
              <w:t xml:space="preserve">ST/SG/AC.10/C.4/2020/11 et </w:t>
            </w:r>
            <w:r w:rsidR="00CA653F">
              <w:br/>
            </w:r>
            <w:r w:rsidRPr="00E66101">
              <w:t>ST/SG/AC.10/C.4/2020/11/Add.1 (Allemagne)</w:t>
            </w:r>
          </w:p>
        </w:tc>
        <w:tc>
          <w:tcPr>
            <w:tcW w:w="4570" w:type="dxa"/>
          </w:tcPr>
          <w:p w14:paraId="58259C9C" w14:textId="77777777" w:rsidR="00195014" w:rsidRPr="00E66101" w:rsidRDefault="00195014" w:rsidP="00CA653F">
            <w:pPr>
              <w:spacing w:after="120"/>
              <w:rPr>
                <w:sz w:val="18"/>
              </w:rPr>
            </w:pPr>
            <w:r w:rsidRPr="00E66101">
              <w:t>Suppression des définitions des classes de danger physique dans le chapitre 1.2 du SGH</w:t>
            </w:r>
          </w:p>
        </w:tc>
      </w:tr>
    </w:tbl>
    <w:p w14:paraId="35E69DC5" w14:textId="77777777" w:rsidR="00195014" w:rsidRPr="00E66101" w:rsidRDefault="00195014" w:rsidP="00CA653F">
      <w:pPr>
        <w:pStyle w:val="H23G"/>
      </w:pPr>
      <w:r w:rsidRPr="00E66101">
        <w:tab/>
      </w:r>
      <w:r w:rsidRPr="00E66101">
        <w:tab/>
        <w:t>Révision des diagrammes de décision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4570"/>
      </w:tblGrid>
      <w:tr w:rsidR="00195014" w:rsidRPr="00E66101" w14:paraId="2AAAEBB0" w14:textId="77777777" w:rsidTr="0049220F">
        <w:tc>
          <w:tcPr>
            <w:tcW w:w="2800" w:type="dxa"/>
          </w:tcPr>
          <w:p w14:paraId="6B3F6BC6" w14:textId="77777777" w:rsidR="00195014" w:rsidRPr="00E66101" w:rsidRDefault="00195014" w:rsidP="00CA653F">
            <w:pPr>
              <w:spacing w:after="120"/>
            </w:pPr>
            <w:r w:rsidRPr="00E66101">
              <w:t>ST/SG/AC.10/C.4/2020/3 et ST/SG/AC.10/C.4/2020/3/Add/1 (secrétariat)</w:t>
            </w:r>
          </w:p>
        </w:tc>
        <w:tc>
          <w:tcPr>
            <w:tcW w:w="4570" w:type="dxa"/>
          </w:tcPr>
          <w:p w14:paraId="7B1689A1" w14:textId="77777777" w:rsidR="00195014" w:rsidRPr="00E66101" w:rsidRDefault="00195014" w:rsidP="00CA653F">
            <w:pPr>
              <w:spacing w:after="120"/>
            </w:pPr>
            <w:r w:rsidRPr="00E66101">
              <w:t>Révision des diagrammes de décision</w:t>
            </w:r>
          </w:p>
        </w:tc>
      </w:tr>
      <w:tr w:rsidR="00195014" w:rsidRPr="00E66101" w14:paraId="41F87A52" w14:textId="77777777" w:rsidTr="0049220F">
        <w:trPr>
          <w:trHeight w:val="308"/>
        </w:trPr>
        <w:tc>
          <w:tcPr>
            <w:tcW w:w="2800" w:type="dxa"/>
          </w:tcPr>
          <w:p w14:paraId="7A207EB3" w14:textId="77777777" w:rsidR="00195014" w:rsidRPr="00E66101" w:rsidRDefault="00195014" w:rsidP="00CA653F">
            <w:pPr>
              <w:spacing w:after="120"/>
              <w:rPr>
                <w:b/>
                <w:bCs/>
                <w:i/>
                <w:iCs/>
              </w:rPr>
            </w:pPr>
            <w:r w:rsidRPr="00E66101">
              <w:rPr>
                <w:b/>
                <w:bCs/>
                <w:i/>
                <w:iCs/>
              </w:rPr>
              <w:t>Documents de référence</w:t>
            </w:r>
          </w:p>
        </w:tc>
        <w:tc>
          <w:tcPr>
            <w:tcW w:w="4570" w:type="dxa"/>
          </w:tcPr>
          <w:p w14:paraId="4BA988F8" w14:textId="77777777" w:rsidR="00195014" w:rsidRPr="00E66101" w:rsidRDefault="00195014" w:rsidP="00CA653F">
            <w:pPr>
              <w:spacing w:after="120"/>
            </w:pPr>
          </w:p>
        </w:tc>
      </w:tr>
      <w:tr w:rsidR="00195014" w:rsidRPr="00C76350" w14:paraId="57933646" w14:textId="77777777" w:rsidTr="0049220F">
        <w:trPr>
          <w:trHeight w:val="308"/>
        </w:trPr>
        <w:tc>
          <w:tcPr>
            <w:tcW w:w="2800" w:type="dxa"/>
          </w:tcPr>
          <w:p w14:paraId="747968AA" w14:textId="77777777" w:rsidR="00195014" w:rsidRPr="00E66101" w:rsidRDefault="00195014" w:rsidP="00CA653F">
            <w:pPr>
              <w:spacing w:after="120"/>
              <w:rPr>
                <w:b/>
                <w:bCs/>
                <w:i/>
                <w:iCs/>
              </w:rPr>
            </w:pPr>
            <w:r w:rsidRPr="00E66101">
              <w:t>Document informel INF.5 (secrétariat)</w:t>
            </w:r>
          </w:p>
        </w:tc>
        <w:tc>
          <w:tcPr>
            <w:tcW w:w="4570" w:type="dxa"/>
          </w:tcPr>
          <w:p w14:paraId="70B12988" w14:textId="77777777" w:rsidR="00195014" w:rsidRPr="00C76350" w:rsidRDefault="00195014" w:rsidP="00CA653F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Corrections to the decision logics in ST/SG/AC.10/C.4/2020/3 (French version)</w:t>
            </w:r>
          </w:p>
        </w:tc>
      </w:tr>
      <w:tr w:rsidR="00195014" w:rsidRPr="00C76350" w14:paraId="3D159A56" w14:textId="77777777" w:rsidTr="0049220F">
        <w:trPr>
          <w:trHeight w:val="308"/>
        </w:trPr>
        <w:tc>
          <w:tcPr>
            <w:tcW w:w="2800" w:type="dxa"/>
          </w:tcPr>
          <w:p w14:paraId="4595FC9D" w14:textId="77777777" w:rsidR="00195014" w:rsidRPr="00E66101" w:rsidRDefault="00195014" w:rsidP="00CA653F">
            <w:pPr>
              <w:spacing w:after="120"/>
            </w:pPr>
            <w:r w:rsidRPr="00E66101">
              <w:t>Document informel INF.6 (Allemagne)</w:t>
            </w:r>
          </w:p>
        </w:tc>
        <w:tc>
          <w:tcPr>
            <w:tcW w:w="4570" w:type="dxa"/>
          </w:tcPr>
          <w:p w14:paraId="2608DD11" w14:textId="77777777" w:rsidR="00195014" w:rsidRPr="00C76350" w:rsidRDefault="00195014" w:rsidP="00CA653F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Comments on ST/SG/AC.10/C.4/2020/3</w:t>
            </w:r>
          </w:p>
        </w:tc>
      </w:tr>
      <w:tr w:rsidR="00195014" w:rsidRPr="00E66101" w14:paraId="5A5A4EB7" w14:textId="77777777" w:rsidTr="0049220F">
        <w:trPr>
          <w:trHeight w:val="308"/>
        </w:trPr>
        <w:tc>
          <w:tcPr>
            <w:tcW w:w="2800" w:type="dxa"/>
          </w:tcPr>
          <w:p w14:paraId="00CEA1D3" w14:textId="77777777" w:rsidR="00195014" w:rsidRPr="00E66101" w:rsidRDefault="00195014" w:rsidP="00CA653F">
            <w:pPr>
              <w:spacing w:after="120"/>
            </w:pPr>
            <w:r w:rsidRPr="00E66101">
              <w:t>Document informel INF.8 (secrétariat)</w:t>
            </w:r>
          </w:p>
        </w:tc>
        <w:tc>
          <w:tcPr>
            <w:tcW w:w="4570" w:type="dxa"/>
          </w:tcPr>
          <w:p w14:paraId="1222C132" w14:textId="77777777" w:rsidR="00195014" w:rsidRPr="00E66101" w:rsidRDefault="00195014" w:rsidP="00CA653F">
            <w:pPr>
              <w:spacing w:after="120"/>
            </w:pPr>
            <w:r w:rsidRPr="00E66101">
              <w:t>Comments on informal document INF.6</w:t>
            </w:r>
          </w:p>
        </w:tc>
      </w:tr>
    </w:tbl>
    <w:p w14:paraId="558AA69F" w14:textId="77777777" w:rsidR="00195014" w:rsidRPr="00E66101" w:rsidRDefault="00195014" w:rsidP="00CA653F">
      <w:pPr>
        <w:pStyle w:val="H23G"/>
      </w:pPr>
      <w:r w:rsidRPr="00E66101">
        <w:tab/>
      </w:r>
      <w:r w:rsidRPr="00E66101">
        <w:tab/>
        <w:t>Étiquetage pour le milieu de travail</w:t>
      </w:r>
      <w:r w:rsidR="00CA653F">
        <w:t> </w:t>
      </w:r>
      <w:r w:rsidRPr="00E66101">
        <w:t>: éclaircissements à apporter au 1.4.10.5.5.1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4571"/>
      </w:tblGrid>
      <w:tr w:rsidR="00195014" w:rsidRPr="00E66101" w14:paraId="3838A207" w14:textId="77777777" w:rsidTr="0049220F">
        <w:tc>
          <w:tcPr>
            <w:tcW w:w="2800" w:type="dxa"/>
          </w:tcPr>
          <w:p w14:paraId="432705B7" w14:textId="77777777" w:rsidR="00195014" w:rsidRPr="00E66101" w:rsidRDefault="00195014" w:rsidP="00CA653F">
            <w:pPr>
              <w:spacing w:after="120"/>
            </w:pPr>
            <w:r w:rsidRPr="00E66101">
              <w:t xml:space="preserve">ST/SG/AC.10/C.4/2020/6 et </w:t>
            </w:r>
            <w:r w:rsidR="00CA653F">
              <w:br/>
            </w:r>
            <w:r w:rsidRPr="00E66101">
              <w:t>ST/SG/AC.10/C.4/2020/6/Add.1 (secrétariat)</w:t>
            </w:r>
          </w:p>
        </w:tc>
        <w:tc>
          <w:tcPr>
            <w:tcW w:w="4571" w:type="dxa"/>
          </w:tcPr>
          <w:p w14:paraId="4B132328" w14:textId="77777777" w:rsidR="00195014" w:rsidRPr="00E66101" w:rsidRDefault="00195014" w:rsidP="00CA653F">
            <w:pPr>
              <w:spacing w:after="120"/>
            </w:pPr>
            <w:r w:rsidRPr="00E66101">
              <w:t>Étiquetage pour le milieu de travail</w:t>
            </w:r>
            <w:r w:rsidR="00CA653F">
              <w:t> </w:t>
            </w:r>
            <w:r w:rsidRPr="00E66101">
              <w:t xml:space="preserve">: éclaircissements </w:t>
            </w:r>
            <w:r w:rsidR="0049220F">
              <w:br/>
            </w:r>
            <w:r w:rsidRPr="00E66101">
              <w:t>à apporter au 1.4.10.5.5.1</w:t>
            </w:r>
          </w:p>
        </w:tc>
      </w:tr>
    </w:tbl>
    <w:p w14:paraId="6FACC0FB" w14:textId="77777777" w:rsidR="00195014" w:rsidRPr="00E66101" w:rsidRDefault="00195014" w:rsidP="00CA653F">
      <w:pPr>
        <w:pStyle w:val="H23G"/>
      </w:pPr>
      <w:r w:rsidRPr="00E66101">
        <w:tab/>
      </w:r>
      <w:r w:rsidRPr="00E66101">
        <w:tab/>
        <w:t xml:space="preserve">Précision concernant les critères de classification de la mutagénicité </w:t>
      </w:r>
      <w:r w:rsidR="0049220F">
        <w:br/>
      </w:r>
      <w:r w:rsidRPr="00E66101">
        <w:t>sur les cellules germinales dans la catégorie 1B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4570"/>
      </w:tblGrid>
      <w:tr w:rsidR="00195014" w:rsidRPr="00E66101" w14:paraId="3E07CEE1" w14:textId="77777777" w:rsidTr="0049220F">
        <w:tc>
          <w:tcPr>
            <w:tcW w:w="2800" w:type="dxa"/>
          </w:tcPr>
          <w:p w14:paraId="5174403D" w14:textId="77777777" w:rsidR="00195014" w:rsidRPr="00E66101" w:rsidRDefault="00195014" w:rsidP="00CA653F">
            <w:pPr>
              <w:spacing w:after="120"/>
            </w:pPr>
            <w:r w:rsidRPr="00E66101">
              <w:t xml:space="preserve">ST/SG/AC.10/C.4/2020/13 et </w:t>
            </w:r>
            <w:r w:rsidR="00CA653F">
              <w:br/>
            </w:r>
            <w:r w:rsidRPr="00E66101">
              <w:t xml:space="preserve">ST/SG/AC.10/C.4/2020/13/Add.1 </w:t>
            </w:r>
            <w:r w:rsidR="00CA653F">
              <w:br/>
            </w:r>
            <w:r w:rsidRPr="00E66101">
              <w:t>(Union européenne)</w:t>
            </w:r>
          </w:p>
        </w:tc>
        <w:tc>
          <w:tcPr>
            <w:tcW w:w="4570" w:type="dxa"/>
          </w:tcPr>
          <w:p w14:paraId="73D14317" w14:textId="77777777" w:rsidR="00195014" w:rsidRPr="00E66101" w:rsidRDefault="00195014" w:rsidP="00CA653F">
            <w:pPr>
              <w:spacing w:after="120"/>
            </w:pPr>
            <w:r w:rsidRPr="00E66101">
              <w:t xml:space="preserve">Précision concernant les critères de classification </w:t>
            </w:r>
            <w:r w:rsidR="0049220F">
              <w:br/>
            </w:r>
            <w:r w:rsidRPr="00E66101">
              <w:t xml:space="preserve">de la mutagénicité sur les cellules germinales </w:t>
            </w:r>
            <w:r w:rsidR="0049220F">
              <w:br/>
            </w:r>
            <w:r w:rsidRPr="00E66101">
              <w:t>dans la catégorie 1B</w:t>
            </w:r>
          </w:p>
        </w:tc>
      </w:tr>
      <w:tr w:rsidR="00195014" w:rsidRPr="00E66101" w14:paraId="3D5FF592" w14:textId="77777777" w:rsidTr="0049220F">
        <w:tc>
          <w:tcPr>
            <w:tcW w:w="2800" w:type="dxa"/>
          </w:tcPr>
          <w:p w14:paraId="4C985B97" w14:textId="77777777" w:rsidR="00195014" w:rsidRPr="00E66101" w:rsidRDefault="00195014" w:rsidP="00CA653F">
            <w:pPr>
              <w:spacing w:after="120"/>
              <w:rPr>
                <w:b/>
                <w:bCs/>
                <w:i/>
                <w:iCs/>
              </w:rPr>
            </w:pPr>
            <w:r w:rsidRPr="00E66101">
              <w:rPr>
                <w:b/>
                <w:bCs/>
                <w:i/>
                <w:iCs/>
              </w:rPr>
              <w:t>Document de référence</w:t>
            </w:r>
          </w:p>
        </w:tc>
        <w:tc>
          <w:tcPr>
            <w:tcW w:w="4570" w:type="dxa"/>
          </w:tcPr>
          <w:p w14:paraId="0BFE7F22" w14:textId="77777777" w:rsidR="00195014" w:rsidRPr="00E66101" w:rsidRDefault="00195014" w:rsidP="00CA653F">
            <w:pPr>
              <w:spacing w:after="120"/>
            </w:pPr>
          </w:p>
        </w:tc>
      </w:tr>
      <w:tr w:rsidR="00195014" w:rsidRPr="00C76350" w14:paraId="6D32B7FD" w14:textId="77777777" w:rsidTr="0049220F">
        <w:tc>
          <w:tcPr>
            <w:tcW w:w="2800" w:type="dxa"/>
          </w:tcPr>
          <w:p w14:paraId="255CC10D" w14:textId="77777777" w:rsidR="00195014" w:rsidRPr="00E66101" w:rsidRDefault="00195014" w:rsidP="00CA653F">
            <w:pPr>
              <w:spacing w:after="120"/>
            </w:pPr>
            <w:r w:rsidRPr="00E66101">
              <w:t>Document informel INF.13 (Allemagne)</w:t>
            </w:r>
          </w:p>
        </w:tc>
        <w:tc>
          <w:tcPr>
            <w:tcW w:w="4570" w:type="dxa"/>
          </w:tcPr>
          <w:p w14:paraId="7266CF7C" w14:textId="77777777" w:rsidR="00195014" w:rsidRPr="00C76350" w:rsidRDefault="00195014" w:rsidP="00CA653F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Comments on ST/SG/AC.10/C.4/2020/13</w:t>
            </w:r>
          </w:p>
        </w:tc>
      </w:tr>
    </w:tbl>
    <w:p w14:paraId="4DC94D23" w14:textId="77777777" w:rsidR="00195014" w:rsidRPr="00E66101" w:rsidRDefault="00195014" w:rsidP="00165A03">
      <w:pPr>
        <w:pStyle w:val="H1G"/>
      </w:pPr>
      <w:r w:rsidRPr="00C76350">
        <w:rPr>
          <w:lang w:val="en-US"/>
        </w:rPr>
        <w:tab/>
      </w:r>
      <w:r w:rsidRPr="00E66101">
        <w:t>j)</w:t>
      </w:r>
      <w:r w:rsidRPr="00E66101">
        <w:tab/>
        <w:t>Nouvelles propositions</w:t>
      </w:r>
    </w:p>
    <w:p w14:paraId="3EA104AB" w14:textId="77777777" w:rsidR="00195014" w:rsidRPr="00E66101" w:rsidRDefault="00195014" w:rsidP="00CA653F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bookmarkEnd w:id="9"/>
    <w:p w14:paraId="423CDC81" w14:textId="77777777" w:rsidR="00195014" w:rsidRPr="00E66101" w:rsidRDefault="00195014" w:rsidP="00165A03">
      <w:pPr>
        <w:pStyle w:val="HChG"/>
      </w:pPr>
      <w:r w:rsidRPr="00E66101">
        <w:lastRenderedPageBreak/>
        <w:tab/>
        <w:t>4.</w:t>
      </w:r>
      <w:r w:rsidRPr="00E66101">
        <w:tab/>
        <w:t>Questions relatives à la communication des dangers</w:t>
      </w:r>
    </w:p>
    <w:p w14:paraId="33E4062C" w14:textId="77777777" w:rsidR="00195014" w:rsidRPr="00E66101" w:rsidRDefault="00195014" w:rsidP="00165A03">
      <w:pPr>
        <w:pStyle w:val="H1G"/>
      </w:pPr>
      <w:r w:rsidRPr="00E66101">
        <w:tab/>
        <w:t>a)</w:t>
      </w:r>
      <w:r w:rsidRPr="00E66101">
        <w:tab/>
        <w:t>Questions pratiques d</w:t>
      </w:r>
      <w:r>
        <w:t>’</w:t>
      </w:r>
      <w:r w:rsidRPr="00E66101">
        <w:t>étiquetage</w:t>
      </w:r>
    </w:p>
    <w:p w14:paraId="4DCDA07F" w14:textId="77777777" w:rsidR="00195014" w:rsidRPr="00E66101" w:rsidRDefault="00195014" w:rsidP="00CA653F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64931229" w14:textId="77777777" w:rsidR="00195014" w:rsidRPr="00E66101" w:rsidRDefault="00195014" w:rsidP="00165A03">
      <w:pPr>
        <w:pStyle w:val="H1G"/>
      </w:pPr>
      <w:r w:rsidRPr="00E66101">
        <w:tab/>
        <w:t>b)</w:t>
      </w:r>
      <w:r w:rsidRPr="00E66101">
        <w:tab/>
        <w:t xml:space="preserve">Amélioration des annexes 1 à 3 et poursuite de la rationalisation </w:t>
      </w:r>
      <w:r w:rsidR="00264CCA">
        <w:br/>
      </w:r>
      <w:r w:rsidRPr="00E66101">
        <w:t>des conseils de prudence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5"/>
      </w:tblGrid>
      <w:tr w:rsidR="00195014" w:rsidRPr="00E66101" w14:paraId="4809415B" w14:textId="77777777" w:rsidTr="00264CCA">
        <w:tc>
          <w:tcPr>
            <w:tcW w:w="2665" w:type="dxa"/>
          </w:tcPr>
          <w:p w14:paraId="792C898E" w14:textId="77777777" w:rsidR="00195014" w:rsidRPr="00E66101" w:rsidRDefault="00195014" w:rsidP="00CA653F">
            <w:pPr>
              <w:spacing w:after="120"/>
            </w:pPr>
            <w:r w:rsidRPr="00E66101">
              <w:t xml:space="preserve">ST/SG/AC.10/C.4/2020/12 </w:t>
            </w:r>
            <w:r w:rsidR="00264CCA">
              <w:br/>
            </w:r>
            <w:r w:rsidRPr="00E66101">
              <w:t xml:space="preserve">et document informel INF.4 (Royaume-Uni) </w:t>
            </w:r>
          </w:p>
        </w:tc>
        <w:tc>
          <w:tcPr>
            <w:tcW w:w="4706" w:type="dxa"/>
          </w:tcPr>
          <w:p w14:paraId="3CA6048C" w14:textId="77777777" w:rsidR="00195014" w:rsidRPr="00E66101" w:rsidRDefault="00195014" w:rsidP="00CA653F">
            <w:pPr>
              <w:spacing w:after="120"/>
            </w:pPr>
            <w:r w:rsidRPr="00E66101">
              <w:t>Propositions de modifications à l</w:t>
            </w:r>
            <w:r>
              <w:t>’</w:t>
            </w:r>
            <w:r w:rsidRPr="00E66101">
              <w:t xml:space="preserve">annexe 3 visant </w:t>
            </w:r>
            <w:r w:rsidR="00264CCA">
              <w:br/>
            </w:r>
            <w:r w:rsidRPr="00E66101">
              <w:t xml:space="preserve">à prévenir le transfert des mains aux yeux de substances </w:t>
            </w:r>
            <w:r w:rsidR="00264CCA">
              <w:br/>
            </w:r>
            <w:r w:rsidRPr="00E66101">
              <w:t>ou de mélanges considérés comme étant à l</w:t>
            </w:r>
            <w:r>
              <w:t>’</w:t>
            </w:r>
            <w:r w:rsidRPr="00E66101">
              <w:t xml:space="preserve">origine </w:t>
            </w:r>
            <w:r w:rsidR="00264CCA">
              <w:br/>
            </w:r>
            <w:r w:rsidRPr="00E66101">
              <w:t>de lésions oculaires graves ou d</w:t>
            </w:r>
            <w:r>
              <w:t>’</w:t>
            </w:r>
            <w:r w:rsidRPr="00E66101">
              <w:t>irritations oculaires</w:t>
            </w:r>
          </w:p>
        </w:tc>
      </w:tr>
    </w:tbl>
    <w:p w14:paraId="261D1960" w14:textId="77777777" w:rsidR="00195014" w:rsidRPr="00E66101" w:rsidRDefault="00195014" w:rsidP="00165A03">
      <w:pPr>
        <w:pStyle w:val="H1G"/>
      </w:pPr>
      <w:r w:rsidRPr="00E66101">
        <w:tab/>
        <w:t>c)</w:t>
      </w:r>
      <w:r w:rsidRPr="00E66101">
        <w:tab/>
        <w:t>Révision de la sous-section A4.3.3.2.3 de l</w:t>
      </w:r>
      <w:r>
        <w:t>’</w:t>
      </w:r>
      <w:r w:rsidRPr="00E66101">
        <w:t xml:space="preserve">annexe 4 </w:t>
      </w:r>
    </w:p>
    <w:p w14:paraId="45633F22" w14:textId="77777777" w:rsidR="00195014" w:rsidRPr="00E66101" w:rsidRDefault="00195014" w:rsidP="00CA653F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0B79CB3B" w14:textId="77777777" w:rsidR="00195014" w:rsidRPr="00E66101" w:rsidRDefault="00195014" w:rsidP="00165A03">
      <w:pPr>
        <w:pStyle w:val="H1G"/>
      </w:pPr>
      <w:r w:rsidRPr="00E66101">
        <w:tab/>
        <w:t>d)</w:t>
      </w:r>
      <w:r w:rsidRPr="00E66101">
        <w:tab/>
        <w:t>Autres questions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5"/>
      </w:tblGrid>
      <w:tr w:rsidR="00195014" w:rsidRPr="00E66101" w14:paraId="0ADA0298" w14:textId="77777777" w:rsidTr="00264CCA">
        <w:tc>
          <w:tcPr>
            <w:tcW w:w="2665" w:type="dxa"/>
          </w:tcPr>
          <w:p w14:paraId="5A763BAC" w14:textId="77777777" w:rsidR="00195014" w:rsidRPr="00E66101" w:rsidRDefault="00195014" w:rsidP="00CA653F">
            <w:pPr>
              <w:spacing w:after="120"/>
            </w:pPr>
            <w:r w:rsidRPr="00E66101">
              <w:t>ST/SG/AC.10/C.4/2020/1 (secrétariat)</w:t>
            </w:r>
          </w:p>
        </w:tc>
        <w:tc>
          <w:tcPr>
            <w:tcW w:w="4706" w:type="dxa"/>
          </w:tcPr>
          <w:p w14:paraId="04DC19E4" w14:textId="77777777" w:rsidR="00195014" w:rsidRPr="00E66101" w:rsidRDefault="00195014" w:rsidP="00CA653F">
            <w:pPr>
              <w:spacing w:after="120"/>
            </w:pPr>
            <w:r w:rsidRPr="00E66101">
              <w:t>Examen et mise à jour des références aux documents d</w:t>
            </w:r>
            <w:r>
              <w:t>’</w:t>
            </w:r>
            <w:r w:rsidRPr="00E66101">
              <w:t xml:space="preserve">orientation et aux lignes directrices pour les essais </w:t>
            </w:r>
            <w:r w:rsidR="00264CCA">
              <w:br/>
            </w:r>
            <w:r w:rsidRPr="00E66101">
              <w:t>de l</w:t>
            </w:r>
            <w:r>
              <w:t>’</w:t>
            </w:r>
            <w:r w:rsidRPr="00E66101">
              <w:t>OCDE aux annexes 9 et 10 du SGH</w:t>
            </w:r>
          </w:p>
        </w:tc>
      </w:tr>
      <w:tr w:rsidR="00195014" w:rsidRPr="00C76350" w14:paraId="249DD57D" w14:textId="77777777" w:rsidTr="00264CCA">
        <w:tc>
          <w:tcPr>
            <w:tcW w:w="2665" w:type="dxa"/>
          </w:tcPr>
          <w:p w14:paraId="68A22EA0" w14:textId="77777777" w:rsidR="00195014" w:rsidRPr="00E66101" w:rsidRDefault="00195014" w:rsidP="00CA653F">
            <w:pPr>
              <w:spacing w:after="120"/>
            </w:pPr>
            <w:r w:rsidRPr="00E66101">
              <w:t xml:space="preserve">Document informel INF.9 (Conseil international </w:t>
            </w:r>
            <w:r w:rsidR="00264CCA">
              <w:br/>
            </w:r>
            <w:r w:rsidRPr="00E66101">
              <w:t>des mines et des métaux (CIMM))</w:t>
            </w:r>
          </w:p>
        </w:tc>
        <w:tc>
          <w:tcPr>
            <w:tcW w:w="4706" w:type="dxa"/>
          </w:tcPr>
          <w:p w14:paraId="30E38CD0" w14:textId="77777777" w:rsidR="00195014" w:rsidRPr="00C76350" w:rsidRDefault="00195014" w:rsidP="00CA653F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Update on the alignment of Annex 9 (section 9.7) and Annex 10 (on metals and metal compounds) to the criteria in Chapter 4.1 and the generic environmental hazard guidance</w:t>
            </w:r>
          </w:p>
        </w:tc>
      </w:tr>
    </w:tbl>
    <w:p w14:paraId="5613F2A7" w14:textId="77777777" w:rsidR="00195014" w:rsidRPr="00E66101" w:rsidRDefault="00195014" w:rsidP="00165A03">
      <w:pPr>
        <w:pStyle w:val="H1G"/>
      </w:pPr>
      <w:r w:rsidRPr="00C76350">
        <w:rPr>
          <w:lang w:val="en-US"/>
        </w:rPr>
        <w:tab/>
      </w:r>
      <w:r w:rsidRPr="00E66101">
        <w:t>e)</w:t>
      </w:r>
      <w:r w:rsidRPr="00E66101">
        <w:tab/>
        <w:t>Nouvelles propositions</w:t>
      </w:r>
    </w:p>
    <w:p w14:paraId="5650CD21" w14:textId="77777777" w:rsidR="00195014" w:rsidRPr="00E66101" w:rsidRDefault="00195014" w:rsidP="00CA653F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74DA4A5E" w14:textId="77777777" w:rsidR="00195014" w:rsidRPr="00E66101" w:rsidRDefault="00195014" w:rsidP="00165A03">
      <w:pPr>
        <w:pStyle w:val="HChG"/>
      </w:pPr>
      <w:r w:rsidRPr="00E66101">
        <w:tab/>
        <w:t>5.</w:t>
      </w:r>
      <w:r w:rsidRPr="00E66101">
        <w:tab/>
        <w:t>Mise en œuvre du SGH</w:t>
      </w:r>
    </w:p>
    <w:p w14:paraId="7564011D" w14:textId="77777777" w:rsidR="00195014" w:rsidRPr="00E66101" w:rsidRDefault="00195014" w:rsidP="00165A03">
      <w:pPr>
        <w:pStyle w:val="H1G"/>
      </w:pPr>
      <w:r w:rsidRPr="00E66101">
        <w:tab/>
        <w:t>a)</w:t>
      </w:r>
      <w:r w:rsidRPr="00E66101">
        <w:tab/>
        <w:t>Élaboration éventuelle d</w:t>
      </w:r>
      <w:r>
        <w:t>’</w:t>
      </w:r>
      <w:r w:rsidRPr="00E66101">
        <w:t>une liste de produits chimiques classés conformément au SGH</w:t>
      </w:r>
    </w:p>
    <w:tbl>
      <w:tblPr>
        <w:tblStyle w:val="TableGrid"/>
        <w:tblW w:w="746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769"/>
      </w:tblGrid>
      <w:tr w:rsidR="00195014" w:rsidRPr="00E66101" w14:paraId="2738ECF4" w14:textId="77777777" w:rsidTr="00264CCA">
        <w:tc>
          <w:tcPr>
            <w:tcW w:w="2665" w:type="dxa"/>
          </w:tcPr>
          <w:p w14:paraId="188BB73D" w14:textId="77777777" w:rsidR="00195014" w:rsidRPr="00E66101" w:rsidRDefault="00195014" w:rsidP="00680C3D">
            <w:r w:rsidRPr="00E66101">
              <w:t xml:space="preserve">ST/SG/AC.10/C.4/2020/17 (Canada, États-Unis </w:t>
            </w:r>
            <w:r w:rsidR="00264CCA">
              <w:br/>
            </w:r>
            <w:r w:rsidRPr="00E66101">
              <w:t>d</w:t>
            </w:r>
            <w:r>
              <w:t>’</w:t>
            </w:r>
            <w:r w:rsidRPr="00E66101">
              <w:t xml:space="preserve">Amérique) </w:t>
            </w:r>
          </w:p>
        </w:tc>
        <w:tc>
          <w:tcPr>
            <w:tcW w:w="4706" w:type="dxa"/>
          </w:tcPr>
          <w:p w14:paraId="430162D2" w14:textId="77777777" w:rsidR="00195014" w:rsidRPr="00E66101" w:rsidRDefault="00195014" w:rsidP="00680C3D">
            <w:r>
              <w:t>Informations actualisées</w:t>
            </w:r>
            <w:r w:rsidRPr="00E66101">
              <w:t xml:space="preserve"> </w:t>
            </w:r>
            <w:r>
              <w:t>et</w:t>
            </w:r>
            <w:r w:rsidRPr="00E66101">
              <w:t xml:space="preserve"> propos</w:t>
            </w:r>
            <w:r>
              <w:t xml:space="preserve">ition concernant </w:t>
            </w:r>
            <w:r w:rsidR="00264CCA">
              <w:br/>
            </w:r>
            <w:r>
              <w:t>les</w:t>
            </w:r>
            <w:r w:rsidRPr="00E66101">
              <w:t xml:space="preserve"> travaux actuellement engag</w:t>
            </w:r>
            <w:r>
              <w:t>é</w:t>
            </w:r>
            <w:r w:rsidRPr="00E66101">
              <w:t xml:space="preserve">s par le groupe informel </w:t>
            </w:r>
            <w:r w:rsidR="00264CCA">
              <w:br/>
            </w:r>
            <w:r w:rsidRPr="00E66101">
              <w:t>de correspondance de la liste mondiale</w:t>
            </w:r>
          </w:p>
        </w:tc>
      </w:tr>
    </w:tbl>
    <w:p w14:paraId="4DE71E3D" w14:textId="77777777" w:rsidR="00195014" w:rsidRPr="00E66101" w:rsidRDefault="00195014" w:rsidP="00165A03">
      <w:pPr>
        <w:pStyle w:val="H1G"/>
      </w:pPr>
      <w:r w:rsidRPr="00E66101">
        <w:tab/>
        <w:t>b)</w:t>
      </w:r>
      <w:r w:rsidRPr="00E66101">
        <w:tab/>
        <w:t>Rapports relatifs à l</w:t>
      </w:r>
      <w:r>
        <w:t>’</w:t>
      </w:r>
      <w:r w:rsidRPr="00E66101">
        <w:t>état de la mise en œuvre</w:t>
      </w:r>
    </w:p>
    <w:p w14:paraId="367FDC95" w14:textId="77777777" w:rsidR="00195014" w:rsidRPr="00E66101" w:rsidRDefault="00195014" w:rsidP="00264CCA">
      <w:pPr>
        <w:pStyle w:val="SingleTxtG"/>
        <w:ind w:firstLine="567"/>
      </w:pPr>
      <w:r w:rsidRPr="00E66101">
        <w:t>Les experts, observateurs et organisations internationales voudront sans doute informer le Sous-Comité de l</w:t>
      </w:r>
      <w:r>
        <w:t>’</w:t>
      </w:r>
      <w:r w:rsidRPr="00E66101">
        <w:t>état d</w:t>
      </w:r>
      <w:r>
        <w:t>’</w:t>
      </w:r>
      <w:r w:rsidRPr="00E66101">
        <w:t>avancement de la mise en œuvre du SGH dans leurs pays ou domaines de travail respectifs.</w:t>
      </w:r>
    </w:p>
    <w:p w14:paraId="623E1279" w14:textId="77777777" w:rsidR="00195014" w:rsidRPr="00E66101" w:rsidRDefault="00195014" w:rsidP="00165A03">
      <w:pPr>
        <w:pStyle w:val="H1G"/>
      </w:pPr>
      <w:r w:rsidRPr="00E66101">
        <w:lastRenderedPageBreak/>
        <w:tab/>
        <w:t>c)</w:t>
      </w:r>
      <w:r w:rsidRPr="00E66101">
        <w:tab/>
        <w:t>Coopération avec d</w:t>
      </w:r>
      <w:r>
        <w:t>’</w:t>
      </w:r>
      <w:r w:rsidRPr="00E66101">
        <w:t>autres organes ou organisations internationales</w:t>
      </w:r>
    </w:p>
    <w:p w14:paraId="02579DB4" w14:textId="77777777" w:rsidR="00195014" w:rsidRPr="00E66101" w:rsidRDefault="00195014" w:rsidP="00264CCA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7649AB86" w14:textId="77777777" w:rsidR="00195014" w:rsidRPr="00E66101" w:rsidRDefault="00195014" w:rsidP="00165A03">
      <w:pPr>
        <w:pStyle w:val="H1G"/>
      </w:pPr>
      <w:r w:rsidRPr="00E66101">
        <w:tab/>
        <w:t>d)</w:t>
      </w:r>
      <w:r w:rsidRPr="00E66101">
        <w:tab/>
        <w:t>Autres questions</w:t>
      </w:r>
    </w:p>
    <w:p w14:paraId="0346292C" w14:textId="77777777" w:rsidR="00195014" w:rsidRPr="00E66101" w:rsidRDefault="00195014" w:rsidP="00264CCA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35A64059" w14:textId="77777777" w:rsidR="00195014" w:rsidRPr="00E66101" w:rsidRDefault="00195014" w:rsidP="00165A03">
      <w:pPr>
        <w:pStyle w:val="HChG"/>
      </w:pPr>
      <w:r w:rsidRPr="00E66101">
        <w:tab/>
        <w:t>6.</w:t>
      </w:r>
      <w:r w:rsidRPr="00E66101">
        <w:tab/>
        <w:t>Mise au point de directives pour l</w:t>
      </w:r>
      <w:r>
        <w:t>’</w:t>
      </w:r>
      <w:r w:rsidRPr="00E66101">
        <w:t xml:space="preserve">application </w:t>
      </w:r>
      <w:r w:rsidR="00264CCA">
        <w:br/>
      </w:r>
      <w:r w:rsidRPr="00E66101">
        <w:t>des critères du SGH</w:t>
      </w:r>
    </w:p>
    <w:p w14:paraId="45FF5520" w14:textId="77777777" w:rsidR="00195014" w:rsidRPr="00E66101" w:rsidRDefault="00195014" w:rsidP="00264CCA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6F717F58" w14:textId="77777777" w:rsidR="00195014" w:rsidRPr="00E66101" w:rsidRDefault="00195014" w:rsidP="00165A03">
      <w:pPr>
        <w:pStyle w:val="HChG"/>
      </w:pPr>
      <w:r w:rsidRPr="00E66101">
        <w:tab/>
        <w:t>7.</w:t>
      </w:r>
      <w:r w:rsidRPr="00E66101">
        <w:tab/>
        <w:t>Renforcement des capacités</w:t>
      </w:r>
    </w:p>
    <w:p w14:paraId="702F4130" w14:textId="77777777" w:rsidR="00195014" w:rsidRPr="00E66101" w:rsidRDefault="00195014" w:rsidP="00264CCA">
      <w:pPr>
        <w:pStyle w:val="SingleTxtG"/>
        <w:ind w:firstLine="567"/>
      </w:pPr>
      <w:r w:rsidRPr="00E66101">
        <w:t>Les experts, observateurs et organisations internationales souhaiteront peut-être informer le Sous-Comité de toutes les activités et de tous les projets de renforcement des capacités entrepris en lien avec le SGH.</w:t>
      </w:r>
    </w:p>
    <w:p w14:paraId="5FE4AFC5" w14:textId="77777777" w:rsidR="00195014" w:rsidRPr="00E66101" w:rsidRDefault="00195014" w:rsidP="00165A03">
      <w:pPr>
        <w:pStyle w:val="HChG"/>
      </w:pPr>
      <w:r w:rsidRPr="00E66101">
        <w:tab/>
        <w:t>8.</w:t>
      </w:r>
      <w:r w:rsidRPr="00E66101">
        <w:tab/>
        <w:t>Programme de travail pour l</w:t>
      </w:r>
      <w:r>
        <w:t>’</w:t>
      </w:r>
      <w:r w:rsidRPr="00E66101">
        <w:t>exercice biennal 2021-2022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706"/>
      </w:tblGrid>
      <w:tr w:rsidR="00195014" w:rsidRPr="00C76350" w14:paraId="17B6BB28" w14:textId="77777777" w:rsidTr="00264CCA">
        <w:tc>
          <w:tcPr>
            <w:tcW w:w="2665" w:type="dxa"/>
          </w:tcPr>
          <w:p w14:paraId="6337F09B" w14:textId="77777777" w:rsidR="00195014" w:rsidRPr="00E66101" w:rsidRDefault="00195014" w:rsidP="00264CCA">
            <w:pPr>
              <w:spacing w:after="120"/>
            </w:pPr>
            <w:r w:rsidRPr="00E66101">
              <w:t>Document informel INF.15 (Japon)</w:t>
            </w:r>
          </w:p>
        </w:tc>
        <w:tc>
          <w:tcPr>
            <w:tcW w:w="4706" w:type="dxa"/>
          </w:tcPr>
          <w:p w14:paraId="7416548E" w14:textId="77777777" w:rsidR="00195014" w:rsidRPr="00C76350" w:rsidRDefault="00195014" w:rsidP="00264CCA">
            <w:pPr>
              <w:spacing w:after="120"/>
              <w:rPr>
                <w:lang w:val="en-US"/>
              </w:rPr>
            </w:pPr>
            <w:r w:rsidRPr="00C76350">
              <w:rPr>
                <w:lang w:val="en-US"/>
              </w:rPr>
              <w:t>Clarification of the criteria for classification for skin sensitization using animal studies</w:t>
            </w:r>
          </w:p>
        </w:tc>
      </w:tr>
    </w:tbl>
    <w:p w14:paraId="5836B2D7" w14:textId="77777777" w:rsidR="00195014" w:rsidRPr="00E66101" w:rsidRDefault="00195014" w:rsidP="00264CCA">
      <w:pPr>
        <w:pStyle w:val="SingleTxtG"/>
        <w:ind w:firstLine="567"/>
      </w:pPr>
      <w:r w:rsidRPr="00E66101">
        <w:t>Le Sous-Comité souhaitera pourra, s</w:t>
      </w:r>
      <w:r>
        <w:t>’</w:t>
      </w:r>
      <w:r w:rsidRPr="00E66101">
        <w:t>il le souhaite, examiner les propositions relatives à son programme de travail pour la période 2020-2021.</w:t>
      </w:r>
    </w:p>
    <w:p w14:paraId="4577BC9E" w14:textId="77777777" w:rsidR="00195014" w:rsidRPr="00E66101" w:rsidRDefault="00195014" w:rsidP="00165A03">
      <w:pPr>
        <w:pStyle w:val="HChG"/>
      </w:pPr>
      <w:r w:rsidRPr="00E66101">
        <w:tab/>
        <w:t>9.</w:t>
      </w:r>
      <w:r w:rsidRPr="00E66101">
        <w:tab/>
        <w:t>Projet de résolution 2021/</w:t>
      </w:r>
      <w:r w:rsidR="00B01F1A">
        <w:t>…</w:t>
      </w:r>
      <w:r w:rsidRPr="00E66101">
        <w:t xml:space="preserve"> du Conseil économique et social</w:t>
      </w:r>
    </w:p>
    <w:p w14:paraId="1D8BE36D" w14:textId="77777777" w:rsidR="00195014" w:rsidRPr="00E66101" w:rsidRDefault="00195014" w:rsidP="00264CCA">
      <w:pPr>
        <w:pStyle w:val="SingleTxtG"/>
        <w:ind w:firstLine="567"/>
      </w:pPr>
      <w:r w:rsidRPr="00E66101">
        <w:t>Le Sous-Comité voudra peut-être examiner un projet de résolution à soumettre au Conseil économique et social pour adoption à la session de 2021 du Conseil, sur la base d</w:t>
      </w:r>
      <w:r>
        <w:t>’</w:t>
      </w:r>
      <w:r w:rsidRPr="00E66101">
        <w:t>un projet établi par le secrétariat.</w:t>
      </w:r>
    </w:p>
    <w:p w14:paraId="1AA080E6" w14:textId="77777777" w:rsidR="00195014" w:rsidRPr="00E66101" w:rsidRDefault="00195014" w:rsidP="00165A03">
      <w:pPr>
        <w:pStyle w:val="HChG"/>
      </w:pPr>
      <w:r w:rsidRPr="00E66101">
        <w:tab/>
        <w:t>10.</w:t>
      </w:r>
      <w:r w:rsidRPr="00E66101">
        <w:tab/>
        <w:t>Élection du Bureau pour l</w:t>
      </w:r>
      <w:r>
        <w:t>’</w:t>
      </w:r>
      <w:r w:rsidRPr="00E66101">
        <w:t>exercice biennal 2021-2022</w:t>
      </w:r>
    </w:p>
    <w:p w14:paraId="1A7DC927" w14:textId="77777777" w:rsidR="00195014" w:rsidRPr="00E66101" w:rsidRDefault="00195014" w:rsidP="00264CCA">
      <w:pPr>
        <w:pStyle w:val="SingleTxtG"/>
        <w:ind w:firstLine="567"/>
      </w:pPr>
      <w:r w:rsidRPr="00E66101">
        <w:t>Conformément à l</w:t>
      </w:r>
      <w:r>
        <w:t>’</w:t>
      </w:r>
      <w:r w:rsidRPr="00E66101">
        <w:t>usage, le Sous-Comité sera invité à élire son bureau pour l</w:t>
      </w:r>
      <w:r>
        <w:t>’</w:t>
      </w:r>
      <w:r w:rsidRPr="00E66101">
        <w:t>exercice 2021-2022 parmi les représentants de ses pays membres.</w:t>
      </w:r>
    </w:p>
    <w:p w14:paraId="669AAF96" w14:textId="77777777" w:rsidR="00195014" w:rsidRPr="00E66101" w:rsidRDefault="00195014" w:rsidP="00165A03">
      <w:pPr>
        <w:pStyle w:val="HChG"/>
      </w:pPr>
      <w:r w:rsidRPr="00E66101">
        <w:tab/>
        <w:t>11.</w:t>
      </w:r>
      <w:r w:rsidRPr="00E66101">
        <w:tab/>
        <w:t>Questions diverses</w:t>
      </w:r>
    </w:p>
    <w:p w14:paraId="574F0633" w14:textId="77777777" w:rsidR="00195014" w:rsidRPr="00E66101" w:rsidRDefault="00195014" w:rsidP="00264CCA">
      <w:pPr>
        <w:pStyle w:val="SingleTxtG"/>
        <w:ind w:firstLine="567"/>
      </w:pPr>
      <w:r w:rsidRPr="00E66101">
        <w:t>Au moment de l</w:t>
      </w:r>
      <w:r>
        <w:t>’</w:t>
      </w:r>
      <w:r w:rsidRPr="00E66101">
        <w:t>établissement du présent document, aucun document n</w:t>
      </w:r>
      <w:r>
        <w:t>’</w:t>
      </w:r>
      <w:r w:rsidRPr="00E66101">
        <w:t>avait été soumis au titre de ce point de l</w:t>
      </w:r>
      <w:r>
        <w:t>’</w:t>
      </w:r>
      <w:r w:rsidRPr="00E66101">
        <w:t>ordre du jour.</w:t>
      </w:r>
    </w:p>
    <w:p w14:paraId="0DADC446" w14:textId="77777777" w:rsidR="00195014" w:rsidRPr="00E66101" w:rsidRDefault="00195014" w:rsidP="00165A03">
      <w:pPr>
        <w:pStyle w:val="HChG"/>
      </w:pPr>
      <w:r w:rsidRPr="00E66101">
        <w:tab/>
        <w:t>12.</w:t>
      </w:r>
      <w:r w:rsidRPr="00E66101">
        <w:tab/>
        <w:t>Adoption du rapport</w:t>
      </w:r>
    </w:p>
    <w:p w14:paraId="5E4F5A90" w14:textId="77777777" w:rsidR="00195014" w:rsidRDefault="00195014" w:rsidP="00264CCA">
      <w:pPr>
        <w:pStyle w:val="SingleTxtG"/>
        <w:ind w:firstLine="567"/>
      </w:pPr>
      <w:r w:rsidRPr="00E66101">
        <w:t>Conformément à l</w:t>
      </w:r>
      <w:r>
        <w:t>’</w:t>
      </w:r>
      <w:r w:rsidRPr="00E66101">
        <w:t>usage, le Sous-Comité voudra sans doute adopter le rapport de sa trente-neuvième session sur la base d</w:t>
      </w:r>
      <w:r>
        <w:t>’</w:t>
      </w:r>
      <w:r w:rsidRPr="00E66101">
        <w:t>un projet établi par le secrétariat.</w:t>
      </w:r>
    </w:p>
    <w:p w14:paraId="25523BCD" w14:textId="77777777" w:rsidR="00264CCA" w:rsidRPr="00264CCA" w:rsidRDefault="00264CCA" w:rsidP="00264C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4CCA" w:rsidRPr="00264CCA" w:rsidSect="00AD4D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4A76" w14:textId="77777777" w:rsidR="006E005D" w:rsidRDefault="006E005D" w:rsidP="00F95C08">
      <w:pPr>
        <w:spacing w:line="240" w:lineRule="auto"/>
      </w:pPr>
    </w:p>
  </w:endnote>
  <w:endnote w:type="continuationSeparator" w:id="0">
    <w:p w14:paraId="32EDD61A" w14:textId="77777777" w:rsidR="006E005D" w:rsidRPr="00AC3823" w:rsidRDefault="006E005D" w:rsidP="00AC3823">
      <w:pPr>
        <w:pStyle w:val="Footer"/>
      </w:pPr>
    </w:p>
  </w:endnote>
  <w:endnote w:type="continuationNotice" w:id="1">
    <w:p w14:paraId="2A284C5B" w14:textId="77777777" w:rsidR="006E005D" w:rsidRDefault="006E00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BADE" w14:textId="77777777" w:rsidR="00AD4DDF" w:rsidRPr="00AD4DDF" w:rsidRDefault="00AD4DDF" w:rsidP="00AD4DDF">
    <w:pPr>
      <w:pStyle w:val="Footer"/>
      <w:tabs>
        <w:tab w:val="right" w:pos="9638"/>
      </w:tabs>
    </w:pPr>
    <w:r w:rsidRPr="00AD4DDF">
      <w:rPr>
        <w:b/>
        <w:sz w:val="18"/>
      </w:rPr>
      <w:fldChar w:fldCharType="begin"/>
    </w:r>
    <w:r w:rsidRPr="00AD4DDF">
      <w:rPr>
        <w:b/>
        <w:sz w:val="18"/>
      </w:rPr>
      <w:instrText xml:space="preserve"> PAGE  \* MERGEFORMAT </w:instrText>
    </w:r>
    <w:r w:rsidRPr="00AD4DDF">
      <w:rPr>
        <w:b/>
        <w:sz w:val="18"/>
      </w:rPr>
      <w:fldChar w:fldCharType="separate"/>
    </w:r>
    <w:r w:rsidRPr="00AD4DDF">
      <w:rPr>
        <w:b/>
        <w:noProof/>
        <w:sz w:val="18"/>
      </w:rPr>
      <w:t>2</w:t>
    </w:r>
    <w:r w:rsidRPr="00AD4DDF">
      <w:rPr>
        <w:b/>
        <w:sz w:val="18"/>
      </w:rPr>
      <w:fldChar w:fldCharType="end"/>
    </w:r>
    <w:r>
      <w:rPr>
        <w:b/>
        <w:sz w:val="18"/>
      </w:rPr>
      <w:tab/>
    </w:r>
    <w:r>
      <w:t>GE.20-12502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57C8" w14:textId="77777777" w:rsidR="00AD4DDF" w:rsidRPr="00AD4DDF" w:rsidRDefault="00AD4DDF" w:rsidP="00AD4DDF">
    <w:pPr>
      <w:pStyle w:val="Footer"/>
      <w:tabs>
        <w:tab w:val="right" w:pos="9638"/>
      </w:tabs>
      <w:rPr>
        <w:b/>
        <w:sz w:val="18"/>
      </w:rPr>
    </w:pPr>
    <w:r>
      <w:t>GE.20-12502</w:t>
    </w:r>
    <w:r>
      <w:tab/>
    </w:r>
    <w:r w:rsidRPr="00AD4DDF">
      <w:rPr>
        <w:b/>
        <w:sz w:val="18"/>
      </w:rPr>
      <w:fldChar w:fldCharType="begin"/>
    </w:r>
    <w:r w:rsidRPr="00AD4DDF">
      <w:rPr>
        <w:b/>
        <w:sz w:val="18"/>
      </w:rPr>
      <w:instrText xml:space="preserve"> PAGE  \* MERGEFORMAT </w:instrText>
    </w:r>
    <w:r w:rsidRPr="00AD4DDF">
      <w:rPr>
        <w:b/>
        <w:sz w:val="18"/>
      </w:rPr>
      <w:fldChar w:fldCharType="separate"/>
    </w:r>
    <w:r w:rsidRPr="00AD4DDF">
      <w:rPr>
        <w:b/>
        <w:noProof/>
        <w:sz w:val="18"/>
      </w:rPr>
      <w:t>3</w:t>
    </w:r>
    <w:r w:rsidRPr="00AD4D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2E5B" w14:textId="77777777" w:rsidR="0068456F" w:rsidRPr="00AD4DDF" w:rsidRDefault="00AD4DDF" w:rsidP="00AD4DD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453AD93" wp14:editId="7936D09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12502  (</w:t>
    </w:r>
    <w:proofErr w:type="gramEnd"/>
    <w:r>
      <w:rPr>
        <w:sz w:val="20"/>
      </w:rPr>
      <w:t>F)    081020    081020</w:t>
    </w:r>
    <w:r>
      <w:rPr>
        <w:sz w:val="20"/>
      </w:rPr>
      <w:br/>
    </w:r>
    <w:r w:rsidRPr="00AD4DDF">
      <w:rPr>
        <w:rFonts w:ascii="C39T30Lfz" w:hAnsi="C39T30Lfz"/>
        <w:sz w:val="56"/>
      </w:rPr>
      <w:t>*2012502*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F808C0" wp14:editId="587479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D4B53" w14:textId="77777777" w:rsidR="006E005D" w:rsidRPr="00AC3823" w:rsidRDefault="006E00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D30FE4" w14:textId="77777777" w:rsidR="006E005D" w:rsidRPr="00AC3823" w:rsidRDefault="006E00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F4EF3D" w14:textId="77777777" w:rsidR="006E005D" w:rsidRPr="00AC3823" w:rsidRDefault="006E005D">
      <w:pPr>
        <w:spacing w:line="240" w:lineRule="auto"/>
        <w:rPr>
          <w:sz w:val="2"/>
          <w:szCs w:val="2"/>
        </w:rPr>
      </w:pPr>
    </w:p>
  </w:footnote>
  <w:footnote w:id="2">
    <w:p w14:paraId="075A965D" w14:textId="77777777" w:rsidR="00195014" w:rsidRPr="00DF4425" w:rsidRDefault="00195014" w:rsidP="00195014">
      <w:pPr>
        <w:pStyle w:val="FootnoteText"/>
      </w:pPr>
      <w:r>
        <w:rPr>
          <w:lang w:val="fr-FR"/>
        </w:rPr>
        <w:tab/>
      </w:r>
      <w:r w:rsidRPr="00C76350">
        <w:rPr>
          <w:rStyle w:val="FootnoteReference"/>
        </w:rPr>
        <w:footnoteRef/>
      </w:r>
      <w:r>
        <w:rPr>
          <w:lang w:val="fr-FR"/>
        </w:rPr>
        <w:tab/>
        <w:t>Les représentants auprès du Sous-Comité SGH sont invités à participer aux travaux du Sous-Comité TMD quand celui-ci débat des dangers physiques en sa qualité de centre de liaison pour le SGH. Les</w:t>
      </w:r>
      <w:r w:rsidR="009853DB">
        <w:rPr>
          <w:lang w:val="fr-FR"/>
        </w:rPr>
        <w:t> </w:t>
      </w:r>
      <w:r>
        <w:rPr>
          <w:lang w:val="fr-FR"/>
        </w:rPr>
        <w:t>représentants auprès du Sous-Comité SGH qui souhaitent participer aux débats du Sous-Comité TMD sur des questions intéressant le SGH doivent s’inscrire à la session du Sous-Comité TMD.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E433" w14:textId="2CFAF4F7" w:rsidR="00AD4DDF" w:rsidRPr="00AD4DDF" w:rsidRDefault="00AD4DDF">
    <w:pPr>
      <w:pStyle w:val="Header"/>
      <w:rPr>
        <w:lang w:val="en-US"/>
      </w:rPr>
    </w:pPr>
    <w:r>
      <w:fldChar w:fldCharType="begin"/>
    </w:r>
    <w:r w:rsidRPr="00AD4DDF">
      <w:rPr>
        <w:lang w:val="en-US"/>
      </w:rPr>
      <w:instrText xml:space="preserve"> TITLE  \* MERGEFORMAT </w:instrText>
    </w:r>
    <w:r>
      <w:fldChar w:fldCharType="separate"/>
    </w:r>
    <w:r w:rsidR="003E2AE3">
      <w:rPr>
        <w:lang w:val="en-US"/>
      </w:rPr>
      <w:t>ST/SG/AC.10/C.4/77/Rev.1/Add.1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3395" w14:textId="04728447" w:rsidR="00AD4DDF" w:rsidRPr="00AD4DDF" w:rsidRDefault="00AD4DDF" w:rsidP="00AD4DDF">
    <w:pPr>
      <w:pStyle w:val="Header"/>
      <w:jc w:val="right"/>
      <w:rPr>
        <w:lang w:val="en-US"/>
      </w:rPr>
    </w:pPr>
    <w:r>
      <w:fldChar w:fldCharType="begin"/>
    </w:r>
    <w:r w:rsidRPr="00AD4DDF">
      <w:rPr>
        <w:lang w:val="en-US"/>
      </w:rPr>
      <w:instrText xml:space="preserve"> TITLE  \* MERGEFORMAT </w:instrText>
    </w:r>
    <w:r>
      <w:fldChar w:fldCharType="separate"/>
    </w:r>
    <w:r w:rsidR="003E2AE3">
      <w:rPr>
        <w:lang w:val="en-US"/>
      </w:rPr>
      <w:t>ST/SG/AC.10/C.4/77/Rev.1/Add.1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5D"/>
    <w:rsid w:val="00017F94"/>
    <w:rsid w:val="00023842"/>
    <w:rsid w:val="000305D3"/>
    <w:rsid w:val="000334F9"/>
    <w:rsid w:val="0007796D"/>
    <w:rsid w:val="000B7790"/>
    <w:rsid w:val="000F0FF9"/>
    <w:rsid w:val="00111F2F"/>
    <w:rsid w:val="00132EA9"/>
    <w:rsid w:val="0014365E"/>
    <w:rsid w:val="00165A03"/>
    <w:rsid w:val="00176178"/>
    <w:rsid w:val="00195014"/>
    <w:rsid w:val="001F525A"/>
    <w:rsid w:val="00223272"/>
    <w:rsid w:val="0024779E"/>
    <w:rsid w:val="00264CCA"/>
    <w:rsid w:val="00283190"/>
    <w:rsid w:val="002832AC"/>
    <w:rsid w:val="002D7C93"/>
    <w:rsid w:val="003E2AE3"/>
    <w:rsid w:val="00441C3B"/>
    <w:rsid w:val="00446FE5"/>
    <w:rsid w:val="00452396"/>
    <w:rsid w:val="0048098C"/>
    <w:rsid w:val="0049220F"/>
    <w:rsid w:val="004E468C"/>
    <w:rsid w:val="005505B7"/>
    <w:rsid w:val="00573BE5"/>
    <w:rsid w:val="00584DC4"/>
    <w:rsid w:val="00586ED3"/>
    <w:rsid w:val="00596AA9"/>
    <w:rsid w:val="006722BE"/>
    <w:rsid w:val="0068456F"/>
    <w:rsid w:val="006E005D"/>
    <w:rsid w:val="0071601D"/>
    <w:rsid w:val="007A62E6"/>
    <w:rsid w:val="0080684C"/>
    <w:rsid w:val="00871C75"/>
    <w:rsid w:val="008776DC"/>
    <w:rsid w:val="008B40CD"/>
    <w:rsid w:val="008F5AA1"/>
    <w:rsid w:val="009705C8"/>
    <w:rsid w:val="009853DB"/>
    <w:rsid w:val="009C1CF4"/>
    <w:rsid w:val="00A30353"/>
    <w:rsid w:val="00AC3823"/>
    <w:rsid w:val="00AD4DDF"/>
    <w:rsid w:val="00AE323C"/>
    <w:rsid w:val="00B00181"/>
    <w:rsid w:val="00B00B0D"/>
    <w:rsid w:val="00B01F1A"/>
    <w:rsid w:val="00B765F7"/>
    <w:rsid w:val="00BA0CA9"/>
    <w:rsid w:val="00C02897"/>
    <w:rsid w:val="00C728BB"/>
    <w:rsid w:val="00CA653F"/>
    <w:rsid w:val="00D3439C"/>
    <w:rsid w:val="00DB1831"/>
    <w:rsid w:val="00DD3BFD"/>
    <w:rsid w:val="00DF6678"/>
    <w:rsid w:val="00E00D03"/>
    <w:rsid w:val="00EF2E22"/>
    <w:rsid w:val="00F01738"/>
    <w:rsid w:val="00F660DF"/>
    <w:rsid w:val="00F730C8"/>
    <w:rsid w:val="00F86F49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F8A43"/>
  <w15:docId w15:val="{61B16E9A-B8CF-4FA2-83FB-D2572DCD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ST/SG/AC.10/C.4/77/Rev.1/Add.1</vt:lpstr>
    </vt:vector>
  </TitlesOfParts>
  <Company>DCM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ST/SG/AC.10/C.4/77/Rev.1/Add.1</dc:title>
  <dc:subject/>
  <dc:creator>Christine CHAUTAGNAT</dc:creator>
  <cp:keywords/>
  <cp:lastModifiedBy>Laurence Berthet</cp:lastModifiedBy>
  <cp:revision>3</cp:revision>
  <cp:lastPrinted>2020-10-08T18:45:00Z</cp:lastPrinted>
  <dcterms:created xsi:type="dcterms:W3CDTF">2020-10-08T18:45:00Z</dcterms:created>
  <dcterms:modified xsi:type="dcterms:W3CDTF">2020-10-08T18:45:00Z</dcterms:modified>
</cp:coreProperties>
</file>