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F55C43D" w14:textId="77777777" w:rsidTr="00F01738">
        <w:trPr>
          <w:trHeight w:hRule="exact" w:val="851"/>
        </w:trPr>
        <w:tc>
          <w:tcPr>
            <w:tcW w:w="1276" w:type="dxa"/>
            <w:tcBorders>
              <w:bottom w:val="single" w:sz="4" w:space="0" w:color="auto"/>
            </w:tcBorders>
          </w:tcPr>
          <w:p w14:paraId="3851F245" w14:textId="77777777" w:rsidR="00132EA9" w:rsidRPr="00DB58B5" w:rsidRDefault="00132EA9" w:rsidP="00625DC0"/>
        </w:tc>
        <w:tc>
          <w:tcPr>
            <w:tcW w:w="2268" w:type="dxa"/>
            <w:tcBorders>
              <w:bottom w:val="single" w:sz="4" w:space="0" w:color="auto"/>
            </w:tcBorders>
            <w:vAlign w:val="bottom"/>
          </w:tcPr>
          <w:p w14:paraId="3AC802C7"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61F7199" w14:textId="77777777" w:rsidR="00132EA9" w:rsidRPr="00DB58B5" w:rsidRDefault="00625DC0" w:rsidP="00625DC0">
            <w:pPr>
              <w:jc w:val="right"/>
            </w:pPr>
            <w:r w:rsidRPr="00625DC0">
              <w:rPr>
                <w:sz w:val="40"/>
              </w:rPr>
              <w:t>ST</w:t>
            </w:r>
            <w:r>
              <w:t>/SG/AC.10/C.4/2020/14</w:t>
            </w:r>
          </w:p>
        </w:tc>
      </w:tr>
      <w:tr w:rsidR="00132EA9" w:rsidRPr="00DB58B5" w14:paraId="154E06E1" w14:textId="77777777" w:rsidTr="00F01738">
        <w:trPr>
          <w:trHeight w:hRule="exact" w:val="2835"/>
        </w:trPr>
        <w:tc>
          <w:tcPr>
            <w:tcW w:w="1276" w:type="dxa"/>
            <w:tcBorders>
              <w:top w:val="single" w:sz="4" w:space="0" w:color="auto"/>
              <w:bottom w:val="single" w:sz="12" w:space="0" w:color="auto"/>
            </w:tcBorders>
          </w:tcPr>
          <w:p w14:paraId="385620D7" w14:textId="77777777" w:rsidR="00132EA9" w:rsidRPr="00DB58B5" w:rsidRDefault="00132EA9" w:rsidP="00F01738">
            <w:pPr>
              <w:spacing w:before="120"/>
              <w:jc w:val="center"/>
            </w:pPr>
            <w:r>
              <w:rPr>
                <w:noProof/>
                <w:lang w:eastAsia="fr-CH"/>
              </w:rPr>
              <w:drawing>
                <wp:inline distT="0" distB="0" distL="0" distR="0" wp14:anchorId="2B2CFF63" wp14:editId="784E450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36B949" w14:textId="77777777" w:rsidR="00132EA9" w:rsidRPr="00740562" w:rsidRDefault="00132EA9" w:rsidP="00F01738">
            <w:pPr>
              <w:spacing w:before="120" w:line="420" w:lineRule="exact"/>
              <w:rPr>
                <w:b/>
                <w:sz w:val="40"/>
                <w:szCs w:val="40"/>
              </w:rPr>
            </w:pPr>
            <w:r w:rsidRPr="00A55C22">
              <w:rPr>
                <w:b/>
                <w:sz w:val="40"/>
                <w:szCs w:val="40"/>
              </w:rPr>
              <w:t>Secrétaria</w:t>
            </w:r>
            <w:bookmarkStart w:id="0" w:name="_GoBack"/>
            <w:bookmarkEnd w:id="0"/>
            <w:r w:rsidRPr="00A55C22">
              <w:rPr>
                <w:b/>
                <w:sz w:val="40"/>
                <w:szCs w:val="40"/>
              </w:rPr>
              <w:t>t</w:t>
            </w:r>
          </w:p>
        </w:tc>
        <w:tc>
          <w:tcPr>
            <w:tcW w:w="2835" w:type="dxa"/>
            <w:tcBorders>
              <w:top w:val="single" w:sz="4" w:space="0" w:color="auto"/>
              <w:bottom w:val="single" w:sz="12" w:space="0" w:color="auto"/>
            </w:tcBorders>
          </w:tcPr>
          <w:p w14:paraId="5D6F15E9" w14:textId="77777777" w:rsidR="00132EA9" w:rsidRDefault="00625DC0" w:rsidP="00F01738">
            <w:pPr>
              <w:spacing w:before="240"/>
            </w:pPr>
            <w:r>
              <w:t xml:space="preserve">Distr. </w:t>
            </w:r>
            <w:proofErr w:type="gramStart"/>
            <w:r>
              <w:t>générale</w:t>
            </w:r>
            <w:proofErr w:type="gramEnd"/>
          </w:p>
          <w:p w14:paraId="09A8772C" w14:textId="77777777" w:rsidR="00625DC0" w:rsidRDefault="00625DC0" w:rsidP="00625DC0">
            <w:pPr>
              <w:spacing w:line="240" w:lineRule="exact"/>
            </w:pPr>
            <w:r>
              <w:t>20 avril 2020</w:t>
            </w:r>
          </w:p>
          <w:p w14:paraId="1EF07933" w14:textId="77777777" w:rsidR="00625DC0" w:rsidRDefault="00625DC0" w:rsidP="00625DC0">
            <w:pPr>
              <w:spacing w:line="240" w:lineRule="exact"/>
            </w:pPr>
            <w:r>
              <w:t>Français</w:t>
            </w:r>
          </w:p>
          <w:p w14:paraId="0A66656F" w14:textId="77777777" w:rsidR="00625DC0" w:rsidRPr="00DB58B5" w:rsidRDefault="00625DC0" w:rsidP="00625DC0">
            <w:pPr>
              <w:spacing w:line="240" w:lineRule="exact"/>
            </w:pPr>
            <w:r>
              <w:t>Original : anglais</w:t>
            </w:r>
          </w:p>
        </w:tc>
      </w:tr>
    </w:tbl>
    <w:p w14:paraId="6D6A9803" w14:textId="77777777" w:rsidR="00625DC0" w:rsidRPr="00CA0680" w:rsidRDefault="00625DC0" w:rsidP="000305D3">
      <w:pPr>
        <w:spacing w:before="120"/>
        <w:rPr>
          <w:b/>
          <w:sz w:val="24"/>
          <w:szCs w:val="24"/>
        </w:rPr>
      </w:pPr>
      <w:r w:rsidRPr="00CA0680">
        <w:rPr>
          <w:b/>
          <w:sz w:val="24"/>
          <w:szCs w:val="24"/>
        </w:rPr>
        <w:t>Comité d</w:t>
      </w:r>
      <w:r w:rsidR="004F0AEA">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4F0AEA">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2D56A6B9" w14:textId="77777777" w:rsidR="00625DC0" w:rsidRPr="00CA0680" w:rsidRDefault="00625DC0" w:rsidP="000305D3">
      <w:pPr>
        <w:spacing w:before="120"/>
        <w:rPr>
          <w:b/>
        </w:rPr>
      </w:pPr>
      <w:r w:rsidRPr="00CA0680">
        <w:rPr>
          <w:b/>
        </w:rPr>
        <w:t>Sous</w:t>
      </w:r>
      <w:r>
        <w:rPr>
          <w:b/>
        </w:rPr>
        <w:t>-</w:t>
      </w:r>
      <w:r w:rsidRPr="00CA0680">
        <w:rPr>
          <w:b/>
        </w:rPr>
        <w:t>Comité d</w:t>
      </w:r>
      <w:r w:rsidR="004F0AEA">
        <w:rPr>
          <w:b/>
        </w:rPr>
        <w:t>’</w:t>
      </w:r>
      <w:r w:rsidRPr="00CA0680">
        <w:rPr>
          <w:b/>
        </w:rPr>
        <w:t xml:space="preserve">experts </w:t>
      </w:r>
      <w:r>
        <w:rPr>
          <w:b/>
        </w:rPr>
        <w:t>du Système général harmonisé</w:t>
      </w:r>
      <w:r>
        <w:rPr>
          <w:b/>
        </w:rPr>
        <w:br/>
        <w:t>de classification et d</w:t>
      </w:r>
      <w:r w:rsidR="004F0AEA">
        <w:rPr>
          <w:b/>
        </w:rPr>
        <w:t>’</w:t>
      </w:r>
      <w:r>
        <w:rPr>
          <w:b/>
        </w:rPr>
        <w:t>étiquetage des produits chimiques</w:t>
      </w:r>
    </w:p>
    <w:p w14:paraId="7046D5F4" w14:textId="77777777" w:rsidR="00625DC0" w:rsidRDefault="00625DC0" w:rsidP="000305D3">
      <w:pPr>
        <w:spacing w:before="120"/>
        <w:rPr>
          <w:b/>
        </w:rPr>
      </w:pPr>
      <w:r>
        <w:rPr>
          <w:b/>
          <w:bCs/>
          <w:lang w:val="fr-FR"/>
        </w:rPr>
        <w:t>Trente-neuvième</w:t>
      </w:r>
      <w:r w:rsidRPr="00CA0680">
        <w:rPr>
          <w:b/>
        </w:rPr>
        <w:t xml:space="preserve"> session</w:t>
      </w:r>
    </w:p>
    <w:p w14:paraId="688AEE2B" w14:textId="77777777" w:rsidR="00625DC0" w:rsidRDefault="00625DC0" w:rsidP="000305D3">
      <w:r>
        <w:t xml:space="preserve">Genève, </w:t>
      </w:r>
      <w:r>
        <w:rPr>
          <w:lang w:val="fr-FR"/>
        </w:rPr>
        <w:t>8-10 juillet 2020</w:t>
      </w:r>
    </w:p>
    <w:p w14:paraId="34DFE3A1" w14:textId="77777777" w:rsidR="00625DC0" w:rsidRDefault="00625DC0" w:rsidP="000305D3">
      <w:r>
        <w:t>Point </w:t>
      </w:r>
      <w:r>
        <w:rPr>
          <w:lang w:val="fr-FR"/>
        </w:rPr>
        <w:t xml:space="preserve">2 f) </w:t>
      </w:r>
      <w:r>
        <w:t>de l</w:t>
      </w:r>
      <w:r w:rsidR="004F0AEA">
        <w:t>’</w:t>
      </w:r>
      <w:r>
        <w:t>ordre du jour provisoire</w:t>
      </w:r>
    </w:p>
    <w:p w14:paraId="0C2C6292" w14:textId="77777777" w:rsidR="00625DC0" w:rsidRDefault="00625DC0" w:rsidP="00625DC0">
      <w:pPr>
        <w:rPr>
          <w:b/>
          <w:bCs/>
          <w:lang w:val="fr-FR"/>
        </w:rPr>
      </w:pPr>
      <w:r>
        <w:rPr>
          <w:b/>
          <w:bCs/>
          <w:lang w:val="fr-FR"/>
        </w:rPr>
        <w:t>Critères de classification et communication des dangers y relatifs</w:t>
      </w:r>
      <w:r w:rsidR="004F0AEA">
        <w:rPr>
          <w:b/>
          <w:bCs/>
          <w:lang w:val="fr-FR"/>
        </w:rPr>
        <w:t> </w:t>
      </w:r>
      <w:r>
        <w:rPr>
          <w:b/>
          <w:bCs/>
          <w:lang w:val="fr-FR"/>
        </w:rPr>
        <w:t>:</w:t>
      </w:r>
    </w:p>
    <w:p w14:paraId="1DCE2EAB" w14:textId="77777777" w:rsidR="00625DC0" w:rsidRPr="001B1F0F" w:rsidRDefault="00625DC0" w:rsidP="00625DC0">
      <w:pPr>
        <w:rPr>
          <w:lang w:val="fr-FR"/>
        </w:rPr>
      </w:pPr>
      <w:r>
        <w:rPr>
          <w:b/>
          <w:bCs/>
          <w:lang w:val="fr-FR"/>
        </w:rPr>
        <w:t>Questions pratiques de classification</w:t>
      </w:r>
    </w:p>
    <w:p w14:paraId="09E10F5F" w14:textId="77777777" w:rsidR="00625DC0" w:rsidRPr="001B1F0F" w:rsidRDefault="00625DC0" w:rsidP="00C3498F">
      <w:pPr>
        <w:pStyle w:val="HChG"/>
        <w:rPr>
          <w:lang w:val="fr-FR"/>
        </w:rPr>
      </w:pPr>
      <w:r>
        <w:rPr>
          <w:lang w:val="fr-FR"/>
        </w:rPr>
        <w:tab/>
      </w:r>
      <w:r>
        <w:rPr>
          <w:lang w:val="fr-FR"/>
        </w:rPr>
        <w:tab/>
        <w:t>Proposition tendant à régler des questions inscrites au</w:t>
      </w:r>
      <w:r w:rsidR="00C3498F">
        <w:rPr>
          <w:lang w:val="fr-FR"/>
        </w:rPr>
        <w:t> </w:t>
      </w:r>
      <w:r>
        <w:rPr>
          <w:lang w:val="fr-FR"/>
        </w:rPr>
        <w:t>programme de travail du groupe de travail par</w:t>
      </w:r>
      <w:r w:rsidR="00C3498F">
        <w:rPr>
          <w:lang w:val="fr-FR"/>
        </w:rPr>
        <w:t> </w:t>
      </w:r>
      <w:r>
        <w:rPr>
          <w:lang w:val="fr-FR"/>
        </w:rPr>
        <w:t xml:space="preserve">correspondance chargé des questions </w:t>
      </w:r>
      <w:r w:rsidR="00C3498F">
        <w:rPr>
          <w:lang w:val="fr-FR"/>
        </w:rPr>
        <w:br/>
      </w:r>
      <w:r>
        <w:rPr>
          <w:lang w:val="fr-FR"/>
        </w:rPr>
        <w:t>pratiques de classification</w:t>
      </w:r>
    </w:p>
    <w:p w14:paraId="1A175A4C" w14:textId="77777777" w:rsidR="00625DC0" w:rsidRPr="001B1F0F" w:rsidRDefault="00625DC0" w:rsidP="00C3498F">
      <w:pPr>
        <w:pStyle w:val="H1G"/>
        <w:rPr>
          <w:lang w:val="fr-FR"/>
        </w:rPr>
      </w:pPr>
      <w:r>
        <w:rPr>
          <w:lang w:val="fr-FR"/>
        </w:rPr>
        <w:tab/>
      </w:r>
      <w:r>
        <w:rPr>
          <w:lang w:val="fr-FR"/>
        </w:rPr>
        <w:tab/>
        <w:t>Communication de l</w:t>
      </w:r>
      <w:r w:rsidR="004F0AEA">
        <w:rPr>
          <w:lang w:val="fr-FR"/>
        </w:rPr>
        <w:t>’</w:t>
      </w:r>
      <w:r>
        <w:rPr>
          <w:lang w:val="fr-FR"/>
        </w:rPr>
        <w:t>expert des États-Unis d</w:t>
      </w:r>
      <w:r w:rsidR="004F0AEA">
        <w:rPr>
          <w:lang w:val="fr-FR"/>
        </w:rPr>
        <w:t>’</w:t>
      </w:r>
      <w:r>
        <w:rPr>
          <w:lang w:val="fr-FR"/>
        </w:rPr>
        <w:t>Amérique au nom du</w:t>
      </w:r>
      <w:r w:rsidR="004F0AEA">
        <w:rPr>
          <w:lang w:val="fr-FR"/>
        </w:rPr>
        <w:t> </w:t>
      </w:r>
      <w:r>
        <w:rPr>
          <w:lang w:val="fr-FR"/>
        </w:rPr>
        <w:t xml:space="preserve">groupe de travail par correspondance chargé </w:t>
      </w:r>
      <w:r w:rsidR="004F0AEA">
        <w:rPr>
          <w:lang w:val="fr-FR"/>
        </w:rPr>
        <w:br/>
      </w:r>
      <w:r>
        <w:rPr>
          <w:lang w:val="fr-FR"/>
        </w:rPr>
        <w:t>des questions pratiques de classification</w:t>
      </w:r>
      <w:r w:rsidR="004F0AEA" w:rsidRPr="004F0AEA">
        <w:rPr>
          <w:rStyle w:val="FootnoteReference"/>
          <w:b w:val="0"/>
          <w:bCs/>
          <w:sz w:val="20"/>
          <w:vertAlign w:val="baseline"/>
        </w:rPr>
        <w:footnoteReference w:customMarkFollows="1" w:id="2"/>
        <w:t>*</w:t>
      </w:r>
    </w:p>
    <w:p w14:paraId="0CEFE496" w14:textId="77777777" w:rsidR="00625DC0" w:rsidRPr="001B1F0F" w:rsidRDefault="00625DC0" w:rsidP="00C3498F">
      <w:pPr>
        <w:pStyle w:val="HChG"/>
        <w:rPr>
          <w:lang w:val="fr-FR"/>
        </w:rPr>
      </w:pPr>
      <w:r>
        <w:rPr>
          <w:lang w:val="fr-FR"/>
        </w:rPr>
        <w:tab/>
      </w:r>
      <w:r>
        <w:rPr>
          <w:lang w:val="fr-FR"/>
        </w:rPr>
        <w:tab/>
        <w:t>Objet</w:t>
      </w:r>
    </w:p>
    <w:p w14:paraId="6A211333" w14:textId="77777777" w:rsidR="00625DC0" w:rsidRPr="001B1F0F" w:rsidRDefault="00625DC0" w:rsidP="00C3498F">
      <w:pPr>
        <w:pStyle w:val="SingleTxtG"/>
        <w:rPr>
          <w:lang w:val="fr-FR"/>
        </w:rPr>
      </w:pPr>
      <w:r>
        <w:rPr>
          <w:lang w:val="fr-FR"/>
        </w:rPr>
        <w:t>1.</w:t>
      </w:r>
      <w:r>
        <w:rPr>
          <w:lang w:val="fr-FR"/>
        </w:rPr>
        <w:tab/>
        <w:t>Il a été convenu que le groupe de travail par correspondance chargé des questions pratiques de classification s</w:t>
      </w:r>
      <w:r w:rsidR="004F0AEA">
        <w:rPr>
          <w:lang w:val="fr-FR"/>
        </w:rPr>
        <w:t>’</w:t>
      </w:r>
      <w:r>
        <w:rPr>
          <w:lang w:val="fr-FR"/>
        </w:rPr>
        <w:t>emploierait, dans le cadre de ses travaux, à préciser l</w:t>
      </w:r>
      <w:r w:rsidR="004F0AEA">
        <w:rPr>
          <w:lang w:val="fr-FR"/>
        </w:rPr>
        <w:t>’</w:t>
      </w:r>
      <w:r>
        <w:rPr>
          <w:lang w:val="fr-FR"/>
        </w:rPr>
        <w:t>application des critères du SGH, notamment en élaborant des propositions d</w:t>
      </w:r>
      <w:r w:rsidR="004F0AEA">
        <w:rPr>
          <w:lang w:val="fr-FR"/>
        </w:rPr>
        <w:t>’</w:t>
      </w:r>
      <w:r>
        <w:rPr>
          <w:lang w:val="fr-FR"/>
        </w:rPr>
        <w:t>amendements au SGH ou, selon les besoins, des exemples concernant l</w:t>
      </w:r>
      <w:r w:rsidR="004F0AEA">
        <w:rPr>
          <w:lang w:val="fr-FR"/>
        </w:rPr>
        <w:t>’</w:t>
      </w:r>
      <w:r>
        <w:rPr>
          <w:lang w:val="fr-FR"/>
        </w:rPr>
        <w:t>application des critères et toute question connexe relative à la communication des dangers. Dans le présent document, le groupe de travail donne des exemples de l</w:t>
      </w:r>
      <w:r w:rsidR="004F0AEA">
        <w:rPr>
          <w:lang w:val="fr-FR"/>
        </w:rPr>
        <w:t>’</w:t>
      </w:r>
      <w:r>
        <w:rPr>
          <w:lang w:val="fr-FR"/>
        </w:rPr>
        <w:t>application des critères du SGH.</w:t>
      </w:r>
    </w:p>
    <w:p w14:paraId="11EA7B06" w14:textId="77777777" w:rsidR="00625DC0" w:rsidRPr="001B1F0F" w:rsidRDefault="00625DC0" w:rsidP="00C3498F">
      <w:pPr>
        <w:pStyle w:val="HChG"/>
        <w:rPr>
          <w:lang w:val="fr-FR"/>
        </w:rPr>
      </w:pPr>
      <w:r>
        <w:rPr>
          <w:lang w:val="fr-FR"/>
        </w:rPr>
        <w:tab/>
      </w:r>
      <w:r>
        <w:rPr>
          <w:lang w:val="fr-FR"/>
        </w:rPr>
        <w:tab/>
        <w:t>Contexte</w:t>
      </w:r>
    </w:p>
    <w:p w14:paraId="6B7E5371" w14:textId="77777777" w:rsidR="00625DC0" w:rsidRPr="001B1F0F" w:rsidRDefault="00625DC0" w:rsidP="00C3498F">
      <w:pPr>
        <w:pStyle w:val="SingleTxtG"/>
        <w:rPr>
          <w:lang w:val="fr-FR"/>
        </w:rPr>
      </w:pPr>
      <w:r>
        <w:rPr>
          <w:lang w:val="fr-FR"/>
        </w:rPr>
        <w:t>2.</w:t>
      </w:r>
      <w:r>
        <w:rPr>
          <w:lang w:val="fr-FR"/>
        </w:rPr>
        <w:tab/>
        <w:t>À sa vingt-huitième session, le Sous-Comité a approuvé le programme de travail du groupe de travail</w:t>
      </w:r>
      <w:r>
        <w:rPr>
          <w:rStyle w:val="FootnoteReference"/>
          <w:lang w:val="fr-FR"/>
        </w:rPr>
        <w:footnoteReference w:customMarkFollows="1" w:id="3"/>
        <w:t>1</w:t>
      </w:r>
      <w:r>
        <w:rPr>
          <w:lang w:val="fr-FR"/>
        </w:rPr>
        <w:t>, qui comporte un point consacré à l</w:t>
      </w:r>
      <w:r w:rsidR="004F0AEA">
        <w:rPr>
          <w:lang w:val="fr-FR"/>
        </w:rPr>
        <w:t>’</w:t>
      </w:r>
      <w:r>
        <w:rPr>
          <w:lang w:val="fr-FR"/>
        </w:rPr>
        <w:t>élaboration d</w:t>
      </w:r>
      <w:r w:rsidR="004F0AEA">
        <w:rPr>
          <w:lang w:val="fr-FR"/>
        </w:rPr>
        <w:t>’</w:t>
      </w:r>
      <w:r>
        <w:rPr>
          <w:lang w:val="fr-FR"/>
        </w:rPr>
        <w:t>orientations, sous la forme d</w:t>
      </w:r>
      <w:r w:rsidR="004F0AEA">
        <w:rPr>
          <w:lang w:val="fr-FR"/>
        </w:rPr>
        <w:t>’</w:t>
      </w:r>
      <w:r>
        <w:rPr>
          <w:lang w:val="fr-FR"/>
        </w:rPr>
        <w:t xml:space="preserve">un ou de plusieurs exemples destinés à expliquer la manière dont peuvent être interprétées les considérations générales relatives à la toxicité pour certains organes cibles, </w:t>
      </w:r>
      <w:proofErr w:type="gramStart"/>
      <w:r>
        <w:rPr>
          <w:lang w:val="fr-FR"/>
        </w:rPr>
        <w:lastRenderedPageBreak/>
        <w:t>en</w:t>
      </w:r>
      <w:proofErr w:type="gramEnd"/>
      <w:r>
        <w:rPr>
          <w:lang w:val="fr-FR"/>
        </w:rPr>
        <w:t xml:space="preserve"> ce qui concerne tant l</w:t>
      </w:r>
      <w:r w:rsidR="004F0AEA">
        <w:rPr>
          <w:lang w:val="fr-FR"/>
        </w:rPr>
        <w:t>’</w:t>
      </w:r>
      <w:r>
        <w:rPr>
          <w:lang w:val="fr-FR"/>
        </w:rPr>
        <w:t>exposition unique que les expositions répétées (par. 3.8.1.1 et 3.9.1.1 respectivement), dont les effets, visés dans des chapitres consacrés aux autres dangers pour la santé (à savoir les chapitres 3.1 à 3.7 et 3.10), ne sont pas pris en compte dans la classification de la toxicité pour certains organes cibles.</w:t>
      </w:r>
    </w:p>
    <w:p w14:paraId="68541414" w14:textId="77777777" w:rsidR="00625DC0" w:rsidRPr="001B1F0F" w:rsidRDefault="00625DC0" w:rsidP="00C3498F">
      <w:pPr>
        <w:pStyle w:val="SingleTxtG"/>
        <w:rPr>
          <w:lang w:val="fr-FR"/>
        </w:rPr>
      </w:pPr>
      <w:r w:rsidRPr="00236B59">
        <w:rPr>
          <w:lang w:val="fr-FR"/>
        </w:rPr>
        <w:t>3</w:t>
      </w:r>
      <w:r>
        <w:rPr>
          <w:lang w:val="fr-FR"/>
        </w:rPr>
        <w:t>.</w:t>
      </w:r>
      <w:r>
        <w:rPr>
          <w:lang w:val="fr-FR"/>
        </w:rPr>
        <w:tab/>
        <w:t>Le premier document de réflexion consacré à cette question a été examiné à une réunion du groupe de travail à l</w:t>
      </w:r>
      <w:r w:rsidR="004F0AEA">
        <w:rPr>
          <w:lang w:val="fr-FR"/>
        </w:rPr>
        <w:t>’</w:t>
      </w:r>
      <w:r>
        <w:rPr>
          <w:lang w:val="fr-FR"/>
        </w:rPr>
        <w:t>occasion de la trente-troisième session du Sous-Comité. Les membres du groupe de travail ont pris un certain temps avant de s</w:t>
      </w:r>
      <w:r w:rsidR="004F0AEA">
        <w:rPr>
          <w:lang w:val="fr-FR"/>
        </w:rPr>
        <w:t>’</w:t>
      </w:r>
      <w:r>
        <w:rPr>
          <w:lang w:val="fr-FR"/>
        </w:rPr>
        <w:t>accorder quant à la nécessité d</w:t>
      </w:r>
      <w:r w:rsidR="004F0AEA">
        <w:rPr>
          <w:lang w:val="fr-FR"/>
        </w:rPr>
        <w:t>’</w:t>
      </w:r>
      <w:r>
        <w:rPr>
          <w:lang w:val="fr-FR"/>
        </w:rPr>
        <w:t xml:space="preserve">exemples. Un document </w:t>
      </w:r>
      <w:r w:rsidRPr="00C3498F">
        <w:rPr>
          <w:lang w:val="fr-FR"/>
        </w:rPr>
        <w:t>de réflexion comportant trois exemples a</w:t>
      </w:r>
      <w:r>
        <w:rPr>
          <w:lang w:val="fr-FR"/>
        </w:rPr>
        <w:t xml:space="preserve"> ensuite été présenté à la réunion du groupe de travail tenue en marge de la trente-cinquième session du Sous-Comité. Après avoir examiné et révisé plusieurs documents de réflexion au cours des dernières années, le groupe de travail dispose à présent de cinq exemples pour examen.</w:t>
      </w:r>
    </w:p>
    <w:p w14:paraId="7C93312F" w14:textId="77777777" w:rsidR="00625DC0" w:rsidRPr="001B1F0F" w:rsidRDefault="00625DC0" w:rsidP="00C3498F">
      <w:pPr>
        <w:pStyle w:val="HChG"/>
        <w:rPr>
          <w:lang w:val="fr-FR"/>
        </w:rPr>
      </w:pPr>
      <w:r>
        <w:rPr>
          <w:lang w:val="fr-FR"/>
        </w:rPr>
        <w:tab/>
      </w:r>
      <w:r>
        <w:rPr>
          <w:lang w:val="fr-FR"/>
        </w:rPr>
        <w:tab/>
        <w:t>Proposition</w:t>
      </w:r>
    </w:p>
    <w:p w14:paraId="35D2C3D2" w14:textId="77777777" w:rsidR="00446FE5" w:rsidRDefault="00625DC0" w:rsidP="00C3498F">
      <w:pPr>
        <w:pStyle w:val="SingleTxtG"/>
        <w:rPr>
          <w:lang w:val="fr-FR"/>
        </w:rPr>
      </w:pPr>
      <w:r>
        <w:rPr>
          <w:lang w:val="fr-FR"/>
        </w:rPr>
        <w:t>4.</w:t>
      </w:r>
      <w:r>
        <w:rPr>
          <w:lang w:val="fr-FR"/>
        </w:rPr>
        <w:tab/>
        <w:t>Le groupe de travail invite le Sous-Comité à examiner les exemples annexés au présent document.</w:t>
      </w:r>
    </w:p>
    <w:p w14:paraId="71AF30EB" w14:textId="77777777" w:rsidR="00625DC0" w:rsidRPr="001B1F0F" w:rsidRDefault="00625DC0" w:rsidP="00CD5C88">
      <w:pPr>
        <w:pStyle w:val="HChG"/>
        <w:rPr>
          <w:lang w:val="fr-FR"/>
        </w:rPr>
      </w:pPr>
      <w:r>
        <w:rPr>
          <w:lang w:val="fr-FR"/>
        </w:rPr>
        <w:br w:type="page"/>
      </w:r>
      <w:r>
        <w:rPr>
          <w:lang w:val="fr-FR"/>
        </w:rPr>
        <w:lastRenderedPageBreak/>
        <w:tab/>
      </w:r>
      <w:r>
        <w:rPr>
          <w:lang w:val="fr-FR"/>
        </w:rPr>
        <w:tab/>
        <w:t>Annexe</w:t>
      </w:r>
    </w:p>
    <w:p w14:paraId="68F49B35" w14:textId="77777777" w:rsidR="00625DC0" w:rsidRPr="001B1F0F" w:rsidRDefault="00625DC0" w:rsidP="00CD5C88">
      <w:pPr>
        <w:pStyle w:val="SingleTxtG"/>
        <w:rPr>
          <w:lang w:val="fr-FR"/>
        </w:rPr>
      </w:pPr>
      <w:r>
        <w:rPr>
          <w:lang w:val="fr-FR"/>
        </w:rPr>
        <w:t>On trouvera ci-après cinq exemples destinés à expliquer la manière dont peuvent être interprétées les considérations générales relatives à la toxicité pour certains organes cibles, en ce qui concerne tant l</w:t>
      </w:r>
      <w:r w:rsidR="004F0AEA">
        <w:rPr>
          <w:lang w:val="fr-FR"/>
        </w:rPr>
        <w:t>’</w:t>
      </w:r>
      <w:r>
        <w:rPr>
          <w:lang w:val="fr-FR"/>
        </w:rPr>
        <w:t>exposition unique que les expositions répétées (par.</w:t>
      </w:r>
      <w:r w:rsidR="00C82D49">
        <w:rPr>
          <w:lang w:val="fr-FR"/>
        </w:rPr>
        <w:t> </w:t>
      </w:r>
      <w:r>
        <w:rPr>
          <w:lang w:val="fr-FR"/>
        </w:rPr>
        <w:t>3.8.1.1 et 3.9.1.1 respectivement), dont les effets, visés dans des chapitres consacrés aux autres dangers pour la santé (à savoir les chapitres</w:t>
      </w:r>
      <w:r w:rsidR="00C82D49">
        <w:rPr>
          <w:lang w:val="fr-FR"/>
        </w:rPr>
        <w:t> </w:t>
      </w:r>
      <w:r>
        <w:rPr>
          <w:lang w:val="fr-FR"/>
        </w:rPr>
        <w:t>3.1 à 3.7 et 3.10), ne sont pas pris en compte dans la classification de la toxicité pour certains organes cibles.</w:t>
      </w:r>
    </w:p>
    <w:p w14:paraId="0AF33991" w14:textId="77777777" w:rsidR="00625DC0" w:rsidRPr="001B1F0F" w:rsidRDefault="00625DC0" w:rsidP="00CD5C88">
      <w:pPr>
        <w:pStyle w:val="H1G"/>
        <w:rPr>
          <w:lang w:val="fr-FR"/>
        </w:rPr>
      </w:pPr>
      <w:r>
        <w:rPr>
          <w:lang w:val="fr-FR"/>
        </w:rPr>
        <w:tab/>
      </w:r>
      <w:r>
        <w:rPr>
          <w:lang w:val="fr-FR"/>
        </w:rPr>
        <w:tab/>
        <w:t>Exemple 1</w:t>
      </w:r>
    </w:p>
    <w:p w14:paraId="2FF42613" w14:textId="77777777" w:rsidR="00625DC0" w:rsidRPr="001B1F0F" w:rsidRDefault="00625DC0" w:rsidP="00CD5C88">
      <w:pPr>
        <w:pStyle w:val="SingleTxtG"/>
        <w:rPr>
          <w:lang w:val="fr-FR"/>
        </w:rPr>
      </w:pPr>
      <w:r>
        <w:rPr>
          <w:lang w:val="fr-FR"/>
        </w:rPr>
        <w:t xml:space="preserve">Le présent exemple porte sur les critères énoncés aux 3.8.1.1 et 3.8.1.6, selon lesquels on ne devrait pas affecter une matière à la classe de danger « toxicité pour certains organes cibles </w:t>
      </w:r>
      <w:r w:rsidR="00CD5C88">
        <w:rPr>
          <w:lang w:val="fr-FR"/>
        </w:rPr>
        <w:t>−</w:t>
      </w:r>
      <w:r>
        <w:rPr>
          <w:lang w:val="fr-FR"/>
        </w:rPr>
        <w:t xml:space="preserve"> exposition unique » lorsque, après une exposition unique, on observe des effets néfastes graves pour la santé (y compris le décès) sur un organe cible, qui correspondent aux critères de la classe de danger « toxicité aiguë ».</w:t>
      </w:r>
    </w:p>
    <w:p w14:paraId="44657BCC" w14:textId="77777777" w:rsidR="00625DC0" w:rsidRPr="001B1F0F" w:rsidRDefault="00625DC0" w:rsidP="00CD5C88">
      <w:pPr>
        <w:pStyle w:val="H23G"/>
        <w:rPr>
          <w:lang w:val="fr-FR"/>
        </w:rPr>
      </w:pPr>
      <w:r>
        <w:rPr>
          <w:lang w:val="fr-FR"/>
        </w:rPr>
        <w:tab/>
      </w:r>
      <w:r>
        <w:rPr>
          <w:lang w:val="fr-FR"/>
        </w:rPr>
        <w:tab/>
        <w:t>Informations sur la matière 1</w:t>
      </w:r>
    </w:p>
    <w:p w14:paraId="044B133C" w14:textId="77777777" w:rsidR="00625DC0" w:rsidRPr="001B1F0F" w:rsidRDefault="00625DC0" w:rsidP="00CD5C88">
      <w:pPr>
        <w:pStyle w:val="H23G"/>
        <w:rPr>
          <w:lang w:val="fr-FR"/>
        </w:rPr>
      </w:pPr>
      <w:r>
        <w:rPr>
          <w:lang w:val="fr-FR"/>
        </w:rPr>
        <w:tab/>
      </w:r>
      <w:r>
        <w:rPr>
          <w:lang w:val="fr-FR"/>
        </w:rPr>
        <w:tab/>
        <w:t>Données</w:t>
      </w:r>
    </w:p>
    <w:p w14:paraId="4F2D9B45" w14:textId="77777777" w:rsidR="00625DC0" w:rsidRDefault="00625DC0" w:rsidP="00CD5C88">
      <w:pPr>
        <w:pStyle w:val="H4G"/>
        <w:rPr>
          <w:lang w:val="fr-FR"/>
        </w:rPr>
      </w:pPr>
      <w:r>
        <w:rPr>
          <w:lang w:val="fr-FR"/>
        </w:rPr>
        <w:tab/>
      </w:r>
      <w:r>
        <w:rPr>
          <w:lang w:val="fr-FR"/>
        </w:rPr>
        <w:tab/>
        <w:t>Données obtenues sur la base d</w:t>
      </w:r>
      <w:r w:rsidR="004F0AEA">
        <w:rPr>
          <w:lang w:val="fr-FR"/>
        </w:rPr>
        <w:t>’</w:t>
      </w:r>
      <w:r>
        <w:rPr>
          <w:lang w:val="fr-FR"/>
        </w:rPr>
        <w:t xml:space="preserve">expérimentations </w:t>
      </w:r>
      <w:r w:rsidR="00CD5C88">
        <w:rPr>
          <w:lang w:val="fr-FR"/>
        </w:rPr>
        <w:br/>
      </w:r>
      <w:r>
        <w:rPr>
          <w:lang w:val="fr-FR"/>
        </w:rPr>
        <w:t>sur des animaux concernant la</w:t>
      </w:r>
      <w:r w:rsidR="00003E1F">
        <w:rPr>
          <w:lang w:val="fr-FR"/>
        </w:rPr>
        <w:t xml:space="preserve"> </w:t>
      </w:r>
      <w:r>
        <w:rPr>
          <w:lang w:val="fr-FR"/>
        </w:rPr>
        <w:t>toxicité aiguë</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840"/>
        <w:gridCol w:w="1113"/>
        <w:gridCol w:w="4682"/>
      </w:tblGrid>
      <w:tr w:rsidR="00625DC0" w:rsidRPr="00EE1504" w14:paraId="3BF3CA11" w14:textId="77777777" w:rsidTr="006558AB">
        <w:trPr>
          <w:jc w:val="center"/>
        </w:trPr>
        <w:tc>
          <w:tcPr>
            <w:tcW w:w="846" w:type="dxa"/>
            <w:shd w:val="clear" w:color="auto" w:fill="auto"/>
          </w:tcPr>
          <w:p w14:paraId="23AA81EE" w14:textId="77777777" w:rsidR="00625DC0" w:rsidRPr="00EE1504" w:rsidRDefault="00CD5C88" w:rsidP="006558AB">
            <w:pPr>
              <w:jc w:val="center"/>
              <w:rPr>
                <w:rFonts w:eastAsia="Times New Roman"/>
                <w:b/>
                <w:color w:val="000000"/>
                <w:shd w:val="clear" w:color="auto" w:fill="FFFFFF"/>
              </w:rPr>
            </w:pPr>
            <w:r w:rsidRPr="00A200CD">
              <w:rPr>
                <w:rFonts w:eastAsia="Times New Roman"/>
                <w:b/>
                <w:bCs/>
                <w:color w:val="000000"/>
                <w:sz w:val="18"/>
                <w:szCs w:val="18"/>
                <w:shd w:val="clear" w:color="auto" w:fill="FFFFFF"/>
                <w:lang w:val="fr-FR"/>
              </w:rPr>
              <w:t>Voie d</w:t>
            </w:r>
            <w:r w:rsidR="004F0AEA">
              <w:rPr>
                <w:rFonts w:eastAsia="Times New Roman"/>
                <w:b/>
                <w:bCs/>
                <w:color w:val="000000"/>
                <w:sz w:val="18"/>
                <w:szCs w:val="18"/>
                <w:shd w:val="clear" w:color="auto" w:fill="FFFFFF"/>
                <w:lang w:val="fr-FR"/>
              </w:rPr>
              <w:t>’</w:t>
            </w:r>
            <w:r w:rsidRPr="00A200CD">
              <w:rPr>
                <w:rFonts w:eastAsia="Times New Roman"/>
                <w:b/>
                <w:bCs/>
                <w:color w:val="000000"/>
                <w:sz w:val="18"/>
                <w:szCs w:val="18"/>
                <w:shd w:val="clear" w:color="auto" w:fill="FFFFFF"/>
                <w:lang w:val="fr-FR"/>
              </w:rPr>
              <w:t>exposition</w:t>
            </w:r>
          </w:p>
        </w:tc>
        <w:tc>
          <w:tcPr>
            <w:tcW w:w="850" w:type="dxa"/>
            <w:shd w:val="clear" w:color="auto" w:fill="auto"/>
          </w:tcPr>
          <w:p w14:paraId="5F475576" w14:textId="77777777" w:rsidR="00625DC0" w:rsidRPr="00A200CD" w:rsidRDefault="00CD5C88" w:rsidP="006558AB">
            <w:pPr>
              <w:jc w:val="center"/>
              <w:rPr>
                <w:rFonts w:eastAsia="Times New Roman"/>
                <w:b/>
                <w:bCs/>
                <w:color w:val="000000"/>
                <w:sz w:val="18"/>
                <w:szCs w:val="18"/>
                <w:shd w:val="clear" w:color="auto" w:fill="FFFFFF"/>
                <w:lang w:val="fr-FR"/>
              </w:rPr>
            </w:pPr>
            <w:r w:rsidRPr="00A200CD">
              <w:rPr>
                <w:rFonts w:eastAsia="Times New Roman"/>
                <w:b/>
                <w:bCs/>
                <w:color w:val="000000"/>
                <w:sz w:val="18"/>
                <w:szCs w:val="18"/>
                <w:shd w:val="clear" w:color="auto" w:fill="FFFFFF"/>
                <w:lang w:val="fr-FR"/>
              </w:rPr>
              <w:t>Espèce</w:t>
            </w:r>
          </w:p>
        </w:tc>
        <w:tc>
          <w:tcPr>
            <w:tcW w:w="1134" w:type="dxa"/>
            <w:shd w:val="clear" w:color="auto" w:fill="auto"/>
          </w:tcPr>
          <w:p w14:paraId="4EA66D14" w14:textId="77777777" w:rsidR="00625DC0" w:rsidRPr="00EE1504" w:rsidRDefault="00CD5C88" w:rsidP="006558AB">
            <w:pPr>
              <w:jc w:val="center"/>
              <w:rPr>
                <w:rFonts w:eastAsia="Times New Roman"/>
                <w:b/>
                <w:color w:val="000000"/>
                <w:shd w:val="clear" w:color="auto" w:fill="FFFFFF"/>
              </w:rPr>
            </w:pPr>
            <w:r w:rsidRPr="00A200CD">
              <w:rPr>
                <w:rFonts w:eastAsia="Times New Roman"/>
                <w:b/>
                <w:bCs/>
                <w:color w:val="000000"/>
                <w:sz w:val="18"/>
                <w:szCs w:val="18"/>
                <w:shd w:val="clear" w:color="auto" w:fill="FFFFFF"/>
                <w:lang w:val="fr-FR"/>
              </w:rPr>
              <w:t>Valeur de la dose létale moyenne (DL50)</w:t>
            </w:r>
          </w:p>
        </w:tc>
        <w:tc>
          <w:tcPr>
            <w:tcW w:w="4962" w:type="dxa"/>
            <w:shd w:val="clear" w:color="auto" w:fill="auto"/>
          </w:tcPr>
          <w:p w14:paraId="61B3709B" w14:textId="77777777" w:rsidR="00625DC0" w:rsidRPr="00EE1504" w:rsidRDefault="00CD5C88" w:rsidP="006558AB">
            <w:pPr>
              <w:jc w:val="center"/>
              <w:rPr>
                <w:rFonts w:eastAsia="Times New Roman"/>
                <w:b/>
                <w:color w:val="000000"/>
                <w:shd w:val="clear" w:color="auto" w:fill="FFFFFF"/>
              </w:rPr>
            </w:pPr>
            <w:r w:rsidRPr="00A200CD">
              <w:rPr>
                <w:rFonts w:eastAsia="Times New Roman"/>
                <w:b/>
                <w:bCs/>
                <w:color w:val="000000"/>
                <w:sz w:val="18"/>
                <w:szCs w:val="18"/>
                <w:shd w:val="clear" w:color="auto" w:fill="FFFFFF"/>
                <w:lang w:val="fr-FR"/>
              </w:rPr>
              <w:t>Observations</w:t>
            </w:r>
          </w:p>
        </w:tc>
      </w:tr>
      <w:tr w:rsidR="00625DC0" w:rsidRPr="00CD5C88" w14:paraId="2F6EA5EC" w14:textId="77777777" w:rsidTr="006558AB">
        <w:trPr>
          <w:trHeight w:val="951"/>
          <w:jc w:val="center"/>
        </w:trPr>
        <w:tc>
          <w:tcPr>
            <w:tcW w:w="846" w:type="dxa"/>
            <w:shd w:val="clear" w:color="auto" w:fill="auto"/>
          </w:tcPr>
          <w:p w14:paraId="129BCD43" w14:textId="77777777" w:rsidR="00625DC0" w:rsidRPr="00EE1504" w:rsidRDefault="00625DC0" w:rsidP="00127FF5">
            <w:pPr>
              <w:spacing w:before="60" w:after="60" w:line="240" w:lineRule="auto"/>
              <w:jc w:val="center"/>
              <w:rPr>
                <w:rFonts w:eastAsia="Times New Roman"/>
                <w:color w:val="000000"/>
                <w:shd w:val="clear" w:color="auto" w:fill="FFFFFF"/>
              </w:rPr>
            </w:pPr>
            <w:r w:rsidRPr="00EE1504">
              <w:rPr>
                <w:rFonts w:eastAsia="Times New Roman"/>
                <w:color w:val="000000"/>
                <w:shd w:val="clear" w:color="auto" w:fill="FFFFFF"/>
              </w:rPr>
              <w:t>Oral</w:t>
            </w:r>
            <w:r w:rsidR="00CD5C88">
              <w:rPr>
                <w:rFonts w:eastAsia="Times New Roman"/>
                <w:color w:val="000000"/>
                <w:shd w:val="clear" w:color="auto" w:fill="FFFFFF"/>
              </w:rPr>
              <w:t>e</w:t>
            </w:r>
          </w:p>
        </w:tc>
        <w:tc>
          <w:tcPr>
            <w:tcW w:w="850" w:type="dxa"/>
            <w:shd w:val="clear" w:color="auto" w:fill="auto"/>
          </w:tcPr>
          <w:p w14:paraId="7E1E4A12" w14:textId="77777777" w:rsidR="00625DC0" w:rsidRPr="00EE1504" w:rsidRDefault="00625DC0" w:rsidP="00127FF5">
            <w:pPr>
              <w:spacing w:before="60" w:after="60" w:line="240" w:lineRule="auto"/>
              <w:jc w:val="center"/>
              <w:rPr>
                <w:rFonts w:eastAsia="Times New Roman"/>
                <w:color w:val="000000"/>
                <w:shd w:val="clear" w:color="auto" w:fill="FFFFFF"/>
              </w:rPr>
            </w:pPr>
            <w:r w:rsidRPr="00EE1504">
              <w:rPr>
                <w:rFonts w:eastAsia="Times New Roman"/>
                <w:color w:val="000000"/>
                <w:shd w:val="clear" w:color="auto" w:fill="FFFFFF"/>
              </w:rPr>
              <w:t>Rat</w:t>
            </w:r>
          </w:p>
        </w:tc>
        <w:tc>
          <w:tcPr>
            <w:tcW w:w="1134" w:type="dxa"/>
            <w:shd w:val="clear" w:color="auto" w:fill="auto"/>
          </w:tcPr>
          <w:p w14:paraId="6B0C805C" w14:textId="77777777" w:rsidR="00625DC0" w:rsidRPr="00EE1504" w:rsidRDefault="00625DC0" w:rsidP="00127FF5">
            <w:pPr>
              <w:spacing w:before="60" w:after="60" w:line="240" w:lineRule="auto"/>
              <w:jc w:val="center"/>
              <w:rPr>
                <w:rFonts w:eastAsia="Times New Roman"/>
                <w:color w:val="000000"/>
                <w:shd w:val="clear" w:color="auto" w:fill="FFFFFF"/>
              </w:rPr>
            </w:pPr>
            <w:r w:rsidRPr="00EE1504">
              <w:rPr>
                <w:rFonts w:eastAsia="Times New Roman"/>
                <w:color w:val="000000"/>
                <w:shd w:val="clear" w:color="auto" w:fill="FFFFFF"/>
              </w:rPr>
              <w:t>275 mg/kg</w:t>
            </w:r>
          </w:p>
        </w:tc>
        <w:tc>
          <w:tcPr>
            <w:tcW w:w="4962" w:type="dxa"/>
            <w:shd w:val="clear" w:color="auto" w:fill="auto"/>
          </w:tcPr>
          <w:p w14:paraId="59A531F2" w14:textId="77777777" w:rsidR="00625DC0" w:rsidRPr="00CD5C88" w:rsidRDefault="00625DC0" w:rsidP="00127FF5">
            <w:pPr>
              <w:pStyle w:val="Bullet1G"/>
              <w:numPr>
                <w:ilvl w:val="0"/>
                <w:numId w:val="0"/>
              </w:numPr>
              <w:spacing w:before="60" w:after="60" w:line="240" w:lineRule="auto"/>
              <w:ind w:left="165" w:right="170" w:hanging="142"/>
              <w:jc w:val="left"/>
              <w:rPr>
                <w:rFonts w:eastAsia="Times New Roman"/>
                <w:color w:val="000000"/>
                <w:shd w:val="clear" w:color="auto" w:fill="FFFFFF"/>
              </w:rPr>
            </w:pPr>
            <w:r w:rsidRPr="00CD5C88">
              <w:rPr>
                <w:rFonts w:eastAsia="Times New Roman"/>
                <w:color w:val="000000"/>
              </w:rPr>
              <w:t>•</w:t>
            </w:r>
            <w:r w:rsidRPr="00CD5C88">
              <w:rPr>
                <w:rFonts w:eastAsia="Times New Roman"/>
                <w:color w:val="000000"/>
              </w:rPr>
              <w:tab/>
            </w:r>
            <w:r w:rsidR="00CD5C88" w:rsidRPr="00CD5C88">
              <w:rPr>
                <w:rFonts w:eastAsia="Times New Roman"/>
                <w:color w:val="000000"/>
                <w:shd w:val="clear" w:color="auto" w:fill="FFFFFF"/>
                <w:lang w:val="fr-FR"/>
              </w:rPr>
              <w:t xml:space="preserve">Dommages </w:t>
            </w:r>
            <w:r w:rsidR="00190C7E">
              <w:rPr>
                <w:rFonts w:eastAsia="Times New Roman"/>
                <w:color w:val="000000"/>
                <w:shd w:val="clear" w:color="auto" w:fill="FFFFFF"/>
                <w:lang w:val="fr-FR"/>
              </w:rPr>
              <w:t>rénaux</w:t>
            </w:r>
            <w:r w:rsidR="00CD5C88" w:rsidRPr="00CD5C88">
              <w:rPr>
                <w:rFonts w:eastAsia="Times New Roman"/>
                <w:color w:val="000000"/>
                <w:shd w:val="clear" w:color="auto" w:fill="FFFFFF"/>
                <w:lang w:val="fr-FR"/>
              </w:rPr>
              <w:t xml:space="preserve"> graves entraînant </w:t>
            </w:r>
            <w:proofErr w:type="gramStart"/>
            <w:r w:rsidR="00CD5C88" w:rsidRPr="00CD5C88">
              <w:rPr>
                <w:rFonts w:eastAsia="Times New Roman"/>
                <w:color w:val="000000"/>
                <w:shd w:val="clear" w:color="auto" w:fill="FFFFFF"/>
                <w:lang w:val="fr-FR"/>
              </w:rPr>
              <w:t>la mort relevés</w:t>
            </w:r>
            <w:proofErr w:type="gramEnd"/>
            <w:r w:rsidR="00CD5C88" w:rsidRPr="00CD5C88">
              <w:rPr>
                <w:rFonts w:eastAsia="Times New Roman"/>
                <w:color w:val="000000"/>
                <w:shd w:val="clear" w:color="auto" w:fill="FFFFFF"/>
                <w:lang w:val="fr-FR"/>
              </w:rPr>
              <w:t xml:space="preserve"> chez 5 animaux sur 10 (examen macroscopique) ; décès de ces mêmes 5 animaux</w:t>
            </w:r>
            <w:r w:rsidR="00003E1F">
              <w:rPr>
                <w:rFonts w:eastAsia="Times New Roman"/>
                <w:color w:val="000000"/>
                <w:shd w:val="clear" w:color="auto" w:fill="FFFFFF"/>
                <w:lang w:val="fr-FR"/>
              </w:rPr>
              <w:t>.</w:t>
            </w:r>
          </w:p>
          <w:p w14:paraId="3179F9BD" w14:textId="77777777" w:rsidR="00625DC0" w:rsidRPr="00CD5C88" w:rsidRDefault="00625DC0" w:rsidP="00127FF5">
            <w:pPr>
              <w:pStyle w:val="Bullet1G"/>
              <w:numPr>
                <w:ilvl w:val="0"/>
                <w:numId w:val="0"/>
              </w:numPr>
              <w:spacing w:before="60" w:after="60" w:line="240" w:lineRule="auto"/>
              <w:ind w:left="165" w:right="170" w:hanging="142"/>
              <w:jc w:val="left"/>
              <w:rPr>
                <w:rFonts w:eastAsia="Times New Roman"/>
                <w:color w:val="000000"/>
                <w:shd w:val="clear" w:color="auto" w:fill="FFFFFF"/>
              </w:rPr>
            </w:pPr>
            <w:r w:rsidRPr="00CD5C88">
              <w:rPr>
                <w:rFonts w:eastAsia="Times New Roman"/>
                <w:color w:val="000000"/>
              </w:rPr>
              <w:t>•</w:t>
            </w:r>
            <w:r w:rsidRPr="00CD5C88">
              <w:rPr>
                <w:rFonts w:eastAsia="Times New Roman"/>
                <w:color w:val="000000"/>
              </w:rPr>
              <w:tab/>
            </w:r>
            <w:r w:rsidR="00CD5C88" w:rsidRPr="00CD5C88">
              <w:rPr>
                <w:rFonts w:eastAsia="Times New Roman"/>
                <w:color w:val="000000"/>
                <w:shd w:val="clear" w:color="auto" w:fill="FFFFFF"/>
                <w:lang w:val="fr-FR"/>
              </w:rPr>
              <w:t>Aucun autre effet observé sur d</w:t>
            </w:r>
            <w:r w:rsidR="004F0AEA">
              <w:rPr>
                <w:rFonts w:eastAsia="Times New Roman"/>
                <w:color w:val="000000"/>
                <w:shd w:val="clear" w:color="auto" w:fill="FFFFFF"/>
                <w:lang w:val="fr-FR"/>
              </w:rPr>
              <w:t>’</w:t>
            </w:r>
            <w:r w:rsidR="00CD5C88" w:rsidRPr="00CD5C88">
              <w:rPr>
                <w:rFonts w:eastAsia="Times New Roman"/>
                <w:color w:val="000000"/>
                <w:shd w:val="clear" w:color="auto" w:fill="FFFFFF"/>
                <w:lang w:val="fr-FR"/>
              </w:rPr>
              <w:t>autres organes au cours de l</w:t>
            </w:r>
            <w:r w:rsidR="004F0AEA">
              <w:rPr>
                <w:rFonts w:eastAsia="Times New Roman"/>
                <w:color w:val="000000"/>
                <w:shd w:val="clear" w:color="auto" w:fill="FFFFFF"/>
                <w:lang w:val="fr-FR"/>
              </w:rPr>
              <w:t>’</w:t>
            </w:r>
            <w:r w:rsidR="00CD5C88" w:rsidRPr="00CD5C88">
              <w:rPr>
                <w:rFonts w:eastAsia="Times New Roman"/>
                <w:color w:val="000000"/>
                <w:shd w:val="clear" w:color="auto" w:fill="FFFFFF"/>
                <w:lang w:val="fr-FR"/>
              </w:rPr>
              <w:t>autopsie</w:t>
            </w:r>
            <w:r w:rsidR="00003E1F">
              <w:rPr>
                <w:rFonts w:eastAsia="Times New Roman"/>
                <w:color w:val="000000"/>
                <w:shd w:val="clear" w:color="auto" w:fill="FFFFFF"/>
                <w:lang w:val="fr-FR"/>
              </w:rPr>
              <w:t>.</w:t>
            </w:r>
          </w:p>
        </w:tc>
      </w:tr>
    </w:tbl>
    <w:p w14:paraId="42E0158B" w14:textId="77777777" w:rsidR="00625DC0" w:rsidRPr="001B1F0F" w:rsidRDefault="00625DC0" w:rsidP="00CD5C88">
      <w:pPr>
        <w:pStyle w:val="H23G"/>
        <w:rPr>
          <w:lang w:val="fr-FR"/>
        </w:rPr>
      </w:pPr>
      <w:r>
        <w:rPr>
          <w:lang w:val="fr-FR"/>
        </w:rPr>
        <w:tab/>
      </w:r>
      <w:r>
        <w:rPr>
          <w:lang w:val="fr-FR"/>
        </w:rPr>
        <w:tab/>
        <w:t>Réponse</w:t>
      </w:r>
    </w:p>
    <w:p w14:paraId="29A741ED" w14:textId="77777777" w:rsidR="00625DC0" w:rsidRPr="001B1F0F" w:rsidRDefault="00625DC0" w:rsidP="00003E1F">
      <w:pPr>
        <w:pStyle w:val="SingleTxtG"/>
        <w:rPr>
          <w:lang w:val="fr-FR"/>
        </w:rPr>
      </w:pPr>
      <w:r>
        <w:rPr>
          <w:lang w:val="fr-FR"/>
        </w:rPr>
        <w:t>Toxicité orale aiguë, catégorie 3</w:t>
      </w:r>
    </w:p>
    <w:p w14:paraId="1098DF11" w14:textId="77777777" w:rsidR="00625DC0" w:rsidRPr="001B1F0F" w:rsidRDefault="00625DC0" w:rsidP="00CD5C88">
      <w:pPr>
        <w:pStyle w:val="H23G"/>
        <w:rPr>
          <w:lang w:val="fr-FR"/>
        </w:rPr>
      </w:pPr>
      <w:r>
        <w:rPr>
          <w:lang w:val="fr-FR"/>
        </w:rPr>
        <w:tab/>
      </w:r>
      <w:r>
        <w:rPr>
          <w:lang w:val="fr-FR"/>
        </w:rPr>
        <w:tab/>
        <w:t>Justifications</w:t>
      </w:r>
    </w:p>
    <w:p w14:paraId="53B24AF8" w14:textId="77777777" w:rsidR="00625DC0" w:rsidRPr="001B1F0F" w:rsidRDefault="00CD5C88" w:rsidP="00CD5C88">
      <w:pPr>
        <w:pStyle w:val="H4G"/>
        <w:rPr>
          <w:lang w:val="fr-FR"/>
        </w:rPr>
      </w:pPr>
      <w:r>
        <w:rPr>
          <w:lang w:val="fr-FR"/>
        </w:rPr>
        <w:tab/>
      </w:r>
      <w:r w:rsidR="00625DC0">
        <w:rPr>
          <w:lang w:val="fr-FR"/>
        </w:rPr>
        <w:t>a)</w:t>
      </w:r>
      <w:r w:rsidR="00625DC0">
        <w:rPr>
          <w:lang w:val="fr-FR"/>
        </w:rPr>
        <w:tab/>
        <w:t>Toxicité orale aiguë</w:t>
      </w:r>
    </w:p>
    <w:p w14:paraId="79F2E3FB" w14:textId="77777777" w:rsidR="00625DC0" w:rsidRPr="001B1F0F" w:rsidRDefault="00625DC0" w:rsidP="00CD5C88">
      <w:pPr>
        <w:pStyle w:val="SingleTxtG"/>
        <w:rPr>
          <w:lang w:val="fr-FR"/>
        </w:rPr>
      </w:pPr>
      <w:r>
        <w:rPr>
          <w:lang w:val="fr-FR"/>
        </w:rPr>
        <w:t>Une classification sur la base des critères du tableau 3.1.1 du SGH est possible. L</w:t>
      </w:r>
      <w:r w:rsidR="004F0AEA">
        <w:rPr>
          <w:lang w:val="fr-FR"/>
        </w:rPr>
        <w:t>’</w:t>
      </w:r>
      <w:r>
        <w:rPr>
          <w:lang w:val="fr-FR"/>
        </w:rPr>
        <w:t>étude a été réalisée sur l</w:t>
      </w:r>
      <w:r w:rsidR="004F0AEA">
        <w:rPr>
          <w:lang w:val="fr-FR"/>
        </w:rPr>
        <w:t>’</w:t>
      </w:r>
      <w:r>
        <w:rPr>
          <w:lang w:val="fr-FR"/>
        </w:rPr>
        <w:t>espèce animale préférée pour l</w:t>
      </w:r>
      <w:r w:rsidR="004F0AEA">
        <w:rPr>
          <w:lang w:val="fr-FR"/>
        </w:rPr>
        <w:t>’</w:t>
      </w:r>
      <w:r>
        <w:rPr>
          <w:lang w:val="fr-FR"/>
        </w:rPr>
        <w:t>évaluation de la toxicité aiguë par voie orale et par inhalation (à savoir le rat), conformément au 3.1.2.3 ; la DL</w:t>
      </w:r>
      <w:r>
        <w:rPr>
          <w:vertAlign w:val="subscript"/>
          <w:lang w:val="fr-FR"/>
        </w:rPr>
        <w:t>50</w:t>
      </w:r>
      <w:r>
        <w:rPr>
          <w:lang w:val="fr-FR"/>
        </w:rPr>
        <w:t xml:space="preserve"> administrée par ingestion (275 mg/kg) se situe dans l</w:t>
      </w:r>
      <w:r w:rsidR="004F0AEA">
        <w:rPr>
          <w:lang w:val="fr-FR"/>
        </w:rPr>
        <w:t>’</w:t>
      </w:r>
      <w:r>
        <w:rPr>
          <w:lang w:val="fr-FR"/>
        </w:rPr>
        <w:t>intervalle correspondant à la catégorie 3, à savoir 50 &lt; estimation de la toxicité aiguë (ETA) ≤ 300, ce qui justifie une classification dans cette catégorie pour l</w:t>
      </w:r>
      <w:r w:rsidR="004F0AEA">
        <w:rPr>
          <w:lang w:val="fr-FR"/>
        </w:rPr>
        <w:t>’</w:t>
      </w:r>
      <w:r>
        <w:rPr>
          <w:lang w:val="fr-FR"/>
        </w:rPr>
        <w:t>exposition par voie orale.</w:t>
      </w:r>
    </w:p>
    <w:p w14:paraId="762116DB" w14:textId="77777777" w:rsidR="00625DC0" w:rsidRPr="001B1F0F" w:rsidRDefault="00CD5C88" w:rsidP="00CD5C88">
      <w:pPr>
        <w:pStyle w:val="H4G"/>
        <w:rPr>
          <w:lang w:val="fr-FR"/>
        </w:rPr>
      </w:pPr>
      <w:r>
        <w:rPr>
          <w:lang w:val="fr-FR"/>
        </w:rPr>
        <w:tab/>
      </w:r>
      <w:r w:rsidR="00625DC0">
        <w:rPr>
          <w:lang w:val="fr-FR"/>
        </w:rPr>
        <w:t>b)</w:t>
      </w:r>
      <w:r w:rsidR="00625DC0">
        <w:rPr>
          <w:lang w:val="fr-FR"/>
        </w:rPr>
        <w:tab/>
      </w:r>
      <w:r w:rsidR="00625DC0">
        <w:rPr>
          <w:iCs/>
          <w:lang w:val="fr-FR"/>
        </w:rPr>
        <w:t xml:space="preserve">Toxicité pour certains organes cibles </w:t>
      </w:r>
      <w:r>
        <w:rPr>
          <w:iCs/>
          <w:lang w:val="fr-FR"/>
        </w:rPr>
        <w:t>−</w:t>
      </w:r>
      <w:r w:rsidR="00625DC0">
        <w:rPr>
          <w:iCs/>
          <w:lang w:val="fr-FR"/>
        </w:rPr>
        <w:t xml:space="preserve"> exposition unique</w:t>
      </w:r>
    </w:p>
    <w:p w14:paraId="6E76C75E" w14:textId="77777777" w:rsidR="00625DC0" w:rsidRPr="001B1F0F" w:rsidRDefault="00625DC0" w:rsidP="00CD5C88">
      <w:pPr>
        <w:pStyle w:val="SingleTxtG"/>
        <w:rPr>
          <w:lang w:val="fr-FR"/>
        </w:rPr>
      </w:pPr>
      <w:r>
        <w:rPr>
          <w:lang w:val="fr-FR"/>
        </w:rPr>
        <w:t xml:space="preserve">Pour être affectés à cette classe, les effets </w:t>
      </w:r>
      <w:r w:rsidRPr="00003E1F">
        <w:rPr>
          <w:lang w:val="fr-FR"/>
        </w:rPr>
        <w:t>sur le rein ou</w:t>
      </w:r>
      <w:r>
        <w:rPr>
          <w:lang w:val="fr-FR"/>
        </w:rPr>
        <w:t xml:space="preserve"> un autre organe ou système doivent être non létaux (par. 3.8.1.1), c</w:t>
      </w:r>
      <w:r w:rsidR="004F0AEA">
        <w:rPr>
          <w:lang w:val="fr-FR"/>
        </w:rPr>
        <w:t>’</w:t>
      </w:r>
      <w:r>
        <w:rPr>
          <w:lang w:val="fr-FR"/>
        </w:rPr>
        <w:t>est-à-dire qu</w:t>
      </w:r>
      <w:r w:rsidR="004F0AEA">
        <w:rPr>
          <w:lang w:val="fr-FR"/>
        </w:rPr>
        <w:t>’</w:t>
      </w:r>
      <w:r>
        <w:rPr>
          <w:lang w:val="fr-FR"/>
        </w:rPr>
        <w:t>ils ne répondent pas aux critères de toxicité aiguë. Étant donné qu</w:t>
      </w:r>
      <w:r w:rsidR="004F0AEA">
        <w:rPr>
          <w:lang w:val="fr-FR"/>
        </w:rPr>
        <w:t>’</w:t>
      </w:r>
      <w:r>
        <w:rPr>
          <w:lang w:val="fr-FR"/>
        </w:rPr>
        <w:t>on ne dispose que d</w:t>
      </w:r>
      <w:r w:rsidR="004F0AEA">
        <w:rPr>
          <w:lang w:val="fr-FR"/>
        </w:rPr>
        <w:t>’</w:t>
      </w:r>
      <w:r>
        <w:rPr>
          <w:lang w:val="fr-FR"/>
        </w:rPr>
        <w:t>une quantité limitée de données dans le présent exemple (absence de données supplémentaires à des doses plus faibles pour déterminer les effets non létaux sur le rein), que le seul effet relevé concerne le rein, et que les données obtenues semblent justifier une affectation à la classe de danger « toxicité aiguë », l</w:t>
      </w:r>
      <w:r w:rsidR="004F0AEA">
        <w:rPr>
          <w:lang w:val="fr-FR"/>
        </w:rPr>
        <w:t>’</w:t>
      </w:r>
      <w:r>
        <w:rPr>
          <w:lang w:val="fr-FR"/>
        </w:rPr>
        <w:t xml:space="preserve">effet constaté ne peut être affecté à la classe de danger « toxicité pour certains organes cibles </w:t>
      </w:r>
      <w:r w:rsidR="00003E1F">
        <w:rPr>
          <w:lang w:val="fr-FR"/>
        </w:rPr>
        <w:lastRenderedPageBreak/>
        <w:t>− </w:t>
      </w:r>
      <w:r>
        <w:rPr>
          <w:lang w:val="fr-FR"/>
        </w:rPr>
        <w:t>exposition unique » (par. 3.8.1.1 et 3.8.1.6) car une telle affectation aurait pour effet une double classification pour un même effet/mécanisme. On ne peut donc pas procéder de la sorte. Néanmoins, si l</w:t>
      </w:r>
      <w:r w:rsidR="004F0AEA">
        <w:rPr>
          <w:lang w:val="fr-FR"/>
        </w:rPr>
        <w:t>’</w:t>
      </w:r>
      <w:r>
        <w:rPr>
          <w:lang w:val="fr-FR"/>
        </w:rPr>
        <w:t>on disposait de données supplémentaires montrant d</w:t>
      </w:r>
      <w:r w:rsidR="004F0AEA">
        <w:rPr>
          <w:lang w:val="fr-FR"/>
        </w:rPr>
        <w:t>’</w:t>
      </w:r>
      <w:r>
        <w:rPr>
          <w:lang w:val="fr-FR"/>
        </w:rPr>
        <w:t>importants effets non létaux sur le rein à des doses plus petites, il conviendrait alors de faire appel à des experts pour déterminer si une affectation à la classe susmentionnée s</w:t>
      </w:r>
      <w:r w:rsidR="004F0AEA">
        <w:rPr>
          <w:lang w:val="fr-FR"/>
        </w:rPr>
        <w:t>’</w:t>
      </w:r>
      <w:r>
        <w:rPr>
          <w:lang w:val="fr-FR"/>
        </w:rPr>
        <w:t>impose.</w:t>
      </w:r>
    </w:p>
    <w:p w14:paraId="5DCB4C12" w14:textId="77777777" w:rsidR="00625DC0" w:rsidRDefault="00625DC0" w:rsidP="00CD5C88">
      <w:pPr>
        <w:pStyle w:val="SingleTxtG"/>
        <w:jc w:val="center"/>
        <w:rPr>
          <w:lang w:val="fr-FR"/>
        </w:rPr>
      </w:pPr>
      <w:r>
        <w:rPr>
          <w:lang w:val="fr-FR"/>
        </w:rPr>
        <w:t>(Fin de l</w:t>
      </w:r>
      <w:r w:rsidR="004F0AEA">
        <w:rPr>
          <w:lang w:val="fr-FR"/>
        </w:rPr>
        <w:t>’</w:t>
      </w:r>
      <w:r>
        <w:rPr>
          <w:lang w:val="fr-FR"/>
        </w:rPr>
        <w:t>exemple 1)</w:t>
      </w:r>
    </w:p>
    <w:p w14:paraId="5B32302B" w14:textId="77777777" w:rsidR="00625DC0" w:rsidRPr="001B1F0F" w:rsidRDefault="00625DC0" w:rsidP="00003F1C">
      <w:pPr>
        <w:pStyle w:val="H1G"/>
        <w:rPr>
          <w:lang w:val="fr-FR"/>
        </w:rPr>
      </w:pPr>
      <w:r w:rsidRPr="00625DC0">
        <w:br w:type="page"/>
      </w:r>
      <w:r>
        <w:rPr>
          <w:lang w:val="fr-FR"/>
        </w:rPr>
        <w:lastRenderedPageBreak/>
        <w:tab/>
      </w:r>
      <w:r>
        <w:rPr>
          <w:lang w:val="fr-FR"/>
        </w:rPr>
        <w:tab/>
        <w:t xml:space="preserve">Exemple 2 </w:t>
      </w:r>
    </w:p>
    <w:p w14:paraId="2F6ED576" w14:textId="77777777" w:rsidR="00625DC0" w:rsidRPr="001B1F0F" w:rsidRDefault="00625DC0" w:rsidP="00003F1C">
      <w:pPr>
        <w:pStyle w:val="SingleTxtG"/>
        <w:rPr>
          <w:lang w:val="fr-FR"/>
        </w:rPr>
      </w:pPr>
      <w:r>
        <w:rPr>
          <w:lang w:val="fr-FR"/>
        </w:rPr>
        <w:t xml:space="preserve">Le présent exemple porte sur les critères énoncés aux 3.8.1.1 et 3.8.1.6 dans les cas où une matière peut être affectée aussi bien à la classe de danger « toxicité pour certains organes cibles </w:t>
      </w:r>
      <w:r w:rsidR="00003F1C">
        <w:rPr>
          <w:lang w:val="fr-FR"/>
        </w:rPr>
        <w:t>−</w:t>
      </w:r>
      <w:r>
        <w:rPr>
          <w:lang w:val="fr-FR"/>
        </w:rPr>
        <w:t xml:space="preserve"> exposition unique » pour les effets non létaux, qu</w:t>
      </w:r>
      <w:r w:rsidR="004F0AEA">
        <w:rPr>
          <w:lang w:val="fr-FR"/>
        </w:rPr>
        <w:t>’</w:t>
      </w:r>
      <w:r>
        <w:rPr>
          <w:lang w:val="fr-FR"/>
        </w:rPr>
        <w:t>à la classe « toxicité aiguë » pour les effets létaux.</w:t>
      </w:r>
    </w:p>
    <w:p w14:paraId="49FFE2AA" w14:textId="77777777" w:rsidR="00625DC0" w:rsidRPr="001B1F0F" w:rsidRDefault="00625DC0" w:rsidP="00003F1C">
      <w:pPr>
        <w:pStyle w:val="H23G"/>
        <w:rPr>
          <w:lang w:val="fr-FR"/>
        </w:rPr>
      </w:pPr>
      <w:r>
        <w:rPr>
          <w:lang w:val="fr-FR"/>
        </w:rPr>
        <w:tab/>
      </w:r>
      <w:r>
        <w:rPr>
          <w:lang w:val="fr-FR"/>
        </w:rPr>
        <w:tab/>
        <w:t>Informations sur la matière 2</w:t>
      </w:r>
    </w:p>
    <w:p w14:paraId="78A76294" w14:textId="77777777" w:rsidR="00625DC0" w:rsidRPr="001B1F0F" w:rsidRDefault="00625DC0" w:rsidP="00003F1C">
      <w:pPr>
        <w:pStyle w:val="H23G"/>
        <w:rPr>
          <w:lang w:val="fr-FR"/>
        </w:rPr>
      </w:pPr>
      <w:r>
        <w:rPr>
          <w:lang w:val="fr-FR"/>
        </w:rPr>
        <w:tab/>
      </w:r>
      <w:r>
        <w:rPr>
          <w:lang w:val="fr-FR"/>
        </w:rPr>
        <w:tab/>
        <w:t>Données</w:t>
      </w:r>
    </w:p>
    <w:p w14:paraId="487DCB44" w14:textId="77777777" w:rsidR="00625DC0" w:rsidRPr="001B1F0F" w:rsidRDefault="00625DC0" w:rsidP="00003F1C">
      <w:pPr>
        <w:pStyle w:val="H4G"/>
        <w:rPr>
          <w:lang w:val="fr-FR"/>
        </w:rPr>
      </w:pPr>
      <w:r>
        <w:rPr>
          <w:lang w:val="fr-FR"/>
        </w:rPr>
        <w:tab/>
      </w:r>
      <w:r>
        <w:rPr>
          <w:lang w:val="fr-FR"/>
        </w:rPr>
        <w:tab/>
        <w:t>Données d</w:t>
      </w:r>
      <w:r w:rsidR="004F0AEA">
        <w:rPr>
          <w:lang w:val="fr-FR"/>
        </w:rPr>
        <w:t>’</w:t>
      </w:r>
      <w:r>
        <w:rPr>
          <w:lang w:val="fr-FR"/>
        </w:rPr>
        <w:t>expérience sur des êtres humains</w:t>
      </w:r>
    </w:p>
    <w:p w14:paraId="1CEBC127" w14:textId="77777777" w:rsidR="00625DC0" w:rsidRPr="001B1F0F" w:rsidRDefault="00625DC0" w:rsidP="00003F1C">
      <w:pPr>
        <w:pStyle w:val="SingleTxtG"/>
        <w:rPr>
          <w:b/>
          <w:lang w:val="fr-FR"/>
        </w:rPr>
      </w:pPr>
      <w:r>
        <w:rPr>
          <w:lang w:val="fr-FR"/>
        </w:rPr>
        <w:t xml:space="preserve">Sur une période de </w:t>
      </w:r>
      <w:r w:rsidR="00003E1F">
        <w:rPr>
          <w:lang w:val="fr-FR"/>
        </w:rPr>
        <w:t xml:space="preserve">trente </w:t>
      </w:r>
      <w:r>
        <w:rPr>
          <w:lang w:val="fr-FR"/>
        </w:rPr>
        <w:t>années, de nombreuses occurrences distinctes d</w:t>
      </w:r>
      <w:r w:rsidR="004F0AEA">
        <w:rPr>
          <w:lang w:val="fr-FR"/>
        </w:rPr>
        <w:t>’</w:t>
      </w:r>
      <w:r>
        <w:rPr>
          <w:lang w:val="fr-FR"/>
        </w:rPr>
        <w:t>exposition accidentelle de plusieurs centaines de personnes ont été signalées. Des effets neurotoxiques graves (allant d</w:t>
      </w:r>
      <w:r w:rsidR="004F0AEA">
        <w:rPr>
          <w:lang w:val="fr-FR"/>
        </w:rPr>
        <w:t>’</w:t>
      </w:r>
      <w:r>
        <w:rPr>
          <w:lang w:val="fr-FR"/>
        </w:rPr>
        <w:t>une neuropathie périphérique légère à une paralysie permanente) ont été observés par suite de telles expositions uniques. Les données y relatives sont jugées fiables.</w:t>
      </w:r>
    </w:p>
    <w:p w14:paraId="1B5DB9A8" w14:textId="77777777" w:rsidR="00625DC0" w:rsidRDefault="00625DC0" w:rsidP="00003F1C">
      <w:pPr>
        <w:pStyle w:val="H4G"/>
        <w:rPr>
          <w:lang w:val="fr-FR"/>
        </w:rPr>
      </w:pPr>
      <w:r>
        <w:rPr>
          <w:lang w:val="fr-FR"/>
        </w:rPr>
        <w:tab/>
      </w:r>
      <w:r>
        <w:rPr>
          <w:lang w:val="fr-FR"/>
        </w:rPr>
        <w:tab/>
        <w:t>Données obtenues sur la base d</w:t>
      </w:r>
      <w:r w:rsidR="004F0AEA">
        <w:rPr>
          <w:lang w:val="fr-FR"/>
        </w:rPr>
        <w:t>’</w:t>
      </w:r>
      <w:r>
        <w:rPr>
          <w:lang w:val="fr-FR"/>
        </w:rPr>
        <w:t>expérimentations sur des animaux</w:t>
      </w:r>
    </w:p>
    <w:tbl>
      <w:tblPr>
        <w:tblW w:w="847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833"/>
        <w:gridCol w:w="1120"/>
        <w:gridCol w:w="5366"/>
      </w:tblGrid>
      <w:tr w:rsidR="00625DC0" w:rsidRPr="00807FB8" w14:paraId="32BD9586" w14:textId="77777777" w:rsidTr="00A200CD">
        <w:tc>
          <w:tcPr>
            <w:tcW w:w="1157" w:type="dxa"/>
            <w:shd w:val="clear" w:color="auto" w:fill="auto"/>
          </w:tcPr>
          <w:p w14:paraId="75A81641" w14:textId="77777777" w:rsidR="00625DC0" w:rsidRPr="00807FB8" w:rsidRDefault="00A200CD" w:rsidP="006558AB">
            <w:pPr>
              <w:jc w:val="center"/>
              <w:rPr>
                <w:rFonts w:eastAsia="Times New Roman"/>
                <w:b/>
                <w:color w:val="000000"/>
                <w:sz w:val="18"/>
                <w:szCs w:val="18"/>
                <w:shd w:val="clear" w:color="auto" w:fill="FFFFFF"/>
              </w:rPr>
            </w:pPr>
            <w:r w:rsidRPr="00A200CD">
              <w:rPr>
                <w:rFonts w:eastAsia="Times New Roman"/>
                <w:b/>
                <w:bCs/>
                <w:color w:val="000000"/>
                <w:sz w:val="18"/>
                <w:szCs w:val="18"/>
                <w:shd w:val="clear" w:color="auto" w:fill="FFFFFF"/>
                <w:lang w:val="fr-FR"/>
              </w:rPr>
              <w:t>Voie d</w:t>
            </w:r>
            <w:r w:rsidR="004F0AEA">
              <w:rPr>
                <w:rFonts w:eastAsia="Times New Roman"/>
                <w:b/>
                <w:bCs/>
                <w:color w:val="000000"/>
                <w:sz w:val="18"/>
                <w:szCs w:val="18"/>
                <w:shd w:val="clear" w:color="auto" w:fill="FFFFFF"/>
                <w:lang w:val="fr-FR"/>
              </w:rPr>
              <w:t>’</w:t>
            </w:r>
            <w:r w:rsidRPr="00A200CD">
              <w:rPr>
                <w:rFonts w:eastAsia="Times New Roman"/>
                <w:b/>
                <w:bCs/>
                <w:color w:val="000000"/>
                <w:sz w:val="18"/>
                <w:szCs w:val="18"/>
                <w:shd w:val="clear" w:color="auto" w:fill="FFFFFF"/>
                <w:lang w:val="fr-FR"/>
              </w:rPr>
              <w:t>exposition</w:t>
            </w:r>
          </w:p>
        </w:tc>
        <w:tc>
          <w:tcPr>
            <w:tcW w:w="833" w:type="dxa"/>
            <w:shd w:val="clear" w:color="auto" w:fill="auto"/>
          </w:tcPr>
          <w:p w14:paraId="4C6AAC9B" w14:textId="77777777" w:rsidR="00625DC0" w:rsidRPr="00807FB8" w:rsidRDefault="00A200CD" w:rsidP="006558AB">
            <w:pPr>
              <w:jc w:val="center"/>
              <w:rPr>
                <w:rFonts w:eastAsia="Times New Roman"/>
                <w:b/>
                <w:color w:val="000000"/>
                <w:sz w:val="18"/>
                <w:szCs w:val="18"/>
                <w:shd w:val="clear" w:color="auto" w:fill="FFFFFF"/>
              </w:rPr>
            </w:pPr>
            <w:r w:rsidRPr="00A200CD">
              <w:rPr>
                <w:rFonts w:eastAsia="Times New Roman"/>
                <w:b/>
                <w:bCs/>
                <w:color w:val="000000"/>
                <w:sz w:val="18"/>
                <w:szCs w:val="18"/>
                <w:shd w:val="clear" w:color="auto" w:fill="FFFFFF"/>
                <w:lang w:val="fr-FR"/>
              </w:rPr>
              <w:t>Espèce</w:t>
            </w:r>
            <w:r w:rsidR="00003E1F">
              <w:rPr>
                <w:rFonts w:eastAsia="Times New Roman"/>
                <w:b/>
                <w:bCs/>
                <w:color w:val="000000"/>
                <w:sz w:val="18"/>
                <w:szCs w:val="18"/>
                <w:shd w:val="clear" w:color="auto" w:fill="FFFFFF"/>
                <w:lang w:val="fr-FR"/>
              </w:rPr>
              <w:t>s</w:t>
            </w:r>
          </w:p>
        </w:tc>
        <w:tc>
          <w:tcPr>
            <w:tcW w:w="1120" w:type="dxa"/>
            <w:shd w:val="clear" w:color="auto" w:fill="auto"/>
          </w:tcPr>
          <w:p w14:paraId="336C8CDA" w14:textId="77777777" w:rsidR="00625DC0" w:rsidRPr="00807FB8" w:rsidRDefault="00A200CD" w:rsidP="006558AB">
            <w:pPr>
              <w:jc w:val="center"/>
              <w:rPr>
                <w:rFonts w:eastAsia="Times New Roman"/>
                <w:b/>
                <w:color w:val="000000"/>
                <w:sz w:val="18"/>
                <w:szCs w:val="18"/>
                <w:shd w:val="clear" w:color="auto" w:fill="FFFFFF"/>
              </w:rPr>
            </w:pPr>
            <w:r w:rsidRPr="00A200CD">
              <w:rPr>
                <w:rFonts w:eastAsia="Times New Roman"/>
                <w:b/>
                <w:bCs/>
                <w:color w:val="000000"/>
                <w:sz w:val="18"/>
                <w:szCs w:val="18"/>
                <w:shd w:val="clear" w:color="auto" w:fill="FFFFFF"/>
                <w:lang w:val="fr-FR"/>
              </w:rPr>
              <w:t>Valeur de la DL</w:t>
            </w:r>
            <w:r w:rsidRPr="00A200CD">
              <w:rPr>
                <w:rFonts w:eastAsia="Times New Roman"/>
                <w:b/>
                <w:bCs/>
                <w:color w:val="000000"/>
                <w:sz w:val="18"/>
                <w:szCs w:val="18"/>
                <w:shd w:val="clear" w:color="auto" w:fill="FFFFFF"/>
                <w:vertAlign w:val="subscript"/>
                <w:lang w:val="fr-FR"/>
              </w:rPr>
              <w:t>50</w:t>
            </w:r>
          </w:p>
        </w:tc>
        <w:tc>
          <w:tcPr>
            <w:tcW w:w="5366" w:type="dxa"/>
            <w:shd w:val="clear" w:color="auto" w:fill="auto"/>
          </w:tcPr>
          <w:p w14:paraId="6664592A" w14:textId="77777777" w:rsidR="00625DC0" w:rsidRPr="00807FB8" w:rsidRDefault="00A200CD" w:rsidP="006558AB">
            <w:pPr>
              <w:jc w:val="center"/>
              <w:rPr>
                <w:rFonts w:eastAsia="Times New Roman"/>
                <w:b/>
                <w:color w:val="000000"/>
                <w:sz w:val="18"/>
                <w:szCs w:val="18"/>
                <w:shd w:val="clear" w:color="auto" w:fill="FFFFFF"/>
              </w:rPr>
            </w:pPr>
            <w:r>
              <w:rPr>
                <w:rFonts w:eastAsia="Times New Roman"/>
                <w:b/>
                <w:color w:val="000000"/>
                <w:sz w:val="18"/>
                <w:szCs w:val="18"/>
                <w:shd w:val="clear" w:color="auto" w:fill="FFFFFF"/>
              </w:rPr>
              <w:t>Observations</w:t>
            </w:r>
          </w:p>
        </w:tc>
      </w:tr>
      <w:tr w:rsidR="00625DC0" w:rsidRPr="00A200CD" w14:paraId="662FFD37" w14:textId="77777777" w:rsidTr="00A200CD">
        <w:tc>
          <w:tcPr>
            <w:tcW w:w="1157" w:type="dxa"/>
            <w:shd w:val="clear" w:color="auto" w:fill="auto"/>
          </w:tcPr>
          <w:p w14:paraId="2E1DF36C" w14:textId="77777777" w:rsidR="00625DC0" w:rsidRPr="00807FB8" w:rsidRDefault="00625DC0" w:rsidP="00127FF5">
            <w:pPr>
              <w:spacing w:before="60" w:after="60" w:line="240" w:lineRule="auto"/>
              <w:jc w:val="center"/>
              <w:rPr>
                <w:rFonts w:eastAsia="Times New Roman"/>
                <w:color w:val="000000"/>
                <w:sz w:val="18"/>
                <w:szCs w:val="18"/>
                <w:shd w:val="clear" w:color="auto" w:fill="FFFFFF"/>
              </w:rPr>
            </w:pPr>
            <w:r w:rsidRPr="00807FB8">
              <w:rPr>
                <w:rFonts w:eastAsia="Times New Roman"/>
                <w:color w:val="000000"/>
                <w:sz w:val="18"/>
                <w:szCs w:val="18"/>
                <w:shd w:val="clear" w:color="auto" w:fill="FFFFFF"/>
              </w:rPr>
              <w:t>Oral</w:t>
            </w:r>
            <w:r w:rsidR="00A200CD">
              <w:rPr>
                <w:rFonts w:eastAsia="Times New Roman"/>
                <w:color w:val="000000"/>
                <w:sz w:val="18"/>
                <w:szCs w:val="18"/>
                <w:shd w:val="clear" w:color="auto" w:fill="FFFFFF"/>
              </w:rPr>
              <w:t>e</w:t>
            </w:r>
          </w:p>
        </w:tc>
        <w:tc>
          <w:tcPr>
            <w:tcW w:w="833" w:type="dxa"/>
            <w:shd w:val="clear" w:color="auto" w:fill="auto"/>
          </w:tcPr>
          <w:p w14:paraId="4E10437C" w14:textId="77777777" w:rsidR="00625DC0" w:rsidRPr="00807FB8" w:rsidRDefault="00625DC0" w:rsidP="00127FF5">
            <w:pPr>
              <w:spacing w:before="60" w:after="60" w:line="240" w:lineRule="auto"/>
              <w:jc w:val="center"/>
              <w:rPr>
                <w:rFonts w:eastAsia="Times New Roman"/>
                <w:color w:val="000000"/>
                <w:sz w:val="18"/>
                <w:szCs w:val="18"/>
                <w:shd w:val="clear" w:color="auto" w:fill="FFFFFF"/>
              </w:rPr>
            </w:pPr>
            <w:r w:rsidRPr="00807FB8">
              <w:rPr>
                <w:rFonts w:eastAsia="Times New Roman"/>
                <w:color w:val="000000"/>
                <w:sz w:val="18"/>
                <w:szCs w:val="18"/>
                <w:shd w:val="clear" w:color="auto" w:fill="FFFFFF"/>
              </w:rPr>
              <w:t>Rat</w:t>
            </w:r>
          </w:p>
        </w:tc>
        <w:tc>
          <w:tcPr>
            <w:tcW w:w="1120" w:type="dxa"/>
            <w:shd w:val="clear" w:color="auto" w:fill="auto"/>
          </w:tcPr>
          <w:p w14:paraId="60F9D04D" w14:textId="77777777" w:rsidR="00625DC0" w:rsidRPr="00807FB8" w:rsidRDefault="00625DC0" w:rsidP="00127FF5">
            <w:pPr>
              <w:spacing w:before="60" w:after="60" w:line="240" w:lineRule="auto"/>
              <w:jc w:val="center"/>
              <w:rPr>
                <w:rFonts w:eastAsia="Times New Roman"/>
                <w:color w:val="000000"/>
                <w:sz w:val="18"/>
                <w:szCs w:val="18"/>
                <w:shd w:val="clear" w:color="auto" w:fill="FFFFFF"/>
              </w:rPr>
            </w:pPr>
            <w:r w:rsidRPr="00807FB8">
              <w:rPr>
                <w:rFonts w:eastAsia="Times New Roman"/>
                <w:color w:val="000000"/>
                <w:sz w:val="18"/>
                <w:szCs w:val="18"/>
                <w:shd w:val="clear" w:color="auto" w:fill="FFFFFF"/>
              </w:rPr>
              <w:t>1</w:t>
            </w:r>
            <w:r w:rsidR="003505B8">
              <w:rPr>
                <w:rFonts w:eastAsia="Times New Roman"/>
                <w:color w:val="000000"/>
                <w:sz w:val="18"/>
                <w:szCs w:val="18"/>
                <w:shd w:val="clear" w:color="auto" w:fill="FFFFFF"/>
              </w:rPr>
              <w:t> </w:t>
            </w:r>
            <w:r w:rsidRPr="00807FB8">
              <w:rPr>
                <w:rFonts w:eastAsia="Times New Roman"/>
                <w:color w:val="000000"/>
                <w:sz w:val="18"/>
                <w:szCs w:val="18"/>
                <w:shd w:val="clear" w:color="auto" w:fill="FFFFFF"/>
              </w:rPr>
              <w:t>160 mg/kg</w:t>
            </w:r>
          </w:p>
        </w:tc>
        <w:tc>
          <w:tcPr>
            <w:tcW w:w="5366" w:type="dxa"/>
            <w:shd w:val="clear" w:color="auto" w:fill="auto"/>
          </w:tcPr>
          <w:p w14:paraId="6AB8F528" w14:textId="77777777" w:rsidR="00625DC0" w:rsidRPr="00A200CD" w:rsidRDefault="00625DC0" w:rsidP="00127FF5">
            <w:pPr>
              <w:pStyle w:val="Bullet1G"/>
              <w:numPr>
                <w:ilvl w:val="0"/>
                <w:numId w:val="0"/>
              </w:numPr>
              <w:spacing w:before="60" w:after="60" w:line="240" w:lineRule="auto"/>
              <w:ind w:left="170" w:right="57" w:hanging="147"/>
              <w:jc w:val="left"/>
              <w:rPr>
                <w:rFonts w:eastAsia="Times New Roman"/>
                <w:color w:val="000000"/>
                <w:sz w:val="18"/>
                <w:szCs w:val="18"/>
                <w:shd w:val="clear" w:color="auto" w:fill="FFFFFF"/>
              </w:rPr>
            </w:pPr>
            <w:r w:rsidRPr="00A200CD">
              <w:rPr>
                <w:rFonts w:eastAsia="Times New Roman"/>
                <w:color w:val="000000"/>
                <w:sz w:val="18"/>
                <w:szCs w:val="18"/>
              </w:rPr>
              <w:t>•</w:t>
            </w:r>
            <w:r w:rsidRPr="00A200CD">
              <w:rPr>
                <w:rFonts w:eastAsia="Times New Roman"/>
                <w:color w:val="000000"/>
                <w:sz w:val="18"/>
                <w:szCs w:val="18"/>
              </w:rPr>
              <w:tab/>
            </w:r>
            <w:r w:rsidR="00A200CD" w:rsidRPr="00A200CD">
              <w:rPr>
                <w:rFonts w:eastAsia="Times New Roman"/>
                <w:color w:val="000000"/>
                <w:sz w:val="18"/>
                <w:szCs w:val="18"/>
                <w:shd w:val="clear" w:color="auto" w:fill="FFFFFF"/>
                <w:lang w:val="fr-FR"/>
              </w:rPr>
              <w:t xml:space="preserve">Foie </w:t>
            </w:r>
            <w:r w:rsidR="00A200CD">
              <w:rPr>
                <w:rFonts w:eastAsia="Times New Roman"/>
                <w:color w:val="000000"/>
                <w:sz w:val="18"/>
                <w:szCs w:val="18"/>
                <w:shd w:val="clear" w:color="auto" w:fill="FFFFFF"/>
                <w:lang w:val="fr-FR"/>
              </w:rPr>
              <w:t>−</w:t>
            </w:r>
            <w:r w:rsidR="00A200CD" w:rsidRPr="00A200CD">
              <w:rPr>
                <w:rFonts w:eastAsia="Times New Roman"/>
                <w:color w:val="000000"/>
                <w:sz w:val="18"/>
                <w:szCs w:val="18"/>
                <w:shd w:val="clear" w:color="auto" w:fill="FFFFFF"/>
                <w:lang w:val="fr-FR"/>
              </w:rPr>
              <w:t xml:space="preserve"> Décès, constaté par autopsie, imputé à une fibrose avancée</w:t>
            </w:r>
          </w:p>
          <w:p w14:paraId="54A201E8" w14:textId="77777777" w:rsidR="00625DC0" w:rsidRPr="00A200CD" w:rsidRDefault="00625DC0" w:rsidP="00127FF5">
            <w:pPr>
              <w:pStyle w:val="Bullet1G"/>
              <w:numPr>
                <w:ilvl w:val="0"/>
                <w:numId w:val="0"/>
              </w:numPr>
              <w:spacing w:before="60" w:after="60" w:line="240" w:lineRule="auto"/>
              <w:ind w:left="170" w:right="57" w:hanging="147"/>
              <w:jc w:val="left"/>
              <w:rPr>
                <w:rFonts w:eastAsia="Times New Roman"/>
                <w:color w:val="000000"/>
                <w:sz w:val="18"/>
                <w:szCs w:val="18"/>
                <w:shd w:val="clear" w:color="auto" w:fill="FFFFFF"/>
              </w:rPr>
            </w:pPr>
            <w:r w:rsidRPr="00A200CD">
              <w:rPr>
                <w:rFonts w:eastAsia="Times New Roman"/>
                <w:color w:val="000000"/>
                <w:sz w:val="18"/>
                <w:szCs w:val="18"/>
              </w:rPr>
              <w:t>•</w:t>
            </w:r>
            <w:r w:rsidRPr="00A200CD">
              <w:rPr>
                <w:rFonts w:eastAsia="Times New Roman"/>
                <w:color w:val="000000"/>
                <w:sz w:val="18"/>
                <w:szCs w:val="18"/>
              </w:rPr>
              <w:tab/>
            </w:r>
            <w:r w:rsidR="00A200CD" w:rsidRPr="00A200CD">
              <w:rPr>
                <w:rFonts w:eastAsia="Times New Roman"/>
                <w:color w:val="000000"/>
                <w:sz w:val="18"/>
                <w:szCs w:val="18"/>
                <w:shd w:val="clear" w:color="auto" w:fill="FFFFFF"/>
                <w:lang w:val="fr-FR"/>
              </w:rPr>
              <w:t>Observations cliniques : À une dose de 200 mg/kg, ataxie observée chez l</w:t>
            </w:r>
            <w:r w:rsidR="004F0AEA">
              <w:rPr>
                <w:rFonts w:eastAsia="Times New Roman"/>
                <w:color w:val="000000"/>
                <w:sz w:val="18"/>
                <w:szCs w:val="18"/>
                <w:shd w:val="clear" w:color="auto" w:fill="FFFFFF"/>
                <w:lang w:val="fr-FR"/>
              </w:rPr>
              <w:t>’</w:t>
            </w:r>
            <w:r w:rsidR="00A200CD" w:rsidRPr="00A200CD">
              <w:rPr>
                <w:rFonts w:eastAsia="Times New Roman"/>
                <w:color w:val="000000"/>
                <w:sz w:val="18"/>
                <w:szCs w:val="18"/>
                <w:shd w:val="clear" w:color="auto" w:fill="FFFFFF"/>
                <w:lang w:val="fr-FR"/>
              </w:rPr>
              <w:t>animal</w:t>
            </w:r>
            <w:r w:rsidR="00E5585C">
              <w:rPr>
                <w:rFonts w:eastAsia="Times New Roman"/>
                <w:color w:val="000000"/>
                <w:sz w:val="18"/>
                <w:szCs w:val="18"/>
                <w:shd w:val="clear" w:color="auto" w:fill="FFFFFF"/>
                <w:lang w:val="fr-FR"/>
              </w:rPr>
              <w:t>.</w:t>
            </w:r>
          </w:p>
        </w:tc>
      </w:tr>
      <w:tr w:rsidR="00625DC0" w:rsidRPr="00A200CD" w14:paraId="43EBC2BF" w14:textId="77777777" w:rsidTr="00A200CD">
        <w:tc>
          <w:tcPr>
            <w:tcW w:w="1157" w:type="dxa"/>
            <w:shd w:val="clear" w:color="auto" w:fill="auto"/>
          </w:tcPr>
          <w:p w14:paraId="5A122250" w14:textId="77777777" w:rsidR="00625DC0" w:rsidRPr="00807FB8" w:rsidRDefault="00A200CD" w:rsidP="00127FF5">
            <w:pPr>
              <w:spacing w:before="60" w:after="60" w:line="240" w:lineRule="auto"/>
              <w:jc w:val="center"/>
              <w:rPr>
                <w:rFonts w:eastAsia="Times New Roman"/>
                <w:color w:val="000000"/>
                <w:sz w:val="18"/>
                <w:szCs w:val="18"/>
                <w:shd w:val="clear" w:color="auto" w:fill="FFFFFF"/>
              </w:rPr>
            </w:pPr>
            <w:r>
              <w:rPr>
                <w:rFonts w:eastAsia="Times New Roman"/>
                <w:color w:val="000000"/>
                <w:sz w:val="18"/>
                <w:szCs w:val="18"/>
                <w:shd w:val="clear" w:color="auto" w:fill="FFFFFF"/>
              </w:rPr>
              <w:t>Cutanée</w:t>
            </w:r>
          </w:p>
        </w:tc>
        <w:tc>
          <w:tcPr>
            <w:tcW w:w="833" w:type="dxa"/>
            <w:shd w:val="clear" w:color="auto" w:fill="auto"/>
          </w:tcPr>
          <w:p w14:paraId="04BB3028" w14:textId="77777777" w:rsidR="00625DC0" w:rsidRPr="00807FB8" w:rsidRDefault="00A200CD" w:rsidP="00127FF5">
            <w:pPr>
              <w:spacing w:before="60" w:after="60" w:line="240" w:lineRule="auto"/>
              <w:jc w:val="center"/>
              <w:rPr>
                <w:rFonts w:eastAsia="Times New Roman"/>
                <w:color w:val="000000"/>
                <w:sz w:val="18"/>
                <w:szCs w:val="18"/>
                <w:shd w:val="clear" w:color="auto" w:fill="FFFFFF"/>
              </w:rPr>
            </w:pPr>
            <w:r>
              <w:rPr>
                <w:rFonts w:eastAsia="Times New Roman"/>
                <w:color w:val="000000"/>
                <w:sz w:val="18"/>
                <w:szCs w:val="18"/>
                <w:shd w:val="clear" w:color="auto" w:fill="FFFFFF"/>
              </w:rPr>
              <w:t>Lapin</w:t>
            </w:r>
          </w:p>
        </w:tc>
        <w:tc>
          <w:tcPr>
            <w:tcW w:w="1120" w:type="dxa"/>
            <w:shd w:val="clear" w:color="auto" w:fill="auto"/>
          </w:tcPr>
          <w:p w14:paraId="1C3320E3" w14:textId="77777777" w:rsidR="00625DC0" w:rsidRPr="00807FB8" w:rsidRDefault="00625DC0" w:rsidP="00127FF5">
            <w:pPr>
              <w:spacing w:before="60" w:after="60" w:line="240" w:lineRule="auto"/>
              <w:jc w:val="center"/>
              <w:rPr>
                <w:rFonts w:eastAsia="Times New Roman"/>
                <w:color w:val="000000"/>
                <w:sz w:val="18"/>
                <w:szCs w:val="18"/>
                <w:shd w:val="clear" w:color="auto" w:fill="FFFFFF"/>
              </w:rPr>
            </w:pPr>
            <w:r w:rsidRPr="00807FB8">
              <w:rPr>
                <w:rFonts w:eastAsia="Times New Roman"/>
                <w:color w:val="000000"/>
                <w:sz w:val="18"/>
                <w:szCs w:val="18"/>
                <w:shd w:val="clear" w:color="auto" w:fill="FFFFFF"/>
              </w:rPr>
              <w:t>3</w:t>
            </w:r>
            <w:r w:rsidR="003505B8">
              <w:rPr>
                <w:rFonts w:eastAsia="Times New Roman"/>
                <w:color w:val="000000"/>
                <w:sz w:val="18"/>
                <w:szCs w:val="18"/>
                <w:shd w:val="clear" w:color="auto" w:fill="FFFFFF"/>
              </w:rPr>
              <w:t> </w:t>
            </w:r>
            <w:r w:rsidRPr="00807FB8">
              <w:rPr>
                <w:rFonts w:eastAsia="Times New Roman"/>
                <w:color w:val="000000"/>
                <w:sz w:val="18"/>
                <w:szCs w:val="18"/>
                <w:shd w:val="clear" w:color="auto" w:fill="FFFFFF"/>
              </w:rPr>
              <w:t>100 mg/kg</w:t>
            </w:r>
          </w:p>
        </w:tc>
        <w:tc>
          <w:tcPr>
            <w:tcW w:w="5366" w:type="dxa"/>
            <w:shd w:val="clear" w:color="auto" w:fill="auto"/>
          </w:tcPr>
          <w:p w14:paraId="70815A56" w14:textId="77777777" w:rsidR="00625DC0" w:rsidRPr="00A200CD" w:rsidRDefault="00625DC0" w:rsidP="00127FF5">
            <w:pPr>
              <w:pStyle w:val="Bullet1G"/>
              <w:numPr>
                <w:ilvl w:val="0"/>
                <w:numId w:val="0"/>
              </w:numPr>
              <w:spacing w:before="60" w:after="60" w:line="240" w:lineRule="auto"/>
              <w:ind w:left="170" w:right="57" w:hanging="147"/>
              <w:jc w:val="left"/>
              <w:rPr>
                <w:rFonts w:eastAsia="Times New Roman"/>
                <w:color w:val="000000"/>
                <w:sz w:val="18"/>
                <w:szCs w:val="18"/>
                <w:shd w:val="clear" w:color="auto" w:fill="FFFFFF"/>
              </w:rPr>
            </w:pPr>
            <w:r w:rsidRPr="00A200CD">
              <w:rPr>
                <w:rFonts w:eastAsia="Times New Roman"/>
                <w:color w:val="000000"/>
                <w:sz w:val="18"/>
                <w:szCs w:val="18"/>
              </w:rPr>
              <w:t>•</w:t>
            </w:r>
            <w:r w:rsidRPr="00A200CD">
              <w:rPr>
                <w:rFonts w:eastAsia="Times New Roman"/>
                <w:color w:val="000000"/>
                <w:sz w:val="18"/>
                <w:szCs w:val="18"/>
              </w:rPr>
              <w:tab/>
            </w:r>
            <w:r w:rsidR="00A200CD" w:rsidRPr="00A200CD">
              <w:rPr>
                <w:rFonts w:eastAsia="Times New Roman"/>
                <w:color w:val="000000"/>
                <w:sz w:val="18"/>
                <w:szCs w:val="18"/>
                <w:shd w:val="clear" w:color="auto" w:fill="FFFFFF"/>
                <w:lang w:val="fr-FR"/>
              </w:rPr>
              <w:t xml:space="preserve">Foie </w:t>
            </w:r>
            <w:r w:rsidR="00A200CD">
              <w:rPr>
                <w:rFonts w:eastAsia="Times New Roman"/>
                <w:color w:val="000000"/>
                <w:sz w:val="18"/>
                <w:szCs w:val="18"/>
                <w:shd w:val="clear" w:color="auto" w:fill="FFFFFF"/>
                <w:lang w:val="fr-FR"/>
              </w:rPr>
              <w:t>−</w:t>
            </w:r>
            <w:r w:rsidR="00A200CD" w:rsidRPr="00A200CD">
              <w:rPr>
                <w:rFonts w:eastAsia="Times New Roman"/>
                <w:color w:val="000000"/>
                <w:sz w:val="18"/>
                <w:szCs w:val="18"/>
                <w:shd w:val="clear" w:color="auto" w:fill="FFFFFF"/>
                <w:lang w:val="fr-FR"/>
              </w:rPr>
              <w:t xml:space="preserve"> Décès, constaté par autopsie, imputé à une fibrose</w:t>
            </w:r>
          </w:p>
          <w:p w14:paraId="2D738616" w14:textId="77777777" w:rsidR="00625DC0" w:rsidRPr="00A200CD" w:rsidRDefault="00625DC0" w:rsidP="00127FF5">
            <w:pPr>
              <w:pStyle w:val="Bullet1G"/>
              <w:numPr>
                <w:ilvl w:val="0"/>
                <w:numId w:val="0"/>
              </w:numPr>
              <w:spacing w:before="60" w:after="60" w:line="240" w:lineRule="auto"/>
              <w:ind w:left="170" w:right="57" w:hanging="147"/>
              <w:jc w:val="left"/>
              <w:rPr>
                <w:rFonts w:eastAsia="Times New Roman"/>
                <w:color w:val="000000"/>
                <w:sz w:val="18"/>
                <w:szCs w:val="18"/>
                <w:shd w:val="clear" w:color="auto" w:fill="FFFFFF"/>
              </w:rPr>
            </w:pPr>
            <w:r w:rsidRPr="00A200CD">
              <w:rPr>
                <w:rFonts w:eastAsia="Times New Roman"/>
                <w:color w:val="000000"/>
                <w:sz w:val="18"/>
                <w:szCs w:val="18"/>
              </w:rPr>
              <w:t>•</w:t>
            </w:r>
            <w:r w:rsidRPr="00A200CD">
              <w:rPr>
                <w:rFonts w:eastAsia="Times New Roman"/>
                <w:color w:val="000000"/>
                <w:sz w:val="18"/>
                <w:szCs w:val="18"/>
              </w:rPr>
              <w:tab/>
            </w:r>
            <w:r w:rsidR="00A200CD" w:rsidRPr="00A200CD">
              <w:rPr>
                <w:rFonts w:eastAsia="Times New Roman"/>
                <w:color w:val="000000"/>
                <w:sz w:val="18"/>
                <w:szCs w:val="18"/>
                <w:shd w:val="clear" w:color="auto" w:fill="FFFFFF"/>
                <w:lang w:val="fr-FR"/>
              </w:rPr>
              <w:t>Aucun autre effet observé sur d</w:t>
            </w:r>
            <w:r w:rsidR="004F0AEA">
              <w:rPr>
                <w:rFonts w:eastAsia="Times New Roman"/>
                <w:color w:val="000000"/>
                <w:sz w:val="18"/>
                <w:szCs w:val="18"/>
                <w:shd w:val="clear" w:color="auto" w:fill="FFFFFF"/>
                <w:lang w:val="fr-FR"/>
              </w:rPr>
              <w:t>’</w:t>
            </w:r>
            <w:r w:rsidR="00A200CD" w:rsidRPr="00A200CD">
              <w:rPr>
                <w:rFonts w:eastAsia="Times New Roman"/>
                <w:color w:val="000000"/>
                <w:sz w:val="18"/>
                <w:szCs w:val="18"/>
                <w:shd w:val="clear" w:color="auto" w:fill="FFFFFF"/>
                <w:lang w:val="fr-FR"/>
              </w:rPr>
              <w:t>autres organes à l</w:t>
            </w:r>
            <w:r w:rsidR="004F0AEA">
              <w:rPr>
                <w:rFonts w:eastAsia="Times New Roman"/>
                <w:color w:val="000000"/>
                <w:sz w:val="18"/>
                <w:szCs w:val="18"/>
                <w:shd w:val="clear" w:color="auto" w:fill="FFFFFF"/>
                <w:lang w:val="fr-FR"/>
              </w:rPr>
              <w:t>’</w:t>
            </w:r>
            <w:r w:rsidR="00A200CD" w:rsidRPr="00A200CD">
              <w:rPr>
                <w:rFonts w:eastAsia="Times New Roman"/>
                <w:color w:val="000000"/>
                <w:sz w:val="18"/>
                <w:szCs w:val="18"/>
                <w:shd w:val="clear" w:color="auto" w:fill="FFFFFF"/>
                <w:lang w:val="fr-FR"/>
              </w:rPr>
              <w:t>issue de l</w:t>
            </w:r>
            <w:r w:rsidR="004F0AEA">
              <w:rPr>
                <w:rFonts w:eastAsia="Times New Roman"/>
                <w:color w:val="000000"/>
                <w:sz w:val="18"/>
                <w:szCs w:val="18"/>
                <w:shd w:val="clear" w:color="auto" w:fill="FFFFFF"/>
                <w:lang w:val="fr-FR"/>
              </w:rPr>
              <w:t>’</w:t>
            </w:r>
            <w:r w:rsidR="00A200CD" w:rsidRPr="00A200CD">
              <w:rPr>
                <w:rFonts w:eastAsia="Times New Roman"/>
                <w:color w:val="000000"/>
                <w:sz w:val="18"/>
                <w:szCs w:val="18"/>
                <w:shd w:val="clear" w:color="auto" w:fill="FFFFFF"/>
                <w:lang w:val="fr-FR"/>
              </w:rPr>
              <w:t>autopsie</w:t>
            </w:r>
            <w:r w:rsidR="00E5585C">
              <w:rPr>
                <w:rFonts w:eastAsia="Times New Roman"/>
                <w:color w:val="000000"/>
                <w:sz w:val="18"/>
                <w:szCs w:val="18"/>
                <w:shd w:val="clear" w:color="auto" w:fill="FFFFFF"/>
                <w:lang w:val="fr-FR"/>
              </w:rPr>
              <w:t>.</w:t>
            </w:r>
          </w:p>
        </w:tc>
      </w:tr>
    </w:tbl>
    <w:p w14:paraId="469B0189" w14:textId="77777777" w:rsidR="00625DC0" w:rsidRPr="001B1F0F" w:rsidRDefault="00625DC0" w:rsidP="00A200CD">
      <w:pPr>
        <w:pStyle w:val="H23G"/>
        <w:rPr>
          <w:lang w:val="fr-FR"/>
        </w:rPr>
      </w:pPr>
      <w:r>
        <w:rPr>
          <w:lang w:val="fr-FR"/>
        </w:rPr>
        <w:tab/>
      </w:r>
      <w:r>
        <w:rPr>
          <w:lang w:val="fr-FR"/>
        </w:rPr>
        <w:tab/>
        <w:t>Réponse</w:t>
      </w:r>
    </w:p>
    <w:p w14:paraId="4396D10B" w14:textId="77777777" w:rsidR="00625DC0" w:rsidRPr="001B1F0F" w:rsidRDefault="00625DC0" w:rsidP="00A200CD">
      <w:pPr>
        <w:pStyle w:val="SingleTxtG"/>
        <w:rPr>
          <w:lang w:val="fr-FR"/>
        </w:rPr>
      </w:pPr>
      <w:r>
        <w:rPr>
          <w:lang w:val="fr-FR"/>
        </w:rPr>
        <w:t>Toxicité orale aiguë, catégorie 4</w:t>
      </w:r>
    </w:p>
    <w:p w14:paraId="0BDE5888" w14:textId="77777777" w:rsidR="00625DC0" w:rsidRPr="001B1F0F" w:rsidRDefault="00625DC0" w:rsidP="00A200CD">
      <w:pPr>
        <w:pStyle w:val="SingleTxtG"/>
        <w:rPr>
          <w:lang w:val="fr-FR"/>
        </w:rPr>
      </w:pPr>
      <w:r>
        <w:rPr>
          <w:lang w:val="fr-FR"/>
        </w:rPr>
        <w:t>Toxicité cutanée aiguë, catégorie 5</w:t>
      </w:r>
    </w:p>
    <w:p w14:paraId="6BF72275" w14:textId="77777777" w:rsidR="00625DC0" w:rsidRPr="001B1F0F" w:rsidRDefault="00625DC0" w:rsidP="00A200CD">
      <w:pPr>
        <w:pStyle w:val="SingleTxtG"/>
        <w:rPr>
          <w:lang w:val="fr-FR"/>
        </w:rPr>
      </w:pPr>
      <w:r>
        <w:rPr>
          <w:lang w:val="fr-FR"/>
        </w:rPr>
        <w:t xml:space="preserve">Toxicité pour certains organes cibles </w:t>
      </w:r>
      <w:r w:rsidR="003505B8">
        <w:rPr>
          <w:lang w:val="fr-FR"/>
        </w:rPr>
        <w:t>−</w:t>
      </w:r>
      <w:r>
        <w:rPr>
          <w:lang w:val="fr-FR"/>
        </w:rPr>
        <w:t xml:space="preserve"> exposition unique, catégorie 1 (système nerveux)</w:t>
      </w:r>
    </w:p>
    <w:p w14:paraId="02F1E688" w14:textId="77777777" w:rsidR="00625DC0" w:rsidRPr="001B1F0F" w:rsidRDefault="00625DC0" w:rsidP="00A200CD">
      <w:pPr>
        <w:pStyle w:val="H23G"/>
        <w:rPr>
          <w:lang w:val="fr-FR"/>
        </w:rPr>
      </w:pPr>
      <w:r>
        <w:rPr>
          <w:lang w:val="fr-FR"/>
        </w:rPr>
        <w:tab/>
      </w:r>
      <w:r>
        <w:rPr>
          <w:lang w:val="fr-FR"/>
        </w:rPr>
        <w:tab/>
        <w:t xml:space="preserve">Justifications </w:t>
      </w:r>
    </w:p>
    <w:p w14:paraId="1525A4FC" w14:textId="77777777" w:rsidR="00625DC0" w:rsidRPr="001B1F0F" w:rsidRDefault="00A200CD" w:rsidP="00A200CD">
      <w:pPr>
        <w:pStyle w:val="H4G"/>
        <w:rPr>
          <w:lang w:val="fr-FR"/>
        </w:rPr>
      </w:pPr>
      <w:r>
        <w:rPr>
          <w:lang w:val="fr-FR"/>
        </w:rPr>
        <w:tab/>
      </w:r>
      <w:r w:rsidR="00625DC0">
        <w:rPr>
          <w:lang w:val="fr-FR"/>
        </w:rPr>
        <w:t>a)</w:t>
      </w:r>
      <w:r w:rsidR="00625DC0">
        <w:rPr>
          <w:lang w:val="fr-FR"/>
        </w:rPr>
        <w:tab/>
        <w:t>Toxicité orale aiguë</w:t>
      </w:r>
    </w:p>
    <w:p w14:paraId="60370627" w14:textId="77777777" w:rsidR="00625DC0" w:rsidRPr="001B1F0F" w:rsidRDefault="00625DC0" w:rsidP="00A200CD">
      <w:pPr>
        <w:pStyle w:val="SingleTxtG"/>
        <w:rPr>
          <w:lang w:val="fr-FR"/>
        </w:rPr>
      </w:pPr>
      <w:r>
        <w:rPr>
          <w:lang w:val="fr-FR"/>
        </w:rPr>
        <w:t>Une classification sur la base des critères du tableau 3.1.1 du SGH est possible. L</w:t>
      </w:r>
      <w:r w:rsidR="004F0AEA">
        <w:rPr>
          <w:lang w:val="fr-FR"/>
        </w:rPr>
        <w:t>’</w:t>
      </w:r>
      <w:r>
        <w:rPr>
          <w:lang w:val="fr-FR"/>
        </w:rPr>
        <w:t>étude a été réalisée sur l</w:t>
      </w:r>
      <w:r w:rsidR="004F0AEA">
        <w:rPr>
          <w:lang w:val="fr-FR"/>
        </w:rPr>
        <w:t>’</w:t>
      </w:r>
      <w:r>
        <w:rPr>
          <w:lang w:val="fr-FR"/>
        </w:rPr>
        <w:t>espèce animale préférée pour l</w:t>
      </w:r>
      <w:r w:rsidR="004F0AEA">
        <w:rPr>
          <w:lang w:val="fr-FR"/>
        </w:rPr>
        <w:t>’</w:t>
      </w:r>
      <w:r>
        <w:rPr>
          <w:lang w:val="fr-FR"/>
        </w:rPr>
        <w:t>évaluation de la toxicité aiguë par voie orale et par inhalation (à savoir le rat), conformément au 3.1.2.3 ; la DL</w:t>
      </w:r>
      <w:r>
        <w:rPr>
          <w:vertAlign w:val="subscript"/>
          <w:lang w:val="fr-FR"/>
        </w:rPr>
        <w:t>50</w:t>
      </w:r>
      <w:r>
        <w:rPr>
          <w:lang w:val="fr-FR"/>
        </w:rPr>
        <w:t xml:space="preserve"> administrée par ingestion (1 160 mg/kg) se situe dans l</w:t>
      </w:r>
      <w:r w:rsidR="004F0AEA">
        <w:rPr>
          <w:lang w:val="fr-FR"/>
        </w:rPr>
        <w:t>’</w:t>
      </w:r>
      <w:r>
        <w:rPr>
          <w:lang w:val="fr-FR"/>
        </w:rPr>
        <w:t>intervalle correspondant à la catégorie 4, à savoir 300 &lt; ETA ≤ 2 000, ce qui justifie une classification dans cette catégorie pour l</w:t>
      </w:r>
      <w:r w:rsidR="004F0AEA">
        <w:rPr>
          <w:lang w:val="fr-FR"/>
        </w:rPr>
        <w:t>’</w:t>
      </w:r>
      <w:r>
        <w:rPr>
          <w:lang w:val="fr-FR"/>
        </w:rPr>
        <w:t>exposition par voie orale.</w:t>
      </w:r>
    </w:p>
    <w:p w14:paraId="39F3F643" w14:textId="77777777" w:rsidR="00625DC0" w:rsidRPr="001B1F0F" w:rsidRDefault="00A200CD" w:rsidP="00A200CD">
      <w:pPr>
        <w:pStyle w:val="H4G"/>
        <w:rPr>
          <w:lang w:val="fr-FR"/>
        </w:rPr>
      </w:pPr>
      <w:r>
        <w:rPr>
          <w:lang w:val="fr-FR"/>
        </w:rPr>
        <w:tab/>
      </w:r>
      <w:r w:rsidR="00625DC0">
        <w:rPr>
          <w:lang w:val="fr-FR"/>
        </w:rPr>
        <w:t>b)</w:t>
      </w:r>
      <w:r w:rsidR="00625DC0">
        <w:rPr>
          <w:lang w:val="fr-FR"/>
        </w:rPr>
        <w:tab/>
      </w:r>
      <w:r w:rsidR="00625DC0">
        <w:rPr>
          <w:iCs/>
          <w:lang w:val="fr-FR"/>
        </w:rPr>
        <w:t>Toxicité cutanée aiguë</w:t>
      </w:r>
    </w:p>
    <w:p w14:paraId="5F3B37FD" w14:textId="77777777" w:rsidR="00625DC0" w:rsidRPr="001B1F0F" w:rsidRDefault="00625DC0" w:rsidP="00A200CD">
      <w:pPr>
        <w:pStyle w:val="SingleTxtG"/>
        <w:rPr>
          <w:lang w:val="fr-FR"/>
        </w:rPr>
      </w:pPr>
      <w:r>
        <w:rPr>
          <w:lang w:val="fr-FR"/>
        </w:rPr>
        <w:t>Une classification sur la base des critères du tableau 3.1.1 du SGH est possible. L</w:t>
      </w:r>
      <w:r w:rsidR="004F0AEA">
        <w:rPr>
          <w:lang w:val="fr-FR"/>
        </w:rPr>
        <w:t>’</w:t>
      </w:r>
      <w:r>
        <w:rPr>
          <w:lang w:val="fr-FR"/>
        </w:rPr>
        <w:t>étude a été réalisée sur l</w:t>
      </w:r>
      <w:r w:rsidR="004F0AEA">
        <w:rPr>
          <w:lang w:val="fr-FR"/>
        </w:rPr>
        <w:t>’</w:t>
      </w:r>
      <w:r>
        <w:rPr>
          <w:lang w:val="fr-FR"/>
        </w:rPr>
        <w:t>une des espèces animales préférées pour l</w:t>
      </w:r>
      <w:r w:rsidR="004F0AEA">
        <w:rPr>
          <w:lang w:val="fr-FR"/>
        </w:rPr>
        <w:t>’</w:t>
      </w:r>
      <w:r>
        <w:rPr>
          <w:lang w:val="fr-FR"/>
        </w:rPr>
        <w:t>évaluation de la toxicité aiguë par voie cutanée (à savoir le rat ou le lapin), conformément au 3.1.2.3 ; la DL</w:t>
      </w:r>
      <w:r>
        <w:rPr>
          <w:vertAlign w:val="subscript"/>
          <w:lang w:val="fr-FR"/>
        </w:rPr>
        <w:t>50</w:t>
      </w:r>
      <w:r>
        <w:rPr>
          <w:lang w:val="fr-FR"/>
        </w:rPr>
        <w:t xml:space="preserve"> de 3</w:t>
      </w:r>
      <w:r w:rsidR="003505B8">
        <w:rPr>
          <w:lang w:val="fr-FR"/>
        </w:rPr>
        <w:t> </w:t>
      </w:r>
      <w:r>
        <w:rPr>
          <w:lang w:val="fr-FR"/>
        </w:rPr>
        <w:t>100</w:t>
      </w:r>
      <w:r w:rsidR="003505B8">
        <w:rPr>
          <w:lang w:val="fr-FR"/>
        </w:rPr>
        <w:t> </w:t>
      </w:r>
      <w:r>
        <w:rPr>
          <w:lang w:val="fr-FR"/>
        </w:rPr>
        <w:t>mg/kg, administrée par application cutanée au lapin, se situe dans l</w:t>
      </w:r>
      <w:r w:rsidR="004F0AEA">
        <w:rPr>
          <w:lang w:val="fr-FR"/>
        </w:rPr>
        <w:t>’</w:t>
      </w:r>
      <w:r>
        <w:rPr>
          <w:lang w:val="fr-FR"/>
        </w:rPr>
        <w:t>intervalle correspondant à la catégorie 5, à savoir 200 &lt; ETA ≤ 5 000, ce qui justifie une classification dans cette catégorie pour l</w:t>
      </w:r>
      <w:r w:rsidR="004F0AEA">
        <w:rPr>
          <w:lang w:val="fr-FR"/>
        </w:rPr>
        <w:t>’</w:t>
      </w:r>
      <w:r>
        <w:rPr>
          <w:lang w:val="fr-FR"/>
        </w:rPr>
        <w:t>exposition par voie cutanée.</w:t>
      </w:r>
    </w:p>
    <w:p w14:paraId="7DDFC1F8" w14:textId="77777777" w:rsidR="00625DC0" w:rsidRPr="001B1F0F" w:rsidRDefault="00A200CD" w:rsidP="00A200CD">
      <w:pPr>
        <w:pStyle w:val="H4G"/>
        <w:rPr>
          <w:lang w:val="fr-FR"/>
        </w:rPr>
      </w:pPr>
      <w:r>
        <w:rPr>
          <w:lang w:val="fr-FR"/>
        </w:rPr>
        <w:lastRenderedPageBreak/>
        <w:tab/>
      </w:r>
      <w:r w:rsidR="00625DC0">
        <w:rPr>
          <w:lang w:val="fr-FR"/>
        </w:rPr>
        <w:t>c)</w:t>
      </w:r>
      <w:r w:rsidR="00625DC0">
        <w:rPr>
          <w:lang w:val="fr-FR"/>
        </w:rPr>
        <w:tab/>
      </w:r>
      <w:r w:rsidR="00625DC0">
        <w:rPr>
          <w:iCs/>
          <w:lang w:val="fr-FR"/>
        </w:rPr>
        <w:t xml:space="preserve">Toxicité pour certains organes cibles </w:t>
      </w:r>
      <w:r>
        <w:rPr>
          <w:iCs/>
          <w:lang w:val="fr-FR"/>
        </w:rPr>
        <w:t>−</w:t>
      </w:r>
      <w:r w:rsidR="00625DC0">
        <w:rPr>
          <w:iCs/>
          <w:lang w:val="fr-FR"/>
        </w:rPr>
        <w:t xml:space="preserve"> exposition unique</w:t>
      </w:r>
    </w:p>
    <w:p w14:paraId="0C2137DD" w14:textId="77777777" w:rsidR="00625DC0" w:rsidRPr="001B1F0F" w:rsidRDefault="00625DC0" w:rsidP="00A200CD">
      <w:pPr>
        <w:pStyle w:val="SingleTxtG"/>
        <w:keepNext/>
        <w:keepLines/>
        <w:rPr>
          <w:lang w:val="fr-FR"/>
        </w:rPr>
      </w:pPr>
      <w:r>
        <w:rPr>
          <w:lang w:val="fr-FR"/>
        </w:rPr>
        <w:t>Les effets observés après une exposition sur des êtres humains (allant d</w:t>
      </w:r>
      <w:r w:rsidR="004F0AEA">
        <w:rPr>
          <w:lang w:val="fr-FR"/>
        </w:rPr>
        <w:t>’</w:t>
      </w:r>
      <w:r>
        <w:rPr>
          <w:lang w:val="fr-FR"/>
        </w:rPr>
        <w:t>une neuropathie périphérique légère à une paralysie permanente) sont des effets toxiques non létaux sur le système nerveux central.</w:t>
      </w:r>
      <w:r w:rsidR="004633F2">
        <w:rPr>
          <w:lang w:val="fr-FR"/>
        </w:rPr>
        <w:t xml:space="preserve"> </w:t>
      </w:r>
      <w:r>
        <w:rPr>
          <w:lang w:val="fr-FR"/>
        </w:rPr>
        <w:t xml:space="preserve">Compte tenu des critères de la catégorie 1, cités dans la figure 3.8.1, à savoir « a) des données fiables et de </w:t>
      </w:r>
      <w:proofErr w:type="gramStart"/>
      <w:r>
        <w:rPr>
          <w:lang w:val="fr-FR"/>
        </w:rPr>
        <w:t>bonne qualité livrées</w:t>
      </w:r>
      <w:proofErr w:type="gramEnd"/>
      <w:r>
        <w:rPr>
          <w:lang w:val="fr-FR"/>
        </w:rPr>
        <w:t xml:space="preserve"> par des études de cas humains ou des études épidémiologiques », une affectation à la catégorie 1 se justifie.</w:t>
      </w:r>
    </w:p>
    <w:p w14:paraId="7168DAFF" w14:textId="77777777" w:rsidR="00625DC0" w:rsidRPr="001B1F0F" w:rsidRDefault="00625DC0" w:rsidP="00A200CD">
      <w:pPr>
        <w:pStyle w:val="SingleTxtG"/>
        <w:rPr>
          <w:lang w:val="fr-FR"/>
        </w:rPr>
      </w:pPr>
      <w:r>
        <w:rPr>
          <w:lang w:val="fr-FR"/>
        </w:rPr>
        <w:t>Dans ce cas précis, les affectations aux classes « toxicité orale aiguë » et « toxicité cutanée aiguë » correspondent aux effets létaux qu</w:t>
      </w:r>
      <w:r w:rsidR="004F0AEA">
        <w:rPr>
          <w:lang w:val="fr-FR"/>
        </w:rPr>
        <w:t>’</w:t>
      </w:r>
      <w:r>
        <w:rPr>
          <w:lang w:val="fr-FR"/>
        </w:rPr>
        <w:t>a la matière concernée sur un organe cible distinct (à savoir l</w:t>
      </w:r>
      <w:r w:rsidR="004F0AEA">
        <w:rPr>
          <w:lang w:val="fr-FR"/>
        </w:rPr>
        <w:t>’</w:t>
      </w:r>
      <w:r>
        <w:rPr>
          <w:lang w:val="fr-FR"/>
        </w:rPr>
        <w:t>atteinte au foie, confirmée comme étant la cause du décès à l</w:t>
      </w:r>
      <w:r w:rsidR="004F0AEA">
        <w:rPr>
          <w:lang w:val="fr-FR"/>
        </w:rPr>
        <w:t>’</w:t>
      </w:r>
      <w:r>
        <w:rPr>
          <w:lang w:val="fr-FR"/>
        </w:rPr>
        <w:t>issue de l</w:t>
      </w:r>
      <w:r w:rsidR="004F0AEA">
        <w:rPr>
          <w:lang w:val="fr-FR"/>
        </w:rPr>
        <w:t>’</w:t>
      </w:r>
      <w:r>
        <w:rPr>
          <w:lang w:val="fr-FR"/>
        </w:rPr>
        <w:t xml:space="preserve">autopsie) et suivent un mécanisme différent du mécanisme en cause dans le cadre des effets non létaux subis par le système nerveux central ; </w:t>
      </w:r>
      <w:r w:rsidRPr="00190C7E">
        <w:rPr>
          <w:lang w:val="fr-FR"/>
        </w:rPr>
        <w:t>ces classifications n</w:t>
      </w:r>
      <w:r w:rsidR="004F0AEA" w:rsidRPr="00190C7E">
        <w:rPr>
          <w:lang w:val="fr-FR"/>
        </w:rPr>
        <w:t>’</w:t>
      </w:r>
      <w:r w:rsidRPr="00190C7E">
        <w:rPr>
          <w:lang w:val="fr-FR"/>
        </w:rPr>
        <w:t xml:space="preserve">empêchent donc pas une affectation à la classe de danger « toxicité pour certains organes cibles </w:t>
      </w:r>
      <w:r w:rsidR="00E5585C" w:rsidRPr="00190C7E">
        <w:rPr>
          <w:lang w:val="fr-FR"/>
        </w:rPr>
        <w:t>−</w:t>
      </w:r>
      <w:r w:rsidRPr="00190C7E">
        <w:rPr>
          <w:lang w:val="fr-FR"/>
        </w:rPr>
        <w:t xml:space="preserve"> exposition unique ».</w:t>
      </w:r>
    </w:p>
    <w:p w14:paraId="5EA64DF0" w14:textId="77777777" w:rsidR="00625DC0" w:rsidRPr="00625DC0" w:rsidRDefault="00625DC0" w:rsidP="00A200CD">
      <w:pPr>
        <w:pStyle w:val="SingleTxtG"/>
        <w:jc w:val="center"/>
      </w:pPr>
      <w:r>
        <w:rPr>
          <w:lang w:val="fr-FR"/>
        </w:rPr>
        <w:t>(Fin de l</w:t>
      </w:r>
      <w:r w:rsidR="004F0AEA">
        <w:rPr>
          <w:lang w:val="fr-FR"/>
        </w:rPr>
        <w:t>’</w:t>
      </w:r>
      <w:r>
        <w:rPr>
          <w:lang w:val="fr-FR"/>
        </w:rPr>
        <w:t>exemple 2)</w:t>
      </w:r>
    </w:p>
    <w:p w14:paraId="2D08E035" w14:textId="77777777" w:rsidR="00625DC0" w:rsidRPr="001B1F0F" w:rsidRDefault="00625DC0" w:rsidP="00A96E99">
      <w:pPr>
        <w:pStyle w:val="H1G"/>
        <w:rPr>
          <w:lang w:val="fr-FR"/>
        </w:rPr>
      </w:pPr>
      <w:r w:rsidRPr="00625DC0">
        <w:br w:type="page"/>
      </w:r>
      <w:r>
        <w:rPr>
          <w:lang w:val="fr-FR"/>
        </w:rPr>
        <w:lastRenderedPageBreak/>
        <w:tab/>
      </w:r>
      <w:r>
        <w:rPr>
          <w:lang w:val="fr-FR"/>
        </w:rPr>
        <w:tab/>
        <w:t>Exemple 3</w:t>
      </w:r>
    </w:p>
    <w:p w14:paraId="488E19EF" w14:textId="77777777" w:rsidR="00625DC0" w:rsidRPr="001B1F0F" w:rsidRDefault="00625DC0" w:rsidP="00A96E99">
      <w:pPr>
        <w:pStyle w:val="SingleTxtG"/>
        <w:rPr>
          <w:lang w:val="fr-FR"/>
        </w:rPr>
      </w:pPr>
      <w:r>
        <w:rPr>
          <w:lang w:val="fr-FR"/>
        </w:rPr>
        <w:t xml:space="preserve">Le présent exemple porte sur les critères énoncés aux 3.9.1.1 et 3.9.1.6 dans les cas où une matière peut être affectée aussi bien à la classe de danger « toxicité pour certains organes cibles </w:t>
      </w:r>
      <w:r w:rsidR="00A96E99">
        <w:rPr>
          <w:lang w:val="fr-FR"/>
        </w:rPr>
        <w:t>−</w:t>
      </w:r>
      <w:r>
        <w:rPr>
          <w:lang w:val="fr-FR"/>
        </w:rPr>
        <w:t xml:space="preserve"> expositions répétées » pour les effets non létaux, qu</w:t>
      </w:r>
      <w:r w:rsidR="004F0AEA">
        <w:rPr>
          <w:lang w:val="fr-FR"/>
        </w:rPr>
        <w:t>’</w:t>
      </w:r>
      <w:r>
        <w:rPr>
          <w:lang w:val="fr-FR"/>
        </w:rPr>
        <w:t>à la classe « toxicité aiguë » pour les effets létaux.</w:t>
      </w:r>
    </w:p>
    <w:p w14:paraId="0E85C702" w14:textId="77777777" w:rsidR="00625DC0" w:rsidRPr="001B1F0F" w:rsidRDefault="00625DC0" w:rsidP="00A96E99">
      <w:pPr>
        <w:pStyle w:val="H23G"/>
        <w:rPr>
          <w:lang w:val="fr-FR"/>
        </w:rPr>
      </w:pPr>
      <w:r>
        <w:rPr>
          <w:lang w:val="fr-FR"/>
        </w:rPr>
        <w:tab/>
      </w:r>
      <w:r>
        <w:rPr>
          <w:lang w:val="fr-FR"/>
        </w:rPr>
        <w:tab/>
        <w:t>Informations sur la matière 3</w:t>
      </w:r>
    </w:p>
    <w:p w14:paraId="3D3061C2" w14:textId="77777777" w:rsidR="00625DC0" w:rsidRPr="001B1F0F" w:rsidRDefault="00625DC0" w:rsidP="00A96E99">
      <w:pPr>
        <w:pStyle w:val="H23G"/>
        <w:rPr>
          <w:lang w:val="fr-FR"/>
        </w:rPr>
      </w:pPr>
      <w:r>
        <w:rPr>
          <w:lang w:val="fr-FR"/>
        </w:rPr>
        <w:tab/>
      </w:r>
      <w:r>
        <w:rPr>
          <w:lang w:val="fr-FR"/>
        </w:rPr>
        <w:tab/>
        <w:t>Données</w:t>
      </w:r>
    </w:p>
    <w:p w14:paraId="042314A4" w14:textId="77777777" w:rsidR="00625DC0" w:rsidRDefault="00625DC0" w:rsidP="00A96E99">
      <w:pPr>
        <w:pStyle w:val="H4G"/>
        <w:rPr>
          <w:lang w:val="fr-FR"/>
        </w:rPr>
      </w:pPr>
      <w:r>
        <w:rPr>
          <w:lang w:val="fr-FR"/>
        </w:rPr>
        <w:tab/>
      </w:r>
      <w:r>
        <w:rPr>
          <w:lang w:val="fr-FR"/>
        </w:rPr>
        <w:tab/>
        <w:t>Données obtenues sur la base d</w:t>
      </w:r>
      <w:r w:rsidR="004F0AEA">
        <w:rPr>
          <w:lang w:val="fr-FR"/>
        </w:rPr>
        <w:t>’</w:t>
      </w:r>
      <w:r>
        <w:rPr>
          <w:lang w:val="fr-FR"/>
        </w:rPr>
        <w:t xml:space="preserve">expérimentations </w:t>
      </w:r>
      <w:r w:rsidR="00A96E99">
        <w:rPr>
          <w:lang w:val="fr-FR"/>
        </w:rPr>
        <w:br/>
      </w:r>
      <w:r>
        <w:rPr>
          <w:lang w:val="fr-FR"/>
        </w:rPr>
        <w:t>sur des animaux concernant la toxicité aiguë</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816"/>
        <w:gridCol w:w="1738"/>
        <w:gridCol w:w="4510"/>
      </w:tblGrid>
      <w:tr w:rsidR="00625DC0" w:rsidRPr="00807FB8" w14:paraId="1C0E8ED1" w14:textId="77777777" w:rsidTr="006558AB">
        <w:tc>
          <w:tcPr>
            <w:tcW w:w="989" w:type="dxa"/>
            <w:shd w:val="clear" w:color="auto" w:fill="auto"/>
          </w:tcPr>
          <w:p w14:paraId="50DB7DCA" w14:textId="77777777" w:rsidR="00625DC0" w:rsidRPr="00807FB8" w:rsidRDefault="00E5585C" w:rsidP="006558AB">
            <w:pPr>
              <w:spacing w:after="40" w:line="240" w:lineRule="auto"/>
              <w:jc w:val="center"/>
              <w:rPr>
                <w:rFonts w:eastAsia="Times New Roman"/>
                <w:b/>
                <w:color w:val="000000"/>
                <w:sz w:val="18"/>
                <w:szCs w:val="18"/>
                <w:shd w:val="clear" w:color="auto" w:fill="FFFFFF"/>
              </w:rPr>
            </w:pPr>
            <w:r>
              <w:rPr>
                <w:rFonts w:eastAsia="Times New Roman"/>
                <w:b/>
                <w:color w:val="000000"/>
                <w:sz w:val="18"/>
                <w:szCs w:val="18"/>
                <w:shd w:val="clear" w:color="auto" w:fill="FFFFFF"/>
              </w:rPr>
              <w:t>Voie d’exposition</w:t>
            </w:r>
          </w:p>
        </w:tc>
        <w:tc>
          <w:tcPr>
            <w:tcW w:w="776" w:type="dxa"/>
            <w:shd w:val="clear" w:color="auto" w:fill="auto"/>
          </w:tcPr>
          <w:p w14:paraId="0F75A0A7" w14:textId="77777777" w:rsidR="00625DC0" w:rsidRPr="00807FB8" w:rsidRDefault="004633AE" w:rsidP="006558AB">
            <w:pPr>
              <w:spacing w:after="40" w:line="240" w:lineRule="auto"/>
              <w:jc w:val="center"/>
              <w:rPr>
                <w:rFonts w:eastAsia="Times New Roman"/>
                <w:b/>
                <w:color w:val="000000"/>
                <w:sz w:val="18"/>
                <w:szCs w:val="18"/>
                <w:shd w:val="clear" w:color="auto" w:fill="FFFFFF"/>
              </w:rPr>
            </w:pPr>
            <w:r>
              <w:rPr>
                <w:rFonts w:eastAsia="Times New Roman"/>
                <w:b/>
                <w:color w:val="000000"/>
                <w:sz w:val="18"/>
                <w:szCs w:val="18"/>
                <w:shd w:val="clear" w:color="auto" w:fill="FFFFFF"/>
              </w:rPr>
              <w:t>Espèces</w:t>
            </w:r>
          </w:p>
        </w:tc>
        <w:tc>
          <w:tcPr>
            <w:tcW w:w="1779" w:type="dxa"/>
            <w:shd w:val="clear" w:color="auto" w:fill="auto"/>
          </w:tcPr>
          <w:p w14:paraId="2EA0DA38" w14:textId="77777777" w:rsidR="00625DC0" w:rsidRPr="00807FB8" w:rsidRDefault="004633AE" w:rsidP="006558AB">
            <w:pPr>
              <w:spacing w:after="40" w:line="240" w:lineRule="auto"/>
              <w:jc w:val="center"/>
              <w:rPr>
                <w:rFonts w:eastAsia="Times New Roman"/>
                <w:b/>
                <w:color w:val="000000"/>
                <w:sz w:val="18"/>
                <w:szCs w:val="18"/>
                <w:shd w:val="clear" w:color="auto" w:fill="FFFFFF"/>
              </w:rPr>
            </w:pPr>
            <w:r w:rsidRPr="004633AE">
              <w:rPr>
                <w:rFonts w:eastAsia="Times New Roman"/>
                <w:b/>
                <w:bCs/>
                <w:color w:val="000000"/>
                <w:sz w:val="18"/>
                <w:szCs w:val="18"/>
                <w:shd w:val="clear" w:color="auto" w:fill="FFFFFF"/>
                <w:lang w:val="fr-FR"/>
              </w:rPr>
              <w:t>Valeur de la DL</w:t>
            </w:r>
            <w:r w:rsidRPr="004633AE">
              <w:rPr>
                <w:rFonts w:eastAsia="Times New Roman"/>
                <w:b/>
                <w:bCs/>
                <w:color w:val="000000"/>
                <w:sz w:val="18"/>
                <w:szCs w:val="18"/>
                <w:shd w:val="clear" w:color="auto" w:fill="FFFFFF"/>
                <w:vertAlign w:val="subscript"/>
                <w:lang w:val="fr-FR"/>
              </w:rPr>
              <w:t>50</w:t>
            </w:r>
            <w:r w:rsidRPr="004633AE">
              <w:rPr>
                <w:rFonts w:eastAsia="Times New Roman"/>
                <w:b/>
                <w:bCs/>
                <w:color w:val="000000"/>
                <w:sz w:val="18"/>
                <w:szCs w:val="18"/>
                <w:shd w:val="clear" w:color="auto" w:fill="FFFFFF"/>
                <w:lang w:val="fr-FR"/>
              </w:rPr>
              <w:t>/CL</w:t>
            </w:r>
            <w:r w:rsidRPr="004633AE">
              <w:rPr>
                <w:rFonts w:eastAsia="Times New Roman"/>
                <w:b/>
                <w:bCs/>
                <w:color w:val="000000"/>
                <w:sz w:val="18"/>
                <w:szCs w:val="18"/>
                <w:shd w:val="clear" w:color="auto" w:fill="FFFFFF"/>
                <w:vertAlign w:val="subscript"/>
                <w:lang w:val="fr-FR"/>
              </w:rPr>
              <w:t>50</w:t>
            </w:r>
          </w:p>
        </w:tc>
        <w:tc>
          <w:tcPr>
            <w:tcW w:w="4677" w:type="dxa"/>
            <w:shd w:val="clear" w:color="auto" w:fill="auto"/>
          </w:tcPr>
          <w:p w14:paraId="6BE06EFB" w14:textId="77777777" w:rsidR="00625DC0" w:rsidRPr="00807FB8" w:rsidRDefault="00625DC0" w:rsidP="006558AB">
            <w:pPr>
              <w:spacing w:after="40" w:line="240" w:lineRule="auto"/>
              <w:jc w:val="center"/>
              <w:rPr>
                <w:rFonts w:eastAsia="Times New Roman"/>
                <w:b/>
                <w:color w:val="000000"/>
                <w:sz w:val="18"/>
                <w:szCs w:val="18"/>
                <w:shd w:val="clear" w:color="auto" w:fill="FFFFFF"/>
              </w:rPr>
            </w:pPr>
            <w:r w:rsidRPr="00807FB8">
              <w:rPr>
                <w:rFonts w:eastAsia="Times New Roman"/>
                <w:b/>
                <w:color w:val="000000"/>
                <w:sz w:val="18"/>
                <w:szCs w:val="18"/>
                <w:shd w:val="clear" w:color="auto" w:fill="FFFFFF"/>
              </w:rPr>
              <w:t>Observations</w:t>
            </w:r>
          </w:p>
        </w:tc>
      </w:tr>
      <w:tr w:rsidR="00625DC0" w:rsidRPr="004633AE" w14:paraId="04D1AD0A" w14:textId="77777777" w:rsidTr="006558AB">
        <w:trPr>
          <w:trHeight w:val="298"/>
        </w:trPr>
        <w:tc>
          <w:tcPr>
            <w:tcW w:w="989" w:type="dxa"/>
            <w:shd w:val="clear" w:color="auto" w:fill="auto"/>
          </w:tcPr>
          <w:p w14:paraId="7589B6AC" w14:textId="77777777" w:rsidR="00625DC0" w:rsidRPr="00807FB8" w:rsidRDefault="00625DC0" w:rsidP="00127FF5">
            <w:pPr>
              <w:spacing w:before="60" w:after="60" w:line="240" w:lineRule="auto"/>
              <w:jc w:val="center"/>
              <w:rPr>
                <w:rFonts w:eastAsia="Times New Roman"/>
                <w:color w:val="000000"/>
                <w:sz w:val="18"/>
                <w:szCs w:val="18"/>
                <w:shd w:val="clear" w:color="auto" w:fill="FFFFFF"/>
              </w:rPr>
            </w:pPr>
            <w:r w:rsidRPr="00807FB8">
              <w:rPr>
                <w:rFonts w:eastAsia="Times New Roman"/>
                <w:color w:val="000000"/>
                <w:sz w:val="18"/>
                <w:szCs w:val="18"/>
                <w:shd w:val="clear" w:color="auto" w:fill="FFFFFF"/>
              </w:rPr>
              <w:t>Oral</w:t>
            </w:r>
            <w:r w:rsidR="004633AE">
              <w:rPr>
                <w:rFonts w:eastAsia="Times New Roman"/>
                <w:color w:val="000000"/>
                <w:sz w:val="18"/>
                <w:szCs w:val="18"/>
                <w:shd w:val="clear" w:color="auto" w:fill="FFFFFF"/>
              </w:rPr>
              <w:t>e</w:t>
            </w:r>
          </w:p>
        </w:tc>
        <w:tc>
          <w:tcPr>
            <w:tcW w:w="776" w:type="dxa"/>
            <w:shd w:val="clear" w:color="auto" w:fill="auto"/>
          </w:tcPr>
          <w:p w14:paraId="3F31E104" w14:textId="77777777" w:rsidR="00625DC0" w:rsidRPr="00807FB8" w:rsidRDefault="00625DC0" w:rsidP="00127FF5">
            <w:pPr>
              <w:spacing w:before="60" w:after="60" w:line="240" w:lineRule="auto"/>
              <w:jc w:val="center"/>
              <w:rPr>
                <w:rFonts w:eastAsia="Times New Roman"/>
                <w:color w:val="000000"/>
                <w:sz w:val="18"/>
                <w:szCs w:val="18"/>
                <w:shd w:val="clear" w:color="auto" w:fill="FFFFFF"/>
              </w:rPr>
            </w:pPr>
            <w:r w:rsidRPr="00807FB8">
              <w:rPr>
                <w:rFonts w:eastAsia="Times New Roman"/>
                <w:color w:val="000000"/>
                <w:sz w:val="18"/>
                <w:szCs w:val="18"/>
                <w:shd w:val="clear" w:color="auto" w:fill="FFFFFF"/>
              </w:rPr>
              <w:t>Rat</w:t>
            </w:r>
          </w:p>
        </w:tc>
        <w:tc>
          <w:tcPr>
            <w:tcW w:w="1779" w:type="dxa"/>
            <w:shd w:val="clear" w:color="auto" w:fill="auto"/>
          </w:tcPr>
          <w:p w14:paraId="77922C18" w14:textId="77777777" w:rsidR="00625DC0" w:rsidRPr="00807FB8" w:rsidRDefault="00625DC0" w:rsidP="00127FF5">
            <w:pPr>
              <w:spacing w:before="60" w:after="60" w:line="240" w:lineRule="auto"/>
              <w:jc w:val="center"/>
              <w:rPr>
                <w:rFonts w:eastAsia="Times New Roman"/>
                <w:color w:val="000000"/>
                <w:sz w:val="18"/>
                <w:szCs w:val="18"/>
                <w:shd w:val="clear" w:color="auto" w:fill="FFFFFF"/>
              </w:rPr>
            </w:pPr>
            <w:r w:rsidRPr="00807FB8">
              <w:rPr>
                <w:rFonts w:eastAsia="Times New Roman"/>
                <w:color w:val="000000"/>
                <w:sz w:val="18"/>
                <w:szCs w:val="18"/>
                <w:shd w:val="clear" w:color="auto" w:fill="FFFFFF"/>
              </w:rPr>
              <w:t>254 mg/kg</w:t>
            </w:r>
          </w:p>
        </w:tc>
        <w:tc>
          <w:tcPr>
            <w:tcW w:w="4677" w:type="dxa"/>
            <w:shd w:val="clear" w:color="auto" w:fill="auto"/>
          </w:tcPr>
          <w:p w14:paraId="3DB28629" w14:textId="77777777" w:rsidR="00625DC0" w:rsidRPr="004633AE" w:rsidRDefault="00625DC0" w:rsidP="00127FF5">
            <w:pPr>
              <w:pStyle w:val="Bullet1G"/>
              <w:numPr>
                <w:ilvl w:val="0"/>
                <w:numId w:val="0"/>
              </w:numPr>
              <w:spacing w:before="60" w:after="60" w:line="240" w:lineRule="auto"/>
              <w:ind w:left="168" w:right="26" w:hanging="145"/>
              <w:jc w:val="left"/>
              <w:rPr>
                <w:rFonts w:eastAsia="Times New Roman"/>
                <w:color w:val="000000"/>
                <w:sz w:val="18"/>
                <w:szCs w:val="18"/>
                <w:shd w:val="clear" w:color="auto" w:fill="FFFFFF"/>
              </w:rPr>
            </w:pPr>
            <w:r w:rsidRPr="004633AE">
              <w:rPr>
                <w:rFonts w:eastAsia="Times New Roman"/>
                <w:color w:val="000000"/>
                <w:sz w:val="18"/>
                <w:szCs w:val="18"/>
              </w:rPr>
              <w:t>•</w:t>
            </w:r>
            <w:r w:rsidRPr="004633AE">
              <w:rPr>
                <w:rFonts w:eastAsia="Times New Roman"/>
                <w:color w:val="000000"/>
                <w:sz w:val="18"/>
                <w:szCs w:val="18"/>
              </w:rPr>
              <w:tab/>
            </w:r>
            <w:r w:rsidR="004633AE" w:rsidRPr="004633AE">
              <w:rPr>
                <w:rFonts w:eastAsia="Times New Roman"/>
                <w:color w:val="000000"/>
                <w:sz w:val="18"/>
                <w:szCs w:val="18"/>
                <w:shd w:val="clear" w:color="auto" w:fill="FFFFFF"/>
                <w:lang w:val="fr-FR"/>
              </w:rPr>
              <w:t>Décès imputable directement à une nécrose étendue du pancréas</w:t>
            </w:r>
            <w:r w:rsidR="00E5585C">
              <w:rPr>
                <w:rFonts w:eastAsia="Times New Roman"/>
                <w:color w:val="000000"/>
                <w:sz w:val="18"/>
                <w:szCs w:val="18"/>
                <w:shd w:val="clear" w:color="auto" w:fill="FFFFFF"/>
                <w:lang w:val="fr-FR"/>
              </w:rPr>
              <w:t>.</w:t>
            </w:r>
          </w:p>
        </w:tc>
      </w:tr>
      <w:tr w:rsidR="00625DC0" w:rsidRPr="004633AE" w14:paraId="7DF0F76C" w14:textId="77777777" w:rsidTr="006558AB">
        <w:trPr>
          <w:trHeight w:val="440"/>
        </w:trPr>
        <w:tc>
          <w:tcPr>
            <w:tcW w:w="989" w:type="dxa"/>
            <w:shd w:val="clear" w:color="auto" w:fill="auto"/>
          </w:tcPr>
          <w:p w14:paraId="7AE7F973" w14:textId="77777777" w:rsidR="00625DC0" w:rsidRPr="00807FB8" w:rsidRDefault="00625DC0" w:rsidP="00127FF5">
            <w:pPr>
              <w:spacing w:before="60" w:after="60" w:line="240" w:lineRule="auto"/>
              <w:jc w:val="center"/>
              <w:rPr>
                <w:rFonts w:eastAsia="Times New Roman"/>
                <w:color w:val="000000"/>
                <w:sz w:val="18"/>
                <w:szCs w:val="18"/>
                <w:shd w:val="clear" w:color="auto" w:fill="FFFFFF"/>
              </w:rPr>
            </w:pPr>
            <w:r w:rsidRPr="00807FB8">
              <w:rPr>
                <w:rFonts w:eastAsia="Times New Roman"/>
                <w:color w:val="000000"/>
                <w:sz w:val="18"/>
                <w:szCs w:val="18"/>
                <w:shd w:val="clear" w:color="auto" w:fill="FFFFFF"/>
              </w:rPr>
              <w:t>Inhalation (</w:t>
            </w:r>
            <w:r w:rsidR="004633AE" w:rsidRPr="00807FB8">
              <w:rPr>
                <w:rFonts w:eastAsia="Times New Roman"/>
                <w:color w:val="000000"/>
                <w:sz w:val="18"/>
                <w:szCs w:val="18"/>
                <w:shd w:val="clear" w:color="auto" w:fill="FFFFFF"/>
              </w:rPr>
              <w:t>Aérosol</w:t>
            </w:r>
            <w:r w:rsidRPr="00807FB8">
              <w:rPr>
                <w:rFonts w:eastAsia="Times New Roman"/>
                <w:color w:val="000000"/>
                <w:sz w:val="18"/>
                <w:szCs w:val="18"/>
                <w:shd w:val="clear" w:color="auto" w:fill="FFFFFF"/>
              </w:rPr>
              <w:t>)</w:t>
            </w:r>
          </w:p>
        </w:tc>
        <w:tc>
          <w:tcPr>
            <w:tcW w:w="776" w:type="dxa"/>
            <w:shd w:val="clear" w:color="auto" w:fill="auto"/>
          </w:tcPr>
          <w:p w14:paraId="3059A00C" w14:textId="77777777" w:rsidR="00625DC0" w:rsidRPr="00807FB8" w:rsidRDefault="00625DC0" w:rsidP="00127FF5">
            <w:pPr>
              <w:spacing w:before="60" w:after="60" w:line="240" w:lineRule="auto"/>
              <w:jc w:val="center"/>
              <w:rPr>
                <w:rFonts w:eastAsia="Times New Roman"/>
                <w:color w:val="000000"/>
                <w:sz w:val="18"/>
                <w:szCs w:val="18"/>
                <w:shd w:val="clear" w:color="auto" w:fill="FFFFFF"/>
              </w:rPr>
            </w:pPr>
            <w:r w:rsidRPr="00807FB8">
              <w:rPr>
                <w:rFonts w:eastAsia="Times New Roman"/>
                <w:color w:val="000000"/>
                <w:sz w:val="18"/>
                <w:szCs w:val="18"/>
                <w:shd w:val="clear" w:color="auto" w:fill="FFFFFF"/>
              </w:rPr>
              <w:t>Rat</w:t>
            </w:r>
          </w:p>
        </w:tc>
        <w:tc>
          <w:tcPr>
            <w:tcW w:w="1779" w:type="dxa"/>
            <w:shd w:val="clear" w:color="auto" w:fill="auto"/>
          </w:tcPr>
          <w:p w14:paraId="795DBC28" w14:textId="77777777" w:rsidR="00625DC0" w:rsidRPr="00807FB8" w:rsidRDefault="00625DC0" w:rsidP="00127FF5">
            <w:pPr>
              <w:spacing w:before="60" w:after="60" w:line="240" w:lineRule="auto"/>
              <w:jc w:val="center"/>
              <w:rPr>
                <w:rFonts w:eastAsia="Times New Roman"/>
                <w:color w:val="000000"/>
                <w:sz w:val="18"/>
                <w:szCs w:val="18"/>
                <w:shd w:val="clear" w:color="auto" w:fill="FFFFFF"/>
              </w:rPr>
            </w:pPr>
            <w:r w:rsidRPr="00807FB8">
              <w:rPr>
                <w:rFonts w:eastAsia="Times New Roman"/>
                <w:color w:val="000000"/>
                <w:sz w:val="18"/>
                <w:szCs w:val="18"/>
                <w:shd w:val="clear" w:color="auto" w:fill="FFFFFF"/>
              </w:rPr>
              <w:t>0</w:t>
            </w:r>
            <w:r w:rsidR="00E5585C">
              <w:rPr>
                <w:rFonts w:eastAsia="Times New Roman"/>
                <w:color w:val="000000"/>
                <w:sz w:val="18"/>
                <w:szCs w:val="18"/>
                <w:shd w:val="clear" w:color="auto" w:fill="FFFFFF"/>
              </w:rPr>
              <w:t>,</w:t>
            </w:r>
            <w:r w:rsidRPr="00807FB8">
              <w:rPr>
                <w:rFonts w:eastAsia="Times New Roman"/>
                <w:color w:val="000000"/>
                <w:sz w:val="18"/>
                <w:szCs w:val="18"/>
                <w:shd w:val="clear" w:color="auto" w:fill="FFFFFF"/>
              </w:rPr>
              <w:t>89 mg/l (4 h</w:t>
            </w:r>
            <w:r w:rsidR="004633F2">
              <w:rPr>
                <w:rFonts w:eastAsia="Times New Roman"/>
                <w:color w:val="000000"/>
                <w:sz w:val="18"/>
                <w:szCs w:val="18"/>
                <w:shd w:val="clear" w:color="auto" w:fill="FFFFFF"/>
              </w:rPr>
              <w:t>eures</w:t>
            </w:r>
            <w:r w:rsidRPr="00807FB8">
              <w:rPr>
                <w:rFonts w:eastAsia="Times New Roman"/>
                <w:color w:val="000000"/>
                <w:sz w:val="18"/>
                <w:szCs w:val="18"/>
                <w:shd w:val="clear" w:color="auto" w:fill="FFFFFF"/>
              </w:rPr>
              <w:t>)</w:t>
            </w:r>
          </w:p>
        </w:tc>
        <w:tc>
          <w:tcPr>
            <w:tcW w:w="4677" w:type="dxa"/>
            <w:shd w:val="clear" w:color="auto" w:fill="auto"/>
          </w:tcPr>
          <w:p w14:paraId="1C083588" w14:textId="77777777" w:rsidR="00625DC0" w:rsidRPr="004633AE" w:rsidRDefault="00625DC0" w:rsidP="00127FF5">
            <w:pPr>
              <w:pStyle w:val="Bullet1G"/>
              <w:numPr>
                <w:ilvl w:val="0"/>
                <w:numId w:val="0"/>
              </w:numPr>
              <w:spacing w:before="60" w:after="60" w:line="240" w:lineRule="auto"/>
              <w:ind w:left="168" w:right="171" w:hanging="145"/>
              <w:jc w:val="left"/>
              <w:rPr>
                <w:rFonts w:eastAsia="Times New Roman"/>
                <w:color w:val="000000"/>
                <w:sz w:val="18"/>
                <w:szCs w:val="18"/>
                <w:shd w:val="clear" w:color="auto" w:fill="FFFFFF"/>
              </w:rPr>
            </w:pPr>
            <w:r w:rsidRPr="004633AE">
              <w:rPr>
                <w:rFonts w:eastAsia="Times New Roman"/>
                <w:color w:val="000000"/>
                <w:sz w:val="18"/>
                <w:szCs w:val="18"/>
              </w:rPr>
              <w:t>•</w:t>
            </w:r>
            <w:r w:rsidRPr="004633AE">
              <w:rPr>
                <w:rFonts w:eastAsia="Times New Roman"/>
                <w:color w:val="000000"/>
                <w:sz w:val="18"/>
                <w:szCs w:val="18"/>
              </w:rPr>
              <w:tab/>
            </w:r>
            <w:r w:rsidR="004633AE" w:rsidRPr="004633AE">
              <w:rPr>
                <w:rFonts w:eastAsia="Times New Roman"/>
                <w:color w:val="000000"/>
                <w:sz w:val="18"/>
                <w:szCs w:val="18"/>
                <w:shd w:val="clear" w:color="auto" w:fill="FFFFFF"/>
                <w:lang w:val="fr-FR"/>
              </w:rPr>
              <w:t>Signes cliniques : animaux décédés sans montrer de symptômes particuliers</w:t>
            </w:r>
            <w:r w:rsidR="00E5585C">
              <w:rPr>
                <w:rFonts w:eastAsia="Times New Roman"/>
                <w:color w:val="000000"/>
                <w:sz w:val="18"/>
                <w:szCs w:val="18"/>
                <w:shd w:val="clear" w:color="auto" w:fill="FFFFFF"/>
                <w:lang w:val="fr-FR"/>
              </w:rPr>
              <w:t>.</w:t>
            </w:r>
          </w:p>
          <w:p w14:paraId="01FA6492" w14:textId="77777777" w:rsidR="00625DC0" w:rsidRPr="004633AE" w:rsidRDefault="00625DC0" w:rsidP="00127FF5">
            <w:pPr>
              <w:pStyle w:val="Bullet1G"/>
              <w:numPr>
                <w:ilvl w:val="0"/>
                <w:numId w:val="0"/>
              </w:numPr>
              <w:spacing w:before="60" w:after="60" w:line="240" w:lineRule="auto"/>
              <w:ind w:left="168" w:right="171" w:hanging="145"/>
              <w:jc w:val="left"/>
              <w:rPr>
                <w:sz w:val="18"/>
                <w:szCs w:val="18"/>
                <w:shd w:val="clear" w:color="auto" w:fill="FFFFFF"/>
              </w:rPr>
            </w:pPr>
            <w:r w:rsidRPr="004633AE">
              <w:rPr>
                <w:sz w:val="18"/>
                <w:szCs w:val="18"/>
              </w:rPr>
              <w:t>•</w:t>
            </w:r>
            <w:r w:rsidRPr="004633AE">
              <w:rPr>
                <w:sz w:val="18"/>
                <w:szCs w:val="18"/>
              </w:rPr>
              <w:tab/>
            </w:r>
            <w:r w:rsidR="004633AE" w:rsidRPr="004633AE">
              <w:rPr>
                <w:sz w:val="18"/>
                <w:szCs w:val="18"/>
                <w:shd w:val="clear" w:color="auto" w:fill="FFFFFF"/>
                <w:lang w:val="fr-FR"/>
              </w:rPr>
              <w:t>Pathologie : décoloration brune des poumons</w:t>
            </w:r>
            <w:r w:rsidR="00E5585C">
              <w:rPr>
                <w:sz w:val="18"/>
                <w:szCs w:val="18"/>
                <w:shd w:val="clear" w:color="auto" w:fill="FFFFFF"/>
                <w:lang w:val="fr-FR"/>
              </w:rPr>
              <w:t>.</w:t>
            </w:r>
          </w:p>
        </w:tc>
      </w:tr>
    </w:tbl>
    <w:p w14:paraId="2050E7E5" w14:textId="77777777" w:rsidR="00625DC0" w:rsidRPr="001B1F0F" w:rsidRDefault="00625DC0" w:rsidP="004633AE">
      <w:pPr>
        <w:pStyle w:val="H4G"/>
        <w:rPr>
          <w:lang w:val="fr-FR"/>
        </w:rPr>
      </w:pPr>
      <w:r>
        <w:rPr>
          <w:lang w:val="fr-FR"/>
        </w:rPr>
        <w:tab/>
      </w:r>
      <w:r>
        <w:rPr>
          <w:lang w:val="fr-FR"/>
        </w:rPr>
        <w:tab/>
        <w:t xml:space="preserve">Toxicité pour certains organes cibles </w:t>
      </w:r>
      <w:r w:rsidR="004633AE">
        <w:rPr>
          <w:lang w:val="fr-FR"/>
        </w:rPr>
        <w:t>−</w:t>
      </w:r>
      <w:r>
        <w:rPr>
          <w:lang w:val="fr-FR"/>
        </w:rPr>
        <w:t xml:space="preserve"> expositions répétées</w:t>
      </w:r>
    </w:p>
    <w:p w14:paraId="5ADCF7C2" w14:textId="77777777" w:rsidR="00625DC0" w:rsidRPr="001B1F0F" w:rsidRDefault="00625DC0" w:rsidP="004633AE">
      <w:pPr>
        <w:pStyle w:val="H56G"/>
        <w:rPr>
          <w:lang w:val="fr-FR"/>
        </w:rPr>
      </w:pPr>
      <w:r>
        <w:rPr>
          <w:lang w:val="fr-FR"/>
        </w:rPr>
        <w:tab/>
      </w:r>
      <w:r>
        <w:rPr>
          <w:lang w:val="fr-FR"/>
        </w:rPr>
        <w:tab/>
        <w:t>Voie d</w:t>
      </w:r>
      <w:r w:rsidR="004F0AEA">
        <w:rPr>
          <w:lang w:val="fr-FR"/>
        </w:rPr>
        <w:t>’</w:t>
      </w:r>
      <w:r>
        <w:rPr>
          <w:lang w:val="fr-FR"/>
        </w:rPr>
        <w:t>exposition orale</w:t>
      </w:r>
    </w:p>
    <w:p w14:paraId="6A19B6D3" w14:textId="77777777" w:rsidR="00625DC0" w:rsidRDefault="00625DC0" w:rsidP="004633AE">
      <w:pPr>
        <w:pStyle w:val="SingleTxtG"/>
        <w:rPr>
          <w:lang w:val="fr-FR"/>
        </w:rPr>
      </w:pPr>
      <w:r>
        <w:rPr>
          <w:lang w:val="fr-FR"/>
        </w:rPr>
        <w:t xml:space="preserve">Voie orale pendant </w:t>
      </w:r>
      <w:r w:rsidR="00E5585C">
        <w:rPr>
          <w:lang w:val="fr-FR"/>
        </w:rPr>
        <w:t xml:space="preserve">vingt-huit </w:t>
      </w:r>
      <w:r>
        <w:rPr>
          <w:lang w:val="fr-FR"/>
        </w:rPr>
        <w:t>jours (gavage) ; doses administrées : 0, 1, 10 et 50 mg/kg p.c./jour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6836"/>
      </w:tblGrid>
      <w:tr w:rsidR="00625DC0" w:rsidRPr="000529D8" w14:paraId="1845A436" w14:textId="77777777" w:rsidTr="004633AE">
        <w:trPr>
          <w:tblHeader/>
          <w:jc w:val="center"/>
        </w:trPr>
        <w:tc>
          <w:tcPr>
            <w:tcW w:w="1453" w:type="dxa"/>
            <w:shd w:val="clear" w:color="auto" w:fill="auto"/>
          </w:tcPr>
          <w:p w14:paraId="7787A553" w14:textId="77777777" w:rsidR="004633AE" w:rsidRPr="000529D8" w:rsidRDefault="004633AE" w:rsidP="004633AE">
            <w:pPr>
              <w:jc w:val="center"/>
              <w:rPr>
                <w:rFonts w:asciiTheme="majorBidi" w:hAnsiTheme="majorBidi" w:cstheme="majorBidi"/>
                <w:b/>
                <w:bCs/>
                <w:sz w:val="18"/>
                <w:szCs w:val="18"/>
                <w:lang w:val="fr-FR"/>
              </w:rPr>
            </w:pPr>
            <w:r w:rsidRPr="000529D8">
              <w:rPr>
                <w:rFonts w:asciiTheme="majorBidi" w:hAnsiTheme="majorBidi" w:cstheme="majorBidi"/>
                <w:b/>
                <w:bCs/>
                <w:sz w:val="18"/>
                <w:szCs w:val="18"/>
                <w:lang w:val="fr-FR"/>
              </w:rPr>
              <w:t>Doses</w:t>
            </w:r>
          </w:p>
          <w:p w14:paraId="29DE57D7" w14:textId="77777777" w:rsidR="00625DC0" w:rsidRPr="000529D8" w:rsidRDefault="004633AE" w:rsidP="004633AE">
            <w:pPr>
              <w:jc w:val="center"/>
              <w:rPr>
                <w:rFonts w:asciiTheme="majorBidi" w:hAnsiTheme="majorBidi" w:cstheme="majorBidi"/>
                <w:b/>
                <w:bCs/>
                <w:sz w:val="18"/>
                <w:szCs w:val="18"/>
              </w:rPr>
            </w:pPr>
            <w:r w:rsidRPr="000529D8">
              <w:rPr>
                <w:rFonts w:asciiTheme="majorBidi" w:hAnsiTheme="majorBidi" w:cstheme="majorBidi"/>
                <w:b/>
                <w:bCs/>
                <w:sz w:val="18"/>
                <w:szCs w:val="18"/>
                <w:lang w:val="fr-FR"/>
              </w:rPr>
              <w:t>(</w:t>
            </w:r>
            <w:proofErr w:type="gramStart"/>
            <w:r w:rsidRPr="000529D8">
              <w:rPr>
                <w:rFonts w:asciiTheme="majorBidi" w:hAnsiTheme="majorBidi" w:cstheme="majorBidi"/>
                <w:b/>
                <w:bCs/>
                <w:sz w:val="18"/>
                <w:szCs w:val="18"/>
                <w:lang w:val="fr-FR"/>
              </w:rPr>
              <w:t>mg</w:t>
            </w:r>
            <w:proofErr w:type="gramEnd"/>
            <w:r w:rsidRPr="000529D8">
              <w:rPr>
                <w:rFonts w:asciiTheme="majorBidi" w:hAnsiTheme="majorBidi" w:cstheme="majorBidi"/>
                <w:b/>
                <w:bCs/>
                <w:sz w:val="18"/>
                <w:szCs w:val="18"/>
                <w:lang w:val="fr-FR"/>
              </w:rPr>
              <w:t>/kg p.c.)</w:t>
            </w:r>
          </w:p>
        </w:tc>
        <w:tc>
          <w:tcPr>
            <w:tcW w:w="6836" w:type="dxa"/>
            <w:shd w:val="clear" w:color="auto" w:fill="auto"/>
          </w:tcPr>
          <w:p w14:paraId="51DCA227" w14:textId="77777777" w:rsidR="00625DC0" w:rsidRPr="000529D8" w:rsidRDefault="004633AE" w:rsidP="006558AB">
            <w:pPr>
              <w:jc w:val="center"/>
              <w:rPr>
                <w:rFonts w:asciiTheme="majorBidi" w:hAnsiTheme="majorBidi" w:cstheme="majorBidi"/>
                <w:b/>
                <w:bCs/>
                <w:sz w:val="18"/>
                <w:szCs w:val="18"/>
              </w:rPr>
            </w:pPr>
            <w:r w:rsidRPr="000529D8">
              <w:rPr>
                <w:rFonts w:asciiTheme="majorBidi" w:hAnsiTheme="majorBidi" w:cstheme="majorBidi"/>
                <w:b/>
                <w:bCs/>
                <w:sz w:val="18"/>
                <w:szCs w:val="18"/>
              </w:rPr>
              <w:t>Résultats</w:t>
            </w:r>
          </w:p>
        </w:tc>
      </w:tr>
      <w:tr w:rsidR="00625DC0" w:rsidRPr="000529D8" w14:paraId="72286956" w14:textId="77777777" w:rsidTr="004633AE">
        <w:trPr>
          <w:jc w:val="center"/>
        </w:trPr>
        <w:tc>
          <w:tcPr>
            <w:tcW w:w="1453" w:type="dxa"/>
            <w:shd w:val="clear" w:color="auto" w:fill="auto"/>
          </w:tcPr>
          <w:p w14:paraId="42B970A0" w14:textId="77777777" w:rsidR="00625DC0" w:rsidRPr="000529D8" w:rsidRDefault="00625DC0" w:rsidP="006558AB">
            <w:pPr>
              <w:jc w:val="center"/>
              <w:rPr>
                <w:rFonts w:asciiTheme="majorBidi" w:hAnsiTheme="majorBidi" w:cstheme="majorBidi"/>
                <w:sz w:val="18"/>
                <w:szCs w:val="18"/>
              </w:rPr>
            </w:pPr>
            <w:r w:rsidRPr="000529D8">
              <w:rPr>
                <w:rFonts w:asciiTheme="majorBidi" w:hAnsiTheme="majorBidi" w:cstheme="majorBidi"/>
                <w:sz w:val="18"/>
                <w:szCs w:val="18"/>
              </w:rPr>
              <w:t>50</w:t>
            </w:r>
          </w:p>
        </w:tc>
        <w:tc>
          <w:tcPr>
            <w:tcW w:w="6836" w:type="dxa"/>
            <w:shd w:val="clear" w:color="auto" w:fill="auto"/>
          </w:tcPr>
          <w:p w14:paraId="5F228F20" w14:textId="77777777" w:rsidR="00625DC0" w:rsidRPr="000529D8" w:rsidRDefault="00625DC0" w:rsidP="006558AB">
            <w:pPr>
              <w:pStyle w:val="Bullet1G"/>
              <w:numPr>
                <w:ilvl w:val="0"/>
                <w:numId w:val="0"/>
              </w:numPr>
              <w:spacing w:after="40" w:line="240" w:lineRule="auto"/>
              <w:ind w:left="315" w:hanging="284"/>
              <w:rPr>
                <w:rFonts w:asciiTheme="majorBidi" w:hAnsiTheme="majorBidi" w:cstheme="majorBidi"/>
                <w:sz w:val="18"/>
                <w:szCs w:val="18"/>
              </w:rPr>
            </w:pPr>
            <w:r w:rsidRPr="000529D8">
              <w:rPr>
                <w:rFonts w:asciiTheme="majorBidi" w:hAnsiTheme="majorBidi" w:cstheme="majorBidi"/>
                <w:sz w:val="18"/>
                <w:szCs w:val="18"/>
              </w:rPr>
              <w:t>•</w:t>
            </w:r>
            <w:r w:rsidRPr="000529D8">
              <w:rPr>
                <w:rFonts w:asciiTheme="majorBidi" w:hAnsiTheme="majorBidi" w:cstheme="majorBidi"/>
                <w:sz w:val="18"/>
                <w:szCs w:val="18"/>
              </w:rPr>
              <w:tab/>
            </w:r>
            <w:r w:rsidR="004633AE" w:rsidRPr="000529D8">
              <w:rPr>
                <w:rFonts w:asciiTheme="majorBidi" w:hAnsiTheme="majorBidi" w:cstheme="majorBidi"/>
                <w:sz w:val="18"/>
                <w:szCs w:val="18"/>
                <w:lang w:val="fr-FR"/>
              </w:rPr>
              <w:t>Mortalité : 6 animaux sur 16 − Organes cibles : décès imputables à la toxicité pour le foie et les reins :</w:t>
            </w:r>
          </w:p>
          <w:p w14:paraId="4BD9B922" w14:textId="77777777" w:rsidR="00625DC0" w:rsidRPr="000529D8" w:rsidRDefault="00625DC0" w:rsidP="006558AB">
            <w:pPr>
              <w:suppressAutoHyphens w:val="0"/>
              <w:kinsoku/>
              <w:overflowPunct/>
              <w:autoSpaceDE/>
              <w:autoSpaceDN/>
              <w:adjustRightInd/>
              <w:snapToGrid/>
              <w:spacing w:after="40" w:line="240" w:lineRule="auto"/>
              <w:ind w:left="699" w:hanging="360"/>
              <w:rPr>
                <w:rFonts w:asciiTheme="majorBidi" w:hAnsiTheme="majorBidi" w:cstheme="majorBidi"/>
                <w:sz w:val="18"/>
                <w:szCs w:val="18"/>
              </w:rPr>
            </w:pPr>
            <w:proofErr w:type="gramStart"/>
            <w:r w:rsidRPr="000529D8">
              <w:rPr>
                <w:rFonts w:asciiTheme="majorBidi" w:hAnsiTheme="majorBidi" w:cstheme="majorBidi"/>
                <w:sz w:val="18"/>
                <w:szCs w:val="18"/>
              </w:rPr>
              <w:t>o</w:t>
            </w:r>
            <w:proofErr w:type="gramEnd"/>
            <w:r w:rsidRPr="000529D8">
              <w:rPr>
                <w:rFonts w:asciiTheme="majorBidi" w:hAnsiTheme="majorBidi" w:cstheme="majorBidi"/>
                <w:sz w:val="18"/>
                <w:szCs w:val="18"/>
              </w:rPr>
              <w:tab/>
            </w:r>
            <w:r w:rsidR="004633AE" w:rsidRPr="000529D8">
              <w:rPr>
                <w:sz w:val="18"/>
                <w:szCs w:val="18"/>
                <w:lang w:val="fr-FR"/>
              </w:rPr>
              <w:t>Nécrose hépatique diffuse et dégénérescence tubulaire rénale</w:t>
            </w:r>
            <w:r w:rsidR="00E5585C" w:rsidRPr="000529D8">
              <w:rPr>
                <w:sz w:val="18"/>
                <w:szCs w:val="18"/>
                <w:lang w:val="fr-FR"/>
              </w:rPr>
              <w:t>.</w:t>
            </w:r>
          </w:p>
          <w:p w14:paraId="7AA02683" w14:textId="77777777" w:rsidR="00625DC0" w:rsidRPr="000529D8" w:rsidRDefault="00625DC0" w:rsidP="006558AB">
            <w:pPr>
              <w:suppressAutoHyphens w:val="0"/>
              <w:kinsoku/>
              <w:overflowPunct/>
              <w:autoSpaceDE/>
              <w:autoSpaceDN/>
              <w:adjustRightInd/>
              <w:snapToGrid/>
              <w:spacing w:after="40" w:line="240" w:lineRule="auto"/>
              <w:ind w:left="697" w:hanging="357"/>
              <w:rPr>
                <w:rFonts w:asciiTheme="majorBidi" w:hAnsiTheme="majorBidi" w:cstheme="majorBidi"/>
                <w:sz w:val="18"/>
                <w:szCs w:val="18"/>
              </w:rPr>
            </w:pPr>
            <w:proofErr w:type="gramStart"/>
            <w:r w:rsidRPr="000529D8">
              <w:rPr>
                <w:rFonts w:asciiTheme="majorBidi" w:hAnsiTheme="majorBidi" w:cstheme="majorBidi"/>
                <w:sz w:val="18"/>
                <w:szCs w:val="18"/>
              </w:rPr>
              <w:t>o</w:t>
            </w:r>
            <w:proofErr w:type="gramEnd"/>
            <w:r w:rsidRPr="000529D8">
              <w:rPr>
                <w:rFonts w:asciiTheme="majorBidi" w:hAnsiTheme="majorBidi" w:cstheme="majorBidi"/>
                <w:sz w:val="18"/>
                <w:szCs w:val="18"/>
              </w:rPr>
              <w:tab/>
            </w:r>
            <w:r w:rsidR="004633AE" w:rsidRPr="000529D8">
              <w:rPr>
                <w:rFonts w:asciiTheme="majorBidi" w:hAnsiTheme="majorBidi" w:cstheme="majorBidi"/>
                <w:sz w:val="18"/>
                <w:szCs w:val="18"/>
                <w:lang w:val="fr-FR"/>
              </w:rPr>
              <w:t xml:space="preserve">Accroissement substantiel des masses hépatiques </w:t>
            </w:r>
            <w:r w:rsidR="004633AE" w:rsidRPr="00190C7E">
              <w:rPr>
                <w:rFonts w:asciiTheme="majorBidi" w:hAnsiTheme="majorBidi" w:cstheme="majorBidi"/>
                <w:sz w:val="18"/>
                <w:szCs w:val="18"/>
                <w:lang w:val="fr-FR"/>
              </w:rPr>
              <w:t>absolue et relative</w:t>
            </w:r>
            <w:r w:rsidR="004633AE" w:rsidRPr="000529D8">
              <w:rPr>
                <w:rFonts w:asciiTheme="majorBidi" w:hAnsiTheme="majorBidi" w:cstheme="majorBidi"/>
                <w:sz w:val="18"/>
                <w:szCs w:val="18"/>
                <w:lang w:val="fr-FR"/>
              </w:rPr>
              <w:t xml:space="preserve"> et de la masse rénale relative chez les deux sexes ; accroissement de la masse rénale absolue observée uniquement chez les femelles</w:t>
            </w:r>
            <w:r w:rsidR="00E5585C" w:rsidRPr="000529D8">
              <w:rPr>
                <w:rFonts w:asciiTheme="majorBidi" w:hAnsiTheme="majorBidi" w:cstheme="majorBidi"/>
                <w:sz w:val="18"/>
                <w:szCs w:val="18"/>
                <w:lang w:val="fr-FR"/>
              </w:rPr>
              <w:t>.</w:t>
            </w:r>
          </w:p>
          <w:p w14:paraId="6CF275A2" w14:textId="77777777" w:rsidR="00625DC0" w:rsidRPr="000529D8" w:rsidRDefault="00625DC0" w:rsidP="006558AB">
            <w:pPr>
              <w:pStyle w:val="Bullet1G"/>
              <w:numPr>
                <w:ilvl w:val="0"/>
                <w:numId w:val="0"/>
              </w:numPr>
              <w:spacing w:after="40" w:line="240" w:lineRule="auto"/>
              <w:ind w:left="315" w:hanging="284"/>
              <w:rPr>
                <w:rFonts w:asciiTheme="majorBidi" w:hAnsiTheme="majorBidi" w:cstheme="majorBidi"/>
                <w:sz w:val="18"/>
                <w:szCs w:val="18"/>
              </w:rPr>
            </w:pPr>
            <w:r w:rsidRPr="000529D8">
              <w:rPr>
                <w:rFonts w:asciiTheme="majorBidi" w:hAnsiTheme="majorBidi" w:cstheme="majorBidi"/>
                <w:sz w:val="18"/>
                <w:szCs w:val="18"/>
              </w:rPr>
              <w:t>•</w:t>
            </w:r>
            <w:r w:rsidRPr="000529D8">
              <w:rPr>
                <w:rFonts w:asciiTheme="majorBidi" w:hAnsiTheme="majorBidi" w:cstheme="majorBidi"/>
                <w:sz w:val="18"/>
                <w:szCs w:val="18"/>
              </w:rPr>
              <w:tab/>
            </w:r>
            <w:r w:rsidR="00F17DE6" w:rsidRPr="000529D8">
              <w:rPr>
                <w:sz w:val="18"/>
                <w:szCs w:val="18"/>
                <w:lang w:val="fr-FR"/>
              </w:rPr>
              <w:t>Effets liés au traitement hématologique :</w:t>
            </w:r>
          </w:p>
          <w:p w14:paraId="2C97C668" w14:textId="77777777" w:rsidR="00625DC0" w:rsidRPr="000529D8" w:rsidRDefault="00625DC0" w:rsidP="006558AB">
            <w:pPr>
              <w:suppressAutoHyphens w:val="0"/>
              <w:kinsoku/>
              <w:overflowPunct/>
              <w:autoSpaceDE/>
              <w:autoSpaceDN/>
              <w:adjustRightInd/>
              <w:snapToGrid/>
              <w:spacing w:after="40" w:line="240" w:lineRule="auto"/>
              <w:ind w:left="699" w:hanging="360"/>
              <w:rPr>
                <w:rFonts w:asciiTheme="majorBidi" w:hAnsiTheme="majorBidi" w:cstheme="majorBidi"/>
                <w:sz w:val="18"/>
                <w:szCs w:val="18"/>
              </w:rPr>
            </w:pPr>
            <w:proofErr w:type="gramStart"/>
            <w:r w:rsidRPr="000529D8">
              <w:rPr>
                <w:rFonts w:asciiTheme="majorBidi" w:hAnsiTheme="majorBidi" w:cstheme="majorBidi"/>
                <w:sz w:val="18"/>
                <w:szCs w:val="18"/>
              </w:rPr>
              <w:t>o</w:t>
            </w:r>
            <w:proofErr w:type="gramEnd"/>
            <w:r w:rsidRPr="000529D8">
              <w:rPr>
                <w:rFonts w:asciiTheme="majorBidi" w:hAnsiTheme="majorBidi" w:cstheme="majorBidi"/>
                <w:sz w:val="18"/>
                <w:szCs w:val="18"/>
              </w:rPr>
              <w:tab/>
            </w:r>
            <w:r w:rsidR="00F17DE6" w:rsidRPr="000529D8">
              <w:rPr>
                <w:rFonts w:asciiTheme="majorBidi" w:hAnsiTheme="majorBidi" w:cstheme="majorBidi"/>
                <w:sz w:val="18"/>
                <w:szCs w:val="18"/>
                <w:lang w:val="fr-FR"/>
              </w:rPr>
              <w:t>Baisse d</w:t>
            </w:r>
            <w:r w:rsidR="004F0AEA" w:rsidRPr="000529D8">
              <w:rPr>
                <w:rFonts w:asciiTheme="majorBidi" w:hAnsiTheme="majorBidi" w:cstheme="majorBidi"/>
                <w:sz w:val="18"/>
                <w:szCs w:val="18"/>
                <w:lang w:val="fr-FR"/>
              </w:rPr>
              <w:t>’</w:t>
            </w:r>
            <w:r w:rsidR="00F17DE6" w:rsidRPr="000529D8">
              <w:rPr>
                <w:rFonts w:asciiTheme="majorBidi" w:hAnsiTheme="majorBidi" w:cstheme="majorBidi"/>
                <w:sz w:val="18"/>
                <w:szCs w:val="18"/>
                <w:lang w:val="fr-FR"/>
              </w:rPr>
              <w:t>environ 10 % du nombre d</w:t>
            </w:r>
            <w:r w:rsidR="004F0AEA" w:rsidRPr="000529D8">
              <w:rPr>
                <w:rFonts w:asciiTheme="majorBidi" w:hAnsiTheme="majorBidi" w:cstheme="majorBidi"/>
                <w:sz w:val="18"/>
                <w:szCs w:val="18"/>
                <w:lang w:val="fr-FR"/>
              </w:rPr>
              <w:t>’</w:t>
            </w:r>
            <w:r w:rsidR="00F17DE6" w:rsidRPr="000529D8">
              <w:rPr>
                <w:rFonts w:asciiTheme="majorBidi" w:hAnsiTheme="majorBidi" w:cstheme="majorBidi"/>
                <w:sz w:val="18"/>
                <w:szCs w:val="18"/>
                <w:lang w:val="fr-FR"/>
              </w:rPr>
              <w:t>hématies chez les mâles et 11 % chez les femelles, observée par numération</w:t>
            </w:r>
          </w:p>
          <w:p w14:paraId="55A355AD" w14:textId="77777777" w:rsidR="00625DC0" w:rsidRPr="000529D8" w:rsidRDefault="00625DC0" w:rsidP="006558AB">
            <w:pPr>
              <w:suppressAutoHyphens w:val="0"/>
              <w:kinsoku/>
              <w:overflowPunct/>
              <w:autoSpaceDE/>
              <w:autoSpaceDN/>
              <w:adjustRightInd/>
              <w:snapToGrid/>
              <w:spacing w:after="40" w:line="240" w:lineRule="auto"/>
              <w:ind w:left="699" w:hanging="360"/>
              <w:rPr>
                <w:rFonts w:asciiTheme="majorBidi" w:hAnsiTheme="majorBidi" w:cstheme="majorBidi"/>
                <w:sz w:val="18"/>
                <w:szCs w:val="18"/>
              </w:rPr>
            </w:pPr>
            <w:proofErr w:type="gramStart"/>
            <w:r w:rsidRPr="000529D8">
              <w:rPr>
                <w:rFonts w:asciiTheme="majorBidi" w:hAnsiTheme="majorBidi" w:cstheme="majorBidi"/>
                <w:sz w:val="18"/>
                <w:szCs w:val="18"/>
              </w:rPr>
              <w:t>o</w:t>
            </w:r>
            <w:proofErr w:type="gramEnd"/>
            <w:r w:rsidRPr="000529D8">
              <w:rPr>
                <w:rFonts w:asciiTheme="majorBidi" w:hAnsiTheme="majorBidi" w:cstheme="majorBidi"/>
                <w:sz w:val="18"/>
                <w:szCs w:val="18"/>
              </w:rPr>
              <w:tab/>
            </w:r>
            <w:r w:rsidR="00F17DE6" w:rsidRPr="000529D8">
              <w:rPr>
                <w:rFonts w:asciiTheme="majorBidi" w:hAnsiTheme="majorBidi" w:cstheme="majorBidi"/>
                <w:sz w:val="18"/>
                <w:szCs w:val="18"/>
                <w:lang w:val="fr-FR"/>
              </w:rPr>
              <w:t>Baisse de 5</w:t>
            </w:r>
            <w:r w:rsidR="00E5585C" w:rsidRPr="000529D8">
              <w:rPr>
                <w:rFonts w:asciiTheme="majorBidi" w:hAnsiTheme="majorBidi" w:cstheme="majorBidi"/>
                <w:sz w:val="18"/>
                <w:szCs w:val="18"/>
                <w:lang w:val="fr-FR"/>
              </w:rPr>
              <w:t> </w:t>
            </w:r>
            <w:r w:rsidR="00F17DE6" w:rsidRPr="000529D8">
              <w:rPr>
                <w:rFonts w:asciiTheme="majorBidi" w:hAnsiTheme="majorBidi" w:cstheme="majorBidi"/>
                <w:sz w:val="18"/>
                <w:szCs w:val="18"/>
                <w:lang w:val="fr-FR"/>
              </w:rPr>
              <w:t>% de la concentration en hématocrites et baisse de 3 % de la concentration en hémoglobine observées chez les femelles</w:t>
            </w:r>
            <w:r w:rsidR="00E5585C" w:rsidRPr="000529D8">
              <w:rPr>
                <w:rFonts w:asciiTheme="majorBidi" w:hAnsiTheme="majorBidi" w:cstheme="majorBidi"/>
                <w:sz w:val="18"/>
                <w:szCs w:val="18"/>
                <w:lang w:val="fr-FR"/>
              </w:rPr>
              <w:t>.</w:t>
            </w:r>
          </w:p>
          <w:p w14:paraId="761ABC24" w14:textId="77777777" w:rsidR="00625DC0" w:rsidRPr="000529D8" w:rsidRDefault="00625DC0" w:rsidP="006558AB">
            <w:pPr>
              <w:suppressAutoHyphens w:val="0"/>
              <w:kinsoku/>
              <w:overflowPunct/>
              <w:autoSpaceDE/>
              <w:autoSpaceDN/>
              <w:adjustRightInd/>
              <w:snapToGrid/>
              <w:spacing w:after="40" w:line="240" w:lineRule="auto"/>
              <w:ind w:left="699" w:hanging="360"/>
              <w:rPr>
                <w:rFonts w:asciiTheme="majorBidi" w:hAnsiTheme="majorBidi" w:cstheme="majorBidi"/>
                <w:sz w:val="18"/>
                <w:szCs w:val="18"/>
              </w:rPr>
            </w:pPr>
            <w:proofErr w:type="gramStart"/>
            <w:r w:rsidRPr="000529D8">
              <w:rPr>
                <w:rFonts w:asciiTheme="majorBidi" w:hAnsiTheme="majorBidi" w:cstheme="majorBidi"/>
                <w:sz w:val="18"/>
                <w:szCs w:val="18"/>
              </w:rPr>
              <w:t>o</w:t>
            </w:r>
            <w:proofErr w:type="gramEnd"/>
            <w:r w:rsidRPr="000529D8">
              <w:rPr>
                <w:rFonts w:asciiTheme="majorBidi" w:hAnsiTheme="majorBidi" w:cstheme="majorBidi"/>
                <w:sz w:val="18"/>
                <w:szCs w:val="18"/>
              </w:rPr>
              <w:tab/>
            </w:r>
            <w:r w:rsidR="00F17DE6" w:rsidRPr="000529D8">
              <w:rPr>
                <w:rFonts w:asciiTheme="majorBidi" w:hAnsiTheme="majorBidi" w:cstheme="majorBidi"/>
                <w:sz w:val="18"/>
                <w:szCs w:val="18"/>
                <w:lang w:val="fr-FR"/>
              </w:rPr>
              <w:t>Augmentation du nombre de réticulocytes et de leucocytes observée par numération chez les deux sexes</w:t>
            </w:r>
            <w:r w:rsidR="00E5585C" w:rsidRPr="000529D8">
              <w:rPr>
                <w:rFonts w:asciiTheme="majorBidi" w:hAnsiTheme="majorBidi" w:cstheme="majorBidi"/>
                <w:sz w:val="18"/>
                <w:szCs w:val="18"/>
                <w:lang w:val="fr-FR"/>
              </w:rPr>
              <w:t>.</w:t>
            </w:r>
          </w:p>
          <w:p w14:paraId="7AB0994D" w14:textId="77777777" w:rsidR="00625DC0" w:rsidRPr="000529D8" w:rsidRDefault="00625DC0" w:rsidP="006558AB">
            <w:pPr>
              <w:suppressAutoHyphens w:val="0"/>
              <w:kinsoku/>
              <w:overflowPunct/>
              <w:autoSpaceDE/>
              <w:autoSpaceDN/>
              <w:adjustRightInd/>
              <w:snapToGrid/>
              <w:spacing w:after="40" w:line="240" w:lineRule="auto"/>
              <w:ind w:left="699" w:hanging="360"/>
              <w:rPr>
                <w:rFonts w:asciiTheme="majorBidi" w:hAnsiTheme="majorBidi" w:cstheme="majorBidi"/>
                <w:sz w:val="18"/>
                <w:szCs w:val="18"/>
              </w:rPr>
            </w:pPr>
            <w:proofErr w:type="gramStart"/>
            <w:r w:rsidRPr="000529D8">
              <w:rPr>
                <w:rFonts w:asciiTheme="majorBidi" w:hAnsiTheme="majorBidi" w:cstheme="majorBidi"/>
                <w:sz w:val="18"/>
                <w:szCs w:val="18"/>
              </w:rPr>
              <w:t>o</w:t>
            </w:r>
            <w:proofErr w:type="gramEnd"/>
            <w:r w:rsidRPr="000529D8">
              <w:rPr>
                <w:rFonts w:asciiTheme="majorBidi" w:hAnsiTheme="majorBidi" w:cstheme="majorBidi"/>
                <w:sz w:val="18"/>
                <w:szCs w:val="18"/>
              </w:rPr>
              <w:tab/>
            </w:r>
            <w:r w:rsidR="00F17DE6" w:rsidRPr="000529D8">
              <w:rPr>
                <w:rFonts w:asciiTheme="majorBidi" w:hAnsiTheme="majorBidi" w:cstheme="majorBidi"/>
                <w:sz w:val="18"/>
                <w:szCs w:val="18"/>
                <w:lang w:val="fr-FR"/>
              </w:rPr>
              <w:t>Augmentation de la concentration totale en protéines sériques chez les femelles</w:t>
            </w:r>
            <w:r w:rsidR="00E5585C" w:rsidRPr="000529D8">
              <w:rPr>
                <w:rFonts w:asciiTheme="majorBidi" w:hAnsiTheme="majorBidi" w:cstheme="majorBidi"/>
                <w:sz w:val="18"/>
                <w:szCs w:val="18"/>
                <w:lang w:val="fr-FR"/>
              </w:rPr>
              <w:t>.</w:t>
            </w:r>
          </w:p>
          <w:p w14:paraId="63F61249" w14:textId="77777777" w:rsidR="00625DC0" w:rsidRPr="000529D8" w:rsidRDefault="00625DC0" w:rsidP="006558AB">
            <w:pPr>
              <w:suppressAutoHyphens w:val="0"/>
              <w:kinsoku/>
              <w:overflowPunct/>
              <w:autoSpaceDE/>
              <w:autoSpaceDN/>
              <w:adjustRightInd/>
              <w:snapToGrid/>
              <w:spacing w:after="40" w:line="240" w:lineRule="auto"/>
              <w:ind w:left="697" w:hanging="357"/>
              <w:rPr>
                <w:rFonts w:asciiTheme="majorBidi" w:hAnsiTheme="majorBidi" w:cstheme="majorBidi"/>
                <w:sz w:val="18"/>
                <w:szCs w:val="18"/>
              </w:rPr>
            </w:pPr>
            <w:proofErr w:type="gramStart"/>
            <w:r w:rsidRPr="000529D8">
              <w:rPr>
                <w:rFonts w:asciiTheme="majorBidi" w:hAnsiTheme="majorBidi" w:cstheme="majorBidi"/>
                <w:sz w:val="18"/>
                <w:szCs w:val="18"/>
              </w:rPr>
              <w:t>o</w:t>
            </w:r>
            <w:proofErr w:type="gramEnd"/>
            <w:r w:rsidRPr="000529D8">
              <w:rPr>
                <w:rFonts w:asciiTheme="majorBidi" w:hAnsiTheme="majorBidi" w:cstheme="majorBidi"/>
                <w:sz w:val="18"/>
                <w:szCs w:val="18"/>
              </w:rPr>
              <w:tab/>
            </w:r>
            <w:r w:rsidR="00F17DE6" w:rsidRPr="000529D8">
              <w:rPr>
                <w:rFonts w:asciiTheme="majorBidi" w:hAnsiTheme="majorBidi" w:cstheme="majorBidi"/>
                <w:sz w:val="18"/>
                <w:szCs w:val="18"/>
                <w:lang w:val="fr-FR"/>
              </w:rPr>
              <w:t>Ces effets sont considérés comme les manifestations d</w:t>
            </w:r>
            <w:r w:rsidR="004F0AEA" w:rsidRPr="000529D8">
              <w:rPr>
                <w:rFonts w:asciiTheme="majorBidi" w:hAnsiTheme="majorBidi" w:cstheme="majorBidi"/>
                <w:sz w:val="18"/>
                <w:szCs w:val="18"/>
                <w:lang w:val="fr-FR"/>
              </w:rPr>
              <w:t>’</w:t>
            </w:r>
            <w:r w:rsidR="00F17DE6" w:rsidRPr="000529D8">
              <w:rPr>
                <w:rFonts w:asciiTheme="majorBidi" w:hAnsiTheme="majorBidi" w:cstheme="majorBidi"/>
                <w:sz w:val="18"/>
                <w:szCs w:val="18"/>
                <w:lang w:val="fr-FR"/>
              </w:rPr>
              <w:t>une « légère hématotoxicité ».</w:t>
            </w:r>
          </w:p>
        </w:tc>
      </w:tr>
      <w:tr w:rsidR="00625DC0" w:rsidRPr="000529D8" w14:paraId="3D393C3D" w14:textId="77777777" w:rsidTr="004633AE">
        <w:trPr>
          <w:jc w:val="center"/>
        </w:trPr>
        <w:tc>
          <w:tcPr>
            <w:tcW w:w="1453" w:type="dxa"/>
            <w:shd w:val="clear" w:color="auto" w:fill="auto"/>
          </w:tcPr>
          <w:p w14:paraId="135DFAE3" w14:textId="77777777" w:rsidR="00625DC0" w:rsidRPr="000529D8" w:rsidRDefault="00625DC0" w:rsidP="006558AB">
            <w:pPr>
              <w:keepNext/>
              <w:keepLines/>
              <w:jc w:val="center"/>
              <w:rPr>
                <w:rFonts w:asciiTheme="majorBidi" w:hAnsiTheme="majorBidi" w:cstheme="majorBidi"/>
                <w:sz w:val="18"/>
                <w:szCs w:val="18"/>
              </w:rPr>
            </w:pPr>
            <w:r w:rsidRPr="000529D8">
              <w:rPr>
                <w:rFonts w:asciiTheme="majorBidi" w:hAnsiTheme="majorBidi" w:cstheme="majorBidi"/>
                <w:sz w:val="18"/>
                <w:szCs w:val="18"/>
              </w:rPr>
              <w:t>10</w:t>
            </w:r>
          </w:p>
        </w:tc>
        <w:tc>
          <w:tcPr>
            <w:tcW w:w="6836" w:type="dxa"/>
            <w:shd w:val="clear" w:color="auto" w:fill="auto"/>
          </w:tcPr>
          <w:p w14:paraId="176E86A6" w14:textId="77777777" w:rsidR="00625DC0" w:rsidRPr="000529D8" w:rsidRDefault="006558AB" w:rsidP="006558AB">
            <w:pPr>
              <w:keepNext/>
              <w:keepLines/>
              <w:rPr>
                <w:rFonts w:asciiTheme="majorBidi" w:hAnsiTheme="majorBidi" w:cstheme="majorBidi"/>
                <w:sz w:val="18"/>
                <w:szCs w:val="18"/>
              </w:rPr>
            </w:pPr>
            <w:r w:rsidRPr="000529D8">
              <w:rPr>
                <w:rFonts w:asciiTheme="majorBidi" w:hAnsiTheme="majorBidi" w:cstheme="majorBidi"/>
                <w:sz w:val="18"/>
                <w:szCs w:val="18"/>
                <w:lang w:val="fr-FR"/>
              </w:rPr>
              <w:t>CMEO (concentration minimale avec effet observé)</w:t>
            </w:r>
          </w:p>
          <w:p w14:paraId="063039EB" w14:textId="77777777" w:rsidR="00625DC0" w:rsidRPr="000529D8" w:rsidRDefault="00625DC0" w:rsidP="006558AB">
            <w:pPr>
              <w:pStyle w:val="Bullet1G"/>
              <w:keepNext/>
              <w:keepLines/>
              <w:numPr>
                <w:ilvl w:val="0"/>
                <w:numId w:val="0"/>
              </w:numPr>
              <w:ind w:left="315" w:hanging="315"/>
              <w:rPr>
                <w:rFonts w:asciiTheme="majorBidi" w:hAnsiTheme="majorBidi" w:cstheme="majorBidi"/>
                <w:sz w:val="18"/>
                <w:szCs w:val="18"/>
              </w:rPr>
            </w:pPr>
            <w:r w:rsidRPr="000529D8">
              <w:rPr>
                <w:rFonts w:asciiTheme="majorBidi" w:hAnsiTheme="majorBidi" w:cstheme="majorBidi"/>
                <w:sz w:val="18"/>
                <w:szCs w:val="18"/>
              </w:rPr>
              <w:t>•</w:t>
            </w:r>
            <w:r w:rsidRPr="000529D8">
              <w:rPr>
                <w:rFonts w:asciiTheme="majorBidi" w:hAnsiTheme="majorBidi" w:cstheme="majorBidi"/>
                <w:sz w:val="18"/>
                <w:szCs w:val="18"/>
              </w:rPr>
              <w:tab/>
            </w:r>
            <w:r w:rsidR="006558AB" w:rsidRPr="000529D8">
              <w:rPr>
                <w:rFonts w:asciiTheme="majorBidi" w:hAnsiTheme="majorBidi" w:cstheme="majorBidi"/>
                <w:sz w:val="18"/>
                <w:szCs w:val="18"/>
                <w:lang w:val="fr-FR"/>
              </w:rPr>
              <w:t>Augmentation de la masse hépatique (non significative sur le plan statistique)</w:t>
            </w:r>
          </w:p>
          <w:p w14:paraId="032A94E9" w14:textId="77777777" w:rsidR="00625DC0" w:rsidRPr="000529D8" w:rsidRDefault="00625DC0" w:rsidP="006558AB">
            <w:pPr>
              <w:pStyle w:val="Bullet1G"/>
              <w:keepNext/>
              <w:keepLines/>
              <w:numPr>
                <w:ilvl w:val="0"/>
                <w:numId w:val="0"/>
              </w:numPr>
              <w:ind w:left="315" w:hanging="315"/>
              <w:rPr>
                <w:rFonts w:asciiTheme="majorBidi" w:hAnsiTheme="majorBidi" w:cstheme="majorBidi"/>
                <w:sz w:val="18"/>
                <w:szCs w:val="18"/>
              </w:rPr>
            </w:pPr>
            <w:r w:rsidRPr="000529D8">
              <w:rPr>
                <w:rFonts w:asciiTheme="majorBidi" w:hAnsiTheme="majorBidi" w:cstheme="majorBidi"/>
                <w:sz w:val="18"/>
                <w:szCs w:val="18"/>
              </w:rPr>
              <w:t>•</w:t>
            </w:r>
            <w:r w:rsidRPr="000529D8">
              <w:rPr>
                <w:rFonts w:asciiTheme="majorBidi" w:hAnsiTheme="majorBidi" w:cstheme="majorBidi"/>
                <w:sz w:val="18"/>
                <w:szCs w:val="18"/>
              </w:rPr>
              <w:tab/>
            </w:r>
            <w:r w:rsidR="006558AB" w:rsidRPr="000529D8">
              <w:rPr>
                <w:rFonts w:asciiTheme="majorBidi" w:hAnsiTheme="majorBidi" w:cstheme="majorBidi"/>
                <w:sz w:val="18"/>
                <w:szCs w:val="18"/>
                <w:lang w:val="fr-FR"/>
              </w:rPr>
              <w:t>Altérations du foie et de la rate (gravité non communiquée)</w:t>
            </w:r>
          </w:p>
          <w:p w14:paraId="139F6C63" w14:textId="77777777" w:rsidR="00625DC0" w:rsidRPr="000529D8" w:rsidRDefault="00625DC0" w:rsidP="006558AB">
            <w:pPr>
              <w:pStyle w:val="Bullet1G"/>
              <w:keepNext/>
              <w:keepLines/>
              <w:numPr>
                <w:ilvl w:val="0"/>
                <w:numId w:val="0"/>
              </w:numPr>
              <w:ind w:left="315" w:hanging="315"/>
              <w:rPr>
                <w:rFonts w:asciiTheme="majorBidi" w:hAnsiTheme="majorBidi" w:cstheme="majorBidi"/>
                <w:sz w:val="18"/>
                <w:szCs w:val="18"/>
              </w:rPr>
            </w:pPr>
            <w:r w:rsidRPr="000529D8">
              <w:rPr>
                <w:rFonts w:asciiTheme="majorBidi" w:hAnsiTheme="majorBidi" w:cstheme="majorBidi"/>
                <w:sz w:val="18"/>
                <w:szCs w:val="18"/>
              </w:rPr>
              <w:t>•</w:t>
            </w:r>
            <w:r w:rsidRPr="000529D8">
              <w:rPr>
                <w:rFonts w:asciiTheme="majorBidi" w:hAnsiTheme="majorBidi" w:cstheme="majorBidi"/>
                <w:sz w:val="18"/>
                <w:szCs w:val="18"/>
              </w:rPr>
              <w:tab/>
            </w:r>
            <w:r w:rsidR="006558AB" w:rsidRPr="000529D8">
              <w:rPr>
                <w:rFonts w:asciiTheme="majorBidi" w:hAnsiTheme="majorBidi" w:cstheme="majorBidi"/>
                <w:sz w:val="18"/>
                <w:szCs w:val="18"/>
                <w:lang w:val="fr-FR"/>
              </w:rPr>
              <w:t>Baisse du nombre d</w:t>
            </w:r>
            <w:r w:rsidR="004F0AEA" w:rsidRPr="000529D8">
              <w:rPr>
                <w:rFonts w:asciiTheme="majorBidi" w:hAnsiTheme="majorBidi" w:cstheme="majorBidi"/>
                <w:sz w:val="18"/>
                <w:szCs w:val="18"/>
                <w:lang w:val="fr-FR"/>
              </w:rPr>
              <w:t>’</w:t>
            </w:r>
            <w:r w:rsidR="006558AB" w:rsidRPr="000529D8">
              <w:rPr>
                <w:rFonts w:asciiTheme="majorBidi" w:hAnsiTheme="majorBidi" w:cstheme="majorBidi"/>
                <w:sz w:val="18"/>
                <w:szCs w:val="18"/>
                <w:lang w:val="fr-FR"/>
              </w:rPr>
              <w:t>hématies (pas d</w:t>
            </w:r>
            <w:r w:rsidR="004F0AEA" w:rsidRPr="000529D8">
              <w:rPr>
                <w:rFonts w:asciiTheme="majorBidi" w:hAnsiTheme="majorBidi" w:cstheme="majorBidi"/>
                <w:sz w:val="18"/>
                <w:szCs w:val="18"/>
                <w:lang w:val="fr-FR"/>
              </w:rPr>
              <w:t>’</w:t>
            </w:r>
            <w:r w:rsidR="006558AB" w:rsidRPr="000529D8">
              <w:rPr>
                <w:rFonts w:asciiTheme="majorBidi" w:hAnsiTheme="majorBidi" w:cstheme="majorBidi"/>
                <w:sz w:val="18"/>
                <w:szCs w:val="18"/>
                <w:lang w:val="fr-FR"/>
              </w:rPr>
              <w:t>autres changements constatés dans la chimie sanguine)</w:t>
            </w:r>
          </w:p>
          <w:p w14:paraId="660DDF37" w14:textId="77777777" w:rsidR="00625DC0" w:rsidRPr="000529D8" w:rsidRDefault="00625DC0" w:rsidP="006558AB">
            <w:pPr>
              <w:pStyle w:val="Bullet1G"/>
              <w:keepNext/>
              <w:keepLines/>
              <w:numPr>
                <w:ilvl w:val="0"/>
                <w:numId w:val="0"/>
              </w:numPr>
              <w:ind w:left="315" w:hanging="315"/>
              <w:rPr>
                <w:rFonts w:asciiTheme="majorBidi" w:hAnsiTheme="majorBidi" w:cstheme="majorBidi"/>
                <w:sz w:val="18"/>
                <w:szCs w:val="18"/>
              </w:rPr>
            </w:pPr>
            <w:r w:rsidRPr="000529D8">
              <w:rPr>
                <w:rFonts w:asciiTheme="majorBidi" w:hAnsiTheme="majorBidi" w:cstheme="majorBidi"/>
                <w:sz w:val="18"/>
                <w:szCs w:val="18"/>
              </w:rPr>
              <w:t>•</w:t>
            </w:r>
            <w:r w:rsidRPr="000529D8">
              <w:rPr>
                <w:rFonts w:asciiTheme="majorBidi" w:hAnsiTheme="majorBidi" w:cstheme="majorBidi"/>
                <w:sz w:val="18"/>
                <w:szCs w:val="18"/>
              </w:rPr>
              <w:tab/>
            </w:r>
            <w:r w:rsidR="006558AB" w:rsidRPr="000529D8">
              <w:rPr>
                <w:rFonts w:asciiTheme="majorBidi" w:hAnsiTheme="majorBidi" w:cstheme="majorBidi"/>
                <w:sz w:val="18"/>
                <w:szCs w:val="18"/>
                <w:lang w:val="fr-FR"/>
              </w:rPr>
              <w:t>Histopathologie : Chez 5 animaux sur 20, on observe un gonflement des cellules du parenchyme et un polymorphisme accru des hépatocytes et de leurs noyaux. Ces effets sont considérés comme n</w:t>
            </w:r>
            <w:r w:rsidR="004F0AEA" w:rsidRPr="000529D8">
              <w:rPr>
                <w:rFonts w:asciiTheme="majorBidi" w:hAnsiTheme="majorBidi" w:cstheme="majorBidi"/>
                <w:sz w:val="18"/>
                <w:szCs w:val="18"/>
                <w:lang w:val="fr-FR"/>
              </w:rPr>
              <w:t>’</w:t>
            </w:r>
            <w:r w:rsidR="006558AB" w:rsidRPr="000529D8">
              <w:rPr>
                <w:rFonts w:asciiTheme="majorBidi" w:hAnsiTheme="majorBidi" w:cstheme="majorBidi"/>
                <w:sz w:val="18"/>
                <w:szCs w:val="18"/>
                <w:lang w:val="fr-FR"/>
              </w:rPr>
              <w:t>étant « ni marqués ni graves ».</w:t>
            </w:r>
          </w:p>
        </w:tc>
      </w:tr>
      <w:tr w:rsidR="00625DC0" w:rsidRPr="000529D8" w14:paraId="57488C22" w14:textId="77777777" w:rsidTr="004633AE">
        <w:trPr>
          <w:jc w:val="center"/>
        </w:trPr>
        <w:tc>
          <w:tcPr>
            <w:tcW w:w="1453" w:type="dxa"/>
            <w:shd w:val="clear" w:color="auto" w:fill="auto"/>
          </w:tcPr>
          <w:p w14:paraId="57C8C248" w14:textId="77777777" w:rsidR="00625DC0" w:rsidRPr="000529D8" w:rsidRDefault="00625DC0" w:rsidP="006558AB">
            <w:pPr>
              <w:spacing w:before="60" w:after="60"/>
              <w:jc w:val="center"/>
              <w:rPr>
                <w:rFonts w:asciiTheme="majorBidi" w:hAnsiTheme="majorBidi" w:cstheme="majorBidi"/>
                <w:sz w:val="18"/>
                <w:szCs w:val="18"/>
              </w:rPr>
            </w:pPr>
            <w:r w:rsidRPr="000529D8">
              <w:rPr>
                <w:rFonts w:asciiTheme="majorBidi" w:hAnsiTheme="majorBidi" w:cstheme="majorBidi"/>
                <w:sz w:val="18"/>
                <w:szCs w:val="18"/>
              </w:rPr>
              <w:t>1</w:t>
            </w:r>
          </w:p>
        </w:tc>
        <w:tc>
          <w:tcPr>
            <w:tcW w:w="6836" w:type="dxa"/>
            <w:shd w:val="clear" w:color="auto" w:fill="auto"/>
          </w:tcPr>
          <w:p w14:paraId="4BD220FE" w14:textId="77777777" w:rsidR="00625DC0" w:rsidRPr="000529D8" w:rsidRDefault="006558AB" w:rsidP="006558AB">
            <w:pPr>
              <w:spacing w:before="60" w:after="60"/>
              <w:rPr>
                <w:rFonts w:asciiTheme="majorBidi" w:hAnsiTheme="majorBidi" w:cstheme="majorBidi"/>
                <w:sz w:val="18"/>
                <w:szCs w:val="18"/>
              </w:rPr>
            </w:pPr>
            <w:r w:rsidRPr="000529D8">
              <w:rPr>
                <w:rFonts w:asciiTheme="majorBidi" w:hAnsiTheme="majorBidi" w:cstheme="majorBidi"/>
                <w:sz w:val="18"/>
                <w:szCs w:val="18"/>
                <w:lang w:val="fr-FR"/>
              </w:rPr>
              <w:t>DSEO (dose sans effet observé)</w:t>
            </w:r>
          </w:p>
        </w:tc>
      </w:tr>
    </w:tbl>
    <w:p w14:paraId="1534E8B8" w14:textId="77777777" w:rsidR="00625DC0" w:rsidRPr="001B1F0F" w:rsidRDefault="00625DC0" w:rsidP="004D7C2A">
      <w:pPr>
        <w:pStyle w:val="SingleTxtG"/>
        <w:spacing w:before="120"/>
        <w:rPr>
          <w:lang w:val="fr-FR"/>
        </w:rPr>
      </w:pPr>
      <w:r>
        <w:rPr>
          <w:lang w:val="fr-FR"/>
        </w:rPr>
        <w:lastRenderedPageBreak/>
        <w:t>Chez le groupe auquel a été administrée une dose de 50 mg/kg p.c., les effets sur le foie et les reins sont marqués.</w:t>
      </w:r>
    </w:p>
    <w:p w14:paraId="29D091B1" w14:textId="77777777" w:rsidR="00625DC0" w:rsidRPr="001B1F0F" w:rsidRDefault="00625DC0" w:rsidP="006558AB">
      <w:pPr>
        <w:pStyle w:val="H23G"/>
        <w:rPr>
          <w:lang w:val="fr-FR"/>
        </w:rPr>
      </w:pPr>
      <w:r>
        <w:rPr>
          <w:lang w:val="fr-FR"/>
        </w:rPr>
        <w:tab/>
      </w:r>
      <w:r>
        <w:rPr>
          <w:lang w:val="fr-FR"/>
        </w:rPr>
        <w:tab/>
        <w:t>Réponse</w:t>
      </w:r>
    </w:p>
    <w:p w14:paraId="41720BA4" w14:textId="77777777" w:rsidR="00625DC0" w:rsidRPr="001B1F0F" w:rsidRDefault="00625DC0" w:rsidP="004D7C2A">
      <w:pPr>
        <w:pStyle w:val="SingleTxtG"/>
        <w:rPr>
          <w:lang w:val="fr-FR"/>
        </w:rPr>
      </w:pPr>
      <w:r>
        <w:rPr>
          <w:lang w:val="fr-FR"/>
        </w:rPr>
        <w:t>Toxicité orale aiguë, catégorie 3</w:t>
      </w:r>
    </w:p>
    <w:p w14:paraId="4F357256" w14:textId="77777777" w:rsidR="00625DC0" w:rsidRPr="001B1F0F" w:rsidRDefault="00625DC0" w:rsidP="004D7C2A">
      <w:pPr>
        <w:pStyle w:val="SingleTxtG"/>
        <w:rPr>
          <w:lang w:val="fr-FR"/>
        </w:rPr>
      </w:pPr>
      <w:r>
        <w:rPr>
          <w:lang w:val="fr-FR"/>
        </w:rPr>
        <w:t>Toxicité aiguë par inhalation, catégorie 3</w:t>
      </w:r>
    </w:p>
    <w:p w14:paraId="50702C53" w14:textId="77777777" w:rsidR="00625DC0" w:rsidRPr="001B1F0F" w:rsidRDefault="00625DC0" w:rsidP="004D7C2A">
      <w:pPr>
        <w:pStyle w:val="SingleTxtG"/>
        <w:rPr>
          <w:lang w:val="fr-FR"/>
        </w:rPr>
      </w:pPr>
      <w:r>
        <w:rPr>
          <w:lang w:val="fr-FR"/>
        </w:rPr>
        <w:t xml:space="preserve">Toxicité pour certains organes cibles </w:t>
      </w:r>
      <w:r w:rsidR="00E5585C">
        <w:rPr>
          <w:lang w:val="fr-FR"/>
        </w:rPr>
        <w:t>−</w:t>
      </w:r>
      <w:r>
        <w:rPr>
          <w:lang w:val="fr-FR"/>
        </w:rPr>
        <w:t xml:space="preserve"> expositions répétées, catégorie 2 </w:t>
      </w:r>
    </w:p>
    <w:p w14:paraId="7A61593F" w14:textId="77777777" w:rsidR="00625DC0" w:rsidRPr="001B1F0F" w:rsidRDefault="00625DC0" w:rsidP="004D7C2A">
      <w:pPr>
        <w:pStyle w:val="SingleTxtG"/>
        <w:rPr>
          <w:lang w:val="fr-FR"/>
        </w:rPr>
      </w:pPr>
      <w:r>
        <w:rPr>
          <w:lang w:val="fr-FR"/>
        </w:rPr>
        <w:t>(Organes cibles : foie, reins)</w:t>
      </w:r>
    </w:p>
    <w:p w14:paraId="03A9B1B6" w14:textId="77777777" w:rsidR="00625DC0" w:rsidRPr="001B1F0F" w:rsidRDefault="00625DC0" w:rsidP="004D7C2A">
      <w:pPr>
        <w:pStyle w:val="H23G"/>
        <w:rPr>
          <w:lang w:val="fr-FR"/>
        </w:rPr>
      </w:pPr>
      <w:r>
        <w:rPr>
          <w:lang w:val="fr-FR"/>
        </w:rPr>
        <w:tab/>
      </w:r>
      <w:r>
        <w:rPr>
          <w:lang w:val="fr-FR"/>
        </w:rPr>
        <w:tab/>
        <w:t xml:space="preserve">Justifications </w:t>
      </w:r>
    </w:p>
    <w:p w14:paraId="20135548" w14:textId="77777777" w:rsidR="00625DC0" w:rsidRPr="001B1F0F" w:rsidRDefault="004D7C2A" w:rsidP="004D7C2A">
      <w:pPr>
        <w:pStyle w:val="H4G"/>
        <w:rPr>
          <w:lang w:val="fr-FR"/>
        </w:rPr>
      </w:pPr>
      <w:r>
        <w:rPr>
          <w:lang w:val="fr-FR"/>
        </w:rPr>
        <w:tab/>
      </w:r>
      <w:r w:rsidR="00625DC0">
        <w:rPr>
          <w:lang w:val="fr-FR"/>
        </w:rPr>
        <w:t>a)</w:t>
      </w:r>
      <w:r w:rsidR="00625DC0">
        <w:rPr>
          <w:lang w:val="fr-FR"/>
        </w:rPr>
        <w:tab/>
        <w:t>Toxicité orale aiguë</w:t>
      </w:r>
    </w:p>
    <w:p w14:paraId="20BB6D8C" w14:textId="77777777" w:rsidR="00625DC0" w:rsidRPr="001B1F0F" w:rsidRDefault="00625DC0" w:rsidP="004D7C2A">
      <w:pPr>
        <w:pStyle w:val="SingleTxtG"/>
        <w:rPr>
          <w:lang w:val="fr-FR"/>
        </w:rPr>
      </w:pPr>
      <w:r>
        <w:rPr>
          <w:lang w:val="fr-FR"/>
        </w:rPr>
        <w:t>Une classification sur la base des critères du tableau 3.1.1 du SGH est possible. L</w:t>
      </w:r>
      <w:r w:rsidR="004F0AEA">
        <w:rPr>
          <w:lang w:val="fr-FR"/>
        </w:rPr>
        <w:t>’</w:t>
      </w:r>
      <w:r>
        <w:rPr>
          <w:lang w:val="fr-FR"/>
        </w:rPr>
        <w:t>étude a été réalisée sur l</w:t>
      </w:r>
      <w:r w:rsidR="004F0AEA">
        <w:rPr>
          <w:lang w:val="fr-FR"/>
        </w:rPr>
        <w:t>’</w:t>
      </w:r>
      <w:r>
        <w:rPr>
          <w:lang w:val="fr-FR"/>
        </w:rPr>
        <w:t>espèce animale préférée pour l</w:t>
      </w:r>
      <w:r w:rsidR="004F0AEA">
        <w:rPr>
          <w:lang w:val="fr-FR"/>
        </w:rPr>
        <w:t>’</w:t>
      </w:r>
      <w:r>
        <w:rPr>
          <w:lang w:val="fr-FR"/>
        </w:rPr>
        <w:t>évaluation de la toxicité aiguë par voie orale et par inhalation (à savoir le rat), conformément au 3.1.2.3 ; la DL</w:t>
      </w:r>
      <w:r>
        <w:rPr>
          <w:vertAlign w:val="subscript"/>
          <w:lang w:val="fr-FR"/>
        </w:rPr>
        <w:t>50</w:t>
      </w:r>
      <w:r>
        <w:rPr>
          <w:lang w:val="fr-FR"/>
        </w:rPr>
        <w:t xml:space="preserve"> administrée par ingestion (254 mg/kg) se situe dans l</w:t>
      </w:r>
      <w:r w:rsidR="004F0AEA">
        <w:rPr>
          <w:lang w:val="fr-FR"/>
        </w:rPr>
        <w:t>’</w:t>
      </w:r>
      <w:r>
        <w:rPr>
          <w:lang w:val="fr-FR"/>
        </w:rPr>
        <w:t>intervalle correspondant à la catégorie 3, à savoir 50 &lt; ETA ≤ 300, ce qui justifie une classification dans cette catégorie pour l</w:t>
      </w:r>
      <w:r w:rsidR="004F0AEA">
        <w:rPr>
          <w:lang w:val="fr-FR"/>
        </w:rPr>
        <w:t>’</w:t>
      </w:r>
      <w:r>
        <w:rPr>
          <w:lang w:val="fr-FR"/>
        </w:rPr>
        <w:t>exposition par voie orale.</w:t>
      </w:r>
    </w:p>
    <w:p w14:paraId="516644C9" w14:textId="77777777" w:rsidR="00625DC0" w:rsidRPr="001B1F0F" w:rsidRDefault="004D7C2A" w:rsidP="004D7C2A">
      <w:pPr>
        <w:pStyle w:val="H4G"/>
        <w:rPr>
          <w:lang w:val="fr-FR"/>
        </w:rPr>
      </w:pPr>
      <w:r>
        <w:rPr>
          <w:lang w:val="fr-FR"/>
        </w:rPr>
        <w:tab/>
      </w:r>
      <w:r w:rsidR="00625DC0">
        <w:rPr>
          <w:lang w:val="fr-FR"/>
        </w:rPr>
        <w:t>b)</w:t>
      </w:r>
      <w:r w:rsidR="00625DC0">
        <w:rPr>
          <w:lang w:val="fr-FR"/>
        </w:rPr>
        <w:tab/>
      </w:r>
      <w:r w:rsidR="00625DC0">
        <w:rPr>
          <w:iCs/>
          <w:lang w:val="fr-FR"/>
        </w:rPr>
        <w:t>Toxicité aiguë par inhalation</w:t>
      </w:r>
    </w:p>
    <w:p w14:paraId="5B69C44F" w14:textId="77777777" w:rsidR="00625DC0" w:rsidRPr="001B1F0F" w:rsidRDefault="00625DC0" w:rsidP="004D7C2A">
      <w:pPr>
        <w:pStyle w:val="SingleTxtG"/>
        <w:rPr>
          <w:lang w:val="fr-FR"/>
        </w:rPr>
      </w:pPr>
      <w:r>
        <w:rPr>
          <w:lang w:val="fr-FR"/>
        </w:rPr>
        <w:t>Une classification sur la base des critères du tableau 3.1.1 du SGH est possible. L</w:t>
      </w:r>
      <w:r w:rsidR="004F0AEA">
        <w:rPr>
          <w:lang w:val="fr-FR"/>
        </w:rPr>
        <w:t>’</w:t>
      </w:r>
      <w:r>
        <w:rPr>
          <w:lang w:val="fr-FR"/>
        </w:rPr>
        <w:t>étude a été réalisée sur l</w:t>
      </w:r>
      <w:r w:rsidR="004F0AEA">
        <w:rPr>
          <w:lang w:val="fr-FR"/>
        </w:rPr>
        <w:t>’</w:t>
      </w:r>
      <w:r>
        <w:rPr>
          <w:lang w:val="fr-FR"/>
        </w:rPr>
        <w:t>espèce animale préférée pour l</w:t>
      </w:r>
      <w:r w:rsidR="004F0AEA">
        <w:rPr>
          <w:lang w:val="fr-FR"/>
        </w:rPr>
        <w:t>’</w:t>
      </w:r>
      <w:r>
        <w:rPr>
          <w:lang w:val="fr-FR"/>
        </w:rPr>
        <w:t>évaluation de la toxicité aiguë par voie orale et par inhalation (à savoir le rat), conformément au 3.1.2.3 ; la CL</w:t>
      </w:r>
      <w:r>
        <w:rPr>
          <w:vertAlign w:val="subscript"/>
          <w:lang w:val="fr-FR"/>
        </w:rPr>
        <w:t>50</w:t>
      </w:r>
      <w:r>
        <w:rPr>
          <w:lang w:val="fr-FR"/>
        </w:rPr>
        <w:t xml:space="preserve"> administrée par inhalation d</w:t>
      </w:r>
      <w:r w:rsidR="004F0AEA">
        <w:rPr>
          <w:lang w:val="fr-FR"/>
        </w:rPr>
        <w:t>’</w:t>
      </w:r>
      <w:r>
        <w:rPr>
          <w:lang w:val="fr-FR"/>
        </w:rPr>
        <w:t>aérosol (0,89 mg/L) se situe dans l</w:t>
      </w:r>
      <w:r w:rsidR="004F0AEA">
        <w:rPr>
          <w:lang w:val="fr-FR"/>
        </w:rPr>
        <w:t>’</w:t>
      </w:r>
      <w:r>
        <w:rPr>
          <w:lang w:val="fr-FR"/>
        </w:rPr>
        <w:t>intervalle correspondant à la catégorie 3, à savoir 0,5 &lt; ETA ≤ 1,0, ce qui justifie une classification dans cette catégorie pour l</w:t>
      </w:r>
      <w:r w:rsidR="004F0AEA">
        <w:rPr>
          <w:lang w:val="fr-FR"/>
        </w:rPr>
        <w:t>’</w:t>
      </w:r>
      <w:r>
        <w:rPr>
          <w:lang w:val="fr-FR"/>
        </w:rPr>
        <w:t>exposition par inhalation.</w:t>
      </w:r>
    </w:p>
    <w:p w14:paraId="039CFD1E" w14:textId="77777777" w:rsidR="00625DC0" w:rsidRPr="001B1F0F" w:rsidRDefault="004D7C2A" w:rsidP="004D7C2A">
      <w:pPr>
        <w:pStyle w:val="H4G"/>
        <w:rPr>
          <w:lang w:val="fr-FR"/>
        </w:rPr>
      </w:pPr>
      <w:r>
        <w:rPr>
          <w:lang w:val="fr-FR"/>
        </w:rPr>
        <w:tab/>
      </w:r>
      <w:r w:rsidR="00625DC0">
        <w:rPr>
          <w:lang w:val="fr-FR"/>
        </w:rPr>
        <w:t>c)</w:t>
      </w:r>
      <w:r w:rsidR="00625DC0">
        <w:rPr>
          <w:lang w:val="fr-FR"/>
        </w:rPr>
        <w:tab/>
      </w:r>
      <w:r w:rsidR="00625DC0">
        <w:rPr>
          <w:iCs/>
          <w:lang w:val="fr-FR"/>
        </w:rPr>
        <w:t xml:space="preserve">Voie </w:t>
      </w:r>
      <w:r w:rsidR="00625DC0" w:rsidRPr="004D7C2A">
        <w:rPr>
          <w:lang w:val="fr-FR"/>
        </w:rPr>
        <w:t>orale</w:t>
      </w:r>
    </w:p>
    <w:p w14:paraId="38A72963" w14:textId="77777777" w:rsidR="00625DC0" w:rsidRPr="001B1F0F" w:rsidRDefault="00625DC0" w:rsidP="004D7C2A">
      <w:pPr>
        <w:pStyle w:val="SingleTxtG"/>
        <w:rPr>
          <w:lang w:val="fr-FR"/>
        </w:rPr>
      </w:pPr>
      <w:r>
        <w:rPr>
          <w:lang w:val="fr-FR"/>
        </w:rPr>
        <w:t>Une classification sur la base de critères fondés sur les valeurs indicatives figurant dans les tableaux 3.9.1 et 3.9.2 du SGH est possible pour les effets sur le foie et les reins. Les effets subis par le foie et les reins à la dose de 50 mg/kg p.c. dans le cadre d</w:t>
      </w:r>
      <w:r w:rsidR="004F0AEA">
        <w:rPr>
          <w:lang w:val="fr-FR"/>
        </w:rPr>
        <w:t>’</w:t>
      </w:r>
      <w:r>
        <w:rPr>
          <w:lang w:val="fr-FR"/>
        </w:rPr>
        <w:t xml:space="preserve">une étude de </w:t>
      </w:r>
      <w:r w:rsidR="00095B7D">
        <w:rPr>
          <w:lang w:val="fr-FR"/>
        </w:rPr>
        <w:t>vingt</w:t>
      </w:r>
      <w:r w:rsidR="00095B7D">
        <w:rPr>
          <w:lang w:val="fr-FR"/>
        </w:rPr>
        <w:noBreakHyphen/>
        <w:t>huit</w:t>
      </w:r>
      <w:r>
        <w:rPr>
          <w:lang w:val="fr-FR"/>
        </w:rPr>
        <w:t xml:space="preserve"> jours entrent dans l</w:t>
      </w:r>
      <w:r w:rsidR="004F0AEA">
        <w:rPr>
          <w:lang w:val="fr-FR"/>
        </w:rPr>
        <w:t>’</w:t>
      </w:r>
      <w:r>
        <w:rPr>
          <w:lang w:val="fr-FR"/>
        </w:rPr>
        <w:t>intervalle de valeurs indicatives 30 &lt; C ≤ 300 mg/kg p.c. (soit l</w:t>
      </w:r>
      <w:r w:rsidR="004F0AEA">
        <w:rPr>
          <w:lang w:val="fr-FR"/>
        </w:rPr>
        <w:t>’</w:t>
      </w:r>
      <w:r>
        <w:rPr>
          <w:lang w:val="fr-FR"/>
        </w:rPr>
        <w:t xml:space="preserve">intervalle de valeurs indicatives retenu pour une étude de </w:t>
      </w:r>
      <w:r w:rsidR="00095B7D">
        <w:rPr>
          <w:lang w:val="fr-FR"/>
        </w:rPr>
        <w:t>quatre-vingt-dix</w:t>
      </w:r>
      <w:r>
        <w:rPr>
          <w:lang w:val="fr-FR"/>
        </w:rPr>
        <w:t xml:space="preserve"> jours, à</w:t>
      </w:r>
      <w:r w:rsidR="00095B7D">
        <w:rPr>
          <w:lang w:val="fr-FR"/>
        </w:rPr>
        <w:t> </w:t>
      </w:r>
      <w:r>
        <w:rPr>
          <w:lang w:val="fr-FR"/>
        </w:rPr>
        <w:t xml:space="preserve">savoir 10 &lt; C ≤ 100, multiplié par trois pour transposer ces données à une étude de </w:t>
      </w:r>
      <w:r w:rsidR="00095B7D">
        <w:rPr>
          <w:lang w:val="fr-FR"/>
        </w:rPr>
        <w:t>vingt</w:t>
      </w:r>
      <w:r w:rsidR="00095B7D">
        <w:rPr>
          <w:lang w:val="fr-FR"/>
        </w:rPr>
        <w:noBreakHyphen/>
        <w:t xml:space="preserve">huit </w:t>
      </w:r>
      <w:r>
        <w:rPr>
          <w:lang w:val="fr-FR"/>
        </w:rPr>
        <w:t>jours (par. 3.9.2.9.4)), ce qui justifie une affectation à la</w:t>
      </w:r>
      <w:r w:rsidRPr="00DF356D">
        <w:rPr>
          <w:lang w:val="fr-FR"/>
        </w:rPr>
        <w:t xml:space="preserve"> </w:t>
      </w:r>
      <w:r>
        <w:rPr>
          <w:lang w:val="fr-FR"/>
        </w:rPr>
        <w:t xml:space="preserve">catégorie 2 de la classe « toxicité pour certains organes cibles </w:t>
      </w:r>
      <w:r w:rsidR="004D7C2A">
        <w:rPr>
          <w:lang w:val="fr-FR"/>
        </w:rPr>
        <w:t>−</w:t>
      </w:r>
      <w:r>
        <w:rPr>
          <w:lang w:val="fr-FR"/>
        </w:rPr>
        <w:t xml:space="preserve"> expositions répétées » pour le foie et les reins.</w:t>
      </w:r>
    </w:p>
    <w:p w14:paraId="7FEB8B5C" w14:textId="77777777" w:rsidR="00625DC0" w:rsidRDefault="00625DC0" w:rsidP="004D7C2A">
      <w:pPr>
        <w:pStyle w:val="SingleTxtG"/>
        <w:jc w:val="center"/>
        <w:rPr>
          <w:lang w:val="fr-FR"/>
        </w:rPr>
      </w:pPr>
      <w:r>
        <w:rPr>
          <w:lang w:val="fr-FR"/>
        </w:rPr>
        <w:t>(Fin de l</w:t>
      </w:r>
      <w:r w:rsidR="004F0AEA">
        <w:rPr>
          <w:lang w:val="fr-FR"/>
        </w:rPr>
        <w:t>’</w:t>
      </w:r>
      <w:r>
        <w:rPr>
          <w:lang w:val="fr-FR"/>
        </w:rPr>
        <w:t>exemple 3)</w:t>
      </w:r>
    </w:p>
    <w:p w14:paraId="0A4E44CE" w14:textId="77777777" w:rsidR="00625DC0" w:rsidRPr="001B1F0F" w:rsidRDefault="00625DC0" w:rsidP="00F61671">
      <w:pPr>
        <w:pStyle w:val="H1G"/>
        <w:rPr>
          <w:lang w:val="fr-FR"/>
        </w:rPr>
      </w:pPr>
      <w:r>
        <w:rPr>
          <w:lang w:val="fr-FR"/>
        </w:rPr>
        <w:br w:type="page"/>
      </w:r>
      <w:r>
        <w:rPr>
          <w:lang w:val="fr-FR"/>
        </w:rPr>
        <w:lastRenderedPageBreak/>
        <w:tab/>
      </w:r>
      <w:r>
        <w:rPr>
          <w:lang w:val="fr-FR"/>
        </w:rPr>
        <w:tab/>
        <w:t>Exemple 4</w:t>
      </w:r>
    </w:p>
    <w:p w14:paraId="77B25A64" w14:textId="77777777" w:rsidR="00625DC0" w:rsidRPr="001B1F0F" w:rsidRDefault="00625DC0" w:rsidP="00F61671">
      <w:pPr>
        <w:pStyle w:val="SingleTxtG"/>
        <w:rPr>
          <w:lang w:val="fr-FR"/>
        </w:rPr>
      </w:pPr>
      <w:r>
        <w:rPr>
          <w:lang w:val="fr-FR"/>
        </w:rPr>
        <w:t xml:space="preserve">Le présent exemple porte sur les critères énoncés aux 3.9.1.1 et 3.9.1.6 dans les cas où une matière peut être affectée aussi bien à la classe de danger « toxicité pour certains organes cibles </w:t>
      </w:r>
      <w:r w:rsidR="00F61671">
        <w:rPr>
          <w:lang w:val="fr-FR"/>
        </w:rPr>
        <w:t>−</w:t>
      </w:r>
      <w:r>
        <w:rPr>
          <w:lang w:val="fr-FR"/>
        </w:rPr>
        <w:t xml:space="preserve"> expositions répétées » pour les effets non létaux, qu</w:t>
      </w:r>
      <w:r w:rsidR="004F0AEA">
        <w:rPr>
          <w:lang w:val="fr-FR"/>
        </w:rPr>
        <w:t>’</w:t>
      </w:r>
      <w:r>
        <w:rPr>
          <w:lang w:val="fr-FR"/>
        </w:rPr>
        <w:t>à la classe « toxicité aiguë » pour les effets létaux.</w:t>
      </w:r>
    </w:p>
    <w:p w14:paraId="10429A14" w14:textId="77777777" w:rsidR="00625DC0" w:rsidRPr="001B1F0F" w:rsidRDefault="00625DC0" w:rsidP="00F61671">
      <w:pPr>
        <w:pStyle w:val="H23G"/>
        <w:rPr>
          <w:lang w:val="fr-FR"/>
        </w:rPr>
      </w:pPr>
      <w:r>
        <w:rPr>
          <w:lang w:val="fr-FR"/>
        </w:rPr>
        <w:tab/>
      </w:r>
      <w:r>
        <w:rPr>
          <w:lang w:val="fr-FR"/>
        </w:rPr>
        <w:tab/>
        <w:t>Informations sur la matière 4</w:t>
      </w:r>
    </w:p>
    <w:p w14:paraId="661DAC88" w14:textId="77777777" w:rsidR="00625DC0" w:rsidRPr="001B1F0F" w:rsidRDefault="00625DC0" w:rsidP="00F61671">
      <w:pPr>
        <w:pStyle w:val="H23G"/>
        <w:rPr>
          <w:i/>
          <w:lang w:val="fr-FR"/>
        </w:rPr>
      </w:pPr>
      <w:r>
        <w:rPr>
          <w:lang w:val="fr-FR"/>
        </w:rPr>
        <w:tab/>
      </w:r>
      <w:r>
        <w:rPr>
          <w:lang w:val="fr-FR"/>
        </w:rPr>
        <w:tab/>
      </w:r>
      <w:r w:rsidRPr="001B1F0F">
        <w:rPr>
          <w:lang w:val="fr-FR"/>
        </w:rPr>
        <w:t>Données</w:t>
      </w:r>
    </w:p>
    <w:p w14:paraId="1B70D13F" w14:textId="77777777" w:rsidR="00625DC0" w:rsidRDefault="00625DC0" w:rsidP="00F61671">
      <w:pPr>
        <w:pStyle w:val="H4G"/>
        <w:rPr>
          <w:lang w:val="fr-FR"/>
        </w:rPr>
      </w:pPr>
      <w:r>
        <w:rPr>
          <w:lang w:val="fr-FR"/>
        </w:rPr>
        <w:tab/>
      </w:r>
      <w:r>
        <w:rPr>
          <w:lang w:val="fr-FR"/>
        </w:rPr>
        <w:tab/>
        <w:t>Données obtenues sur la base d</w:t>
      </w:r>
      <w:r w:rsidR="004F0AEA">
        <w:rPr>
          <w:lang w:val="fr-FR"/>
        </w:rPr>
        <w:t>’</w:t>
      </w:r>
      <w:r>
        <w:rPr>
          <w:lang w:val="fr-FR"/>
        </w:rPr>
        <w:t xml:space="preserve">expérimentations </w:t>
      </w:r>
      <w:r w:rsidR="00F61671">
        <w:rPr>
          <w:lang w:val="fr-FR"/>
        </w:rPr>
        <w:br/>
      </w:r>
      <w:r>
        <w:rPr>
          <w:lang w:val="fr-FR"/>
        </w:rPr>
        <w:t>sur des animaux concernant la toxicité aiguë</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816"/>
        <w:gridCol w:w="2463"/>
        <w:gridCol w:w="3522"/>
      </w:tblGrid>
      <w:tr w:rsidR="00C36E43" w:rsidRPr="00EE6F29" w14:paraId="39B68EDD" w14:textId="77777777" w:rsidTr="006558AB">
        <w:tc>
          <w:tcPr>
            <w:tcW w:w="1058" w:type="dxa"/>
            <w:shd w:val="clear" w:color="auto" w:fill="auto"/>
          </w:tcPr>
          <w:p w14:paraId="521830AF" w14:textId="77777777" w:rsidR="00C36E43" w:rsidRPr="00EE6F29" w:rsidRDefault="0056433B" w:rsidP="006558AB">
            <w:pPr>
              <w:spacing w:after="40" w:line="240" w:lineRule="auto"/>
              <w:jc w:val="center"/>
              <w:rPr>
                <w:rFonts w:eastAsia="Times New Roman"/>
                <w:b/>
                <w:color w:val="000000"/>
                <w:sz w:val="18"/>
                <w:szCs w:val="18"/>
                <w:shd w:val="clear" w:color="auto" w:fill="FFFFFF"/>
              </w:rPr>
            </w:pPr>
            <w:r w:rsidRPr="0056433B">
              <w:rPr>
                <w:rFonts w:eastAsia="Times New Roman"/>
                <w:b/>
                <w:bCs/>
                <w:color w:val="000000"/>
                <w:sz w:val="18"/>
                <w:szCs w:val="18"/>
                <w:shd w:val="clear" w:color="auto" w:fill="FFFFFF"/>
                <w:lang w:val="fr-FR"/>
              </w:rPr>
              <w:t>Voie d</w:t>
            </w:r>
            <w:r w:rsidR="004F0AEA">
              <w:rPr>
                <w:rFonts w:eastAsia="Times New Roman"/>
                <w:b/>
                <w:bCs/>
                <w:color w:val="000000"/>
                <w:sz w:val="18"/>
                <w:szCs w:val="18"/>
                <w:shd w:val="clear" w:color="auto" w:fill="FFFFFF"/>
                <w:lang w:val="fr-FR"/>
              </w:rPr>
              <w:t>’</w:t>
            </w:r>
            <w:r w:rsidRPr="0056433B">
              <w:rPr>
                <w:rFonts w:eastAsia="Times New Roman"/>
                <w:b/>
                <w:bCs/>
                <w:color w:val="000000"/>
                <w:sz w:val="18"/>
                <w:szCs w:val="18"/>
                <w:shd w:val="clear" w:color="auto" w:fill="FFFFFF"/>
                <w:lang w:val="fr-FR"/>
              </w:rPr>
              <w:t>exposition</w:t>
            </w:r>
          </w:p>
        </w:tc>
        <w:tc>
          <w:tcPr>
            <w:tcW w:w="785" w:type="dxa"/>
            <w:shd w:val="clear" w:color="auto" w:fill="auto"/>
          </w:tcPr>
          <w:p w14:paraId="05107867" w14:textId="77777777" w:rsidR="00C36E43" w:rsidRPr="00EE6F29" w:rsidRDefault="0056433B" w:rsidP="006558AB">
            <w:pPr>
              <w:spacing w:after="40" w:line="240" w:lineRule="auto"/>
              <w:jc w:val="center"/>
              <w:rPr>
                <w:rFonts w:eastAsia="Times New Roman"/>
                <w:b/>
                <w:color w:val="000000"/>
                <w:sz w:val="18"/>
                <w:szCs w:val="18"/>
                <w:shd w:val="clear" w:color="auto" w:fill="FFFFFF"/>
              </w:rPr>
            </w:pPr>
            <w:r>
              <w:rPr>
                <w:rFonts w:eastAsia="Times New Roman"/>
                <w:b/>
                <w:color w:val="000000"/>
                <w:sz w:val="18"/>
                <w:szCs w:val="18"/>
                <w:shd w:val="clear" w:color="auto" w:fill="FFFFFF"/>
              </w:rPr>
              <w:t>Espèces</w:t>
            </w:r>
          </w:p>
        </w:tc>
        <w:tc>
          <w:tcPr>
            <w:tcW w:w="2835" w:type="dxa"/>
            <w:shd w:val="clear" w:color="auto" w:fill="auto"/>
          </w:tcPr>
          <w:p w14:paraId="63E7BE30" w14:textId="77777777" w:rsidR="00C36E43" w:rsidRPr="00EE6F29" w:rsidRDefault="0056433B" w:rsidP="006558AB">
            <w:pPr>
              <w:spacing w:after="40" w:line="240" w:lineRule="auto"/>
              <w:jc w:val="center"/>
              <w:rPr>
                <w:rFonts w:eastAsia="Times New Roman"/>
                <w:b/>
                <w:color w:val="000000"/>
                <w:sz w:val="18"/>
                <w:szCs w:val="18"/>
                <w:shd w:val="clear" w:color="auto" w:fill="FFFFFF"/>
              </w:rPr>
            </w:pPr>
            <w:r w:rsidRPr="0056433B">
              <w:rPr>
                <w:rFonts w:eastAsia="Times New Roman"/>
                <w:b/>
                <w:bCs/>
                <w:color w:val="000000"/>
                <w:sz w:val="18"/>
                <w:szCs w:val="18"/>
                <w:shd w:val="clear" w:color="auto" w:fill="FFFFFF"/>
                <w:lang w:val="fr-FR"/>
              </w:rPr>
              <w:t>Valeur de la DL</w:t>
            </w:r>
            <w:r w:rsidRPr="0056433B">
              <w:rPr>
                <w:rFonts w:eastAsia="Times New Roman"/>
                <w:b/>
                <w:bCs/>
                <w:color w:val="000000"/>
                <w:sz w:val="18"/>
                <w:szCs w:val="18"/>
                <w:shd w:val="clear" w:color="auto" w:fill="FFFFFF"/>
                <w:vertAlign w:val="subscript"/>
                <w:lang w:val="fr-FR"/>
              </w:rPr>
              <w:t>50</w:t>
            </w:r>
            <w:r w:rsidRPr="0056433B">
              <w:rPr>
                <w:rFonts w:eastAsia="Times New Roman"/>
                <w:b/>
                <w:bCs/>
                <w:color w:val="000000"/>
                <w:sz w:val="18"/>
                <w:szCs w:val="18"/>
                <w:shd w:val="clear" w:color="auto" w:fill="FFFFFF"/>
                <w:lang w:val="fr-FR"/>
              </w:rPr>
              <w:t>/CL</w:t>
            </w:r>
            <w:r w:rsidRPr="0056433B">
              <w:rPr>
                <w:rFonts w:eastAsia="Times New Roman"/>
                <w:b/>
                <w:bCs/>
                <w:color w:val="000000"/>
                <w:sz w:val="18"/>
                <w:szCs w:val="18"/>
                <w:shd w:val="clear" w:color="auto" w:fill="FFFFFF"/>
                <w:vertAlign w:val="subscript"/>
                <w:lang w:val="fr-FR"/>
              </w:rPr>
              <w:t>50</w:t>
            </w:r>
          </w:p>
        </w:tc>
        <w:tc>
          <w:tcPr>
            <w:tcW w:w="3969" w:type="dxa"/>
            <w:shd w:val="clear" w:color="auto" w:fill="auto"/>
          </w:tcPr>
          <w:p w14:paraId="4C782F2C" w14:textId="77777777" w:rsidR="00C36E43" w:rsidRPr="00EE6F29" w:rsidRDefault="00C36E43" w:rsidP="006558AB">
            <w:pPr>
              <w:spacing w:after="40" w:line="240" w:lineRule="auto"/>
              <w:jc w:val="center"/>
              <w:rPr>
                <w:sz w:val="18"/>
                <w:szCs w:val="18"/>
              </w:rPr>
            </w:pPr>
            <w:r w:rsidRPr="00EE6F29">
              <w:rPr>
                <w:rFonts w:eastAsia="Times New Roman"/>
                <w:b/>
                <w:color w:val="000000"/>
                <w:sz w:val="18"/>
                <w:szCs w:val="18"/>
                <w:shd w:val="clear" w:color="auto" w:fill="FFFFFF"/>
              </w:rPr>
              <w:t>Observations</w:t>
            </w:r>
          </w:p>
        </w:tc>
      </w:tr>
      <w:tr w:rsidR="00C36E43" w:rsidRPr="0056433B" w14:paraId="14D0E5CF" w14:textId="77777777" w:rsidTr="006558AB">
        <w:trPr>
          <w:trHeight w:val="377"/>
        </w:trPr>
        <w:tc>
          <w:tcPr>
            <w:tcW w:w="1058" w:type="dxa"/>
            <w:shd w:val="clear" w:color="auto" w:fill="auto"/>
          </w:tcPr>
          <w:p w14:paraId="2B9392FF" w14:textId="77777777" w:rsidR="00C36E43" w:rsidRPr="00EE6F29" w:rsidRDefault="00C36E43" w:rsidP="00127FF5">
            <w:pPr>
              <w:spacing w:before="60" w:after="60" w:line="240" w:lineRule="auto"/>
              <w:jc w:val="center"/>
              <w:rPr>
                <w:rFonts w:eastAsia="Times New Roman"/>
                <w:color w:val="000000"/>
                <w:sz w:val="18"/>
                <w:szCs w:val="18"/>
                <w:shd w:val="clear" w:color="auto" w:fill="FFFFFF"/>
              </w:rPr>
            </w:pPr>
            <w:r w:rsidRPr="00EE6F29">
              <w:rPr>
                <w:rFonts w:eastAsia="Times New Roman"/>
                <w:color w:val="000000"/>
                <w:sz w:val="18"/>
                <w:szCs w:val="18"/>
                <w:shd w:val="clear" w:color="auto" w:fill="FFFFFF"/>
              </w:rPr>
              <w:t>Oral</w:t>
            </w:r>
            <w:r w:rsidR="0056433B">
              <w:rPr>
                <w:rFonts w:eastAsia="Times New Roman"/>
                <w:color w:val="000000"/>
                <w:sz w:val="18"/>
                <w:szCs w:val="18"/>
                <w:shd w:val="clear" w:color="auto" w:fill="FFFFFF"/>
              </w:rPr>
              <w:t>e</w:t>
            </w:r>
          </w:p>
        </w:tc>
        <w:tc>
          <w:tcPr>
            <w:tcW w:w="785" w:type="dxa"/>
            <w:shd w:val="clear" w:color="auto" w:fill="auto"/>
          </w:tcPr>
          <w:p w14:paraId="577B0AE4" w14:textId="77777777" w:rsidR="00C36E43" w:rsidRPr="00EE6F29" w:rsidRDefault="00C36E43" w:rsidP="00127FF5">
            <w:pPr>
              <w:spacing w:before="60" w:after="60" w:line="240" w:lineRule="auto"/>
              <w:jc w:val="center"/>
              <w:rPr>
                <w:rFonts w:eastAsia="Times New Roman"/>
                <w:color w:val="000000"/>
                <w:sz w:val="18"/>
                <w:szCs w:val="18"/>
                <w:shd w:val="clear" w:color="auto" w:fill="FFFFFF"/>
              </w:rPr>
            </w:pPr>
            <w:r w:rsidRPr="00EE6F29">
              <w:rPr>
                <w:rFonts w:eastAsia="Times New Roman"/>
                <w:color w:val="000000"/>
                <w:sz w:val="18"/>
                <w:szCs w:val="18"/>
                <w:shd w:val="clear" w:color="auto" w:fill="FFFFFF"/>
              </w:rPr>
              <w:t>Rat</w:t>
            </w:r>
          </w:p>
        </w:tc>
        <w:tc>
          <w:tcPr>
            <w:tcW w:w="2835" w:type="dxa"/>
            <w:shd w:val="clear" w:color="auto" w:fill="auto"/>
          </w:tcPr>
          <w:p w14:paraId="265DA6E5" w14:textId="77777777" w:rsidR="00C36E43" w:rsidRPr="0056433B" w:rsidRDefault="0056433B" w:rsidP="00127FF5">
            <w:pPr>
              <w:spacing w:before="60" w:after="60" w:line="240" w:lineRule="auto"/>
              <w:jc w:val="center"/>
              <w:rPr>
                <w:rFonts w:eastAsia="Times New Roman"/>
                <w:color w:val="000000"/>
                <w:sz w:val="18"/>
                <w:szCs w:val="18"/>
                <w:shd w:val="clear" w:color="auto" w:fill="FFFFFF"/>
              </w:rPr>
            </w:pPr>
            <w:r w:rsidRPr="0056433B">
              <w:rPr>
                <w:rFonts w:eastAsia="Times New Roman"/>
                <w:color w:val="000000"/>
                <w:sz w:val="18"/>
                <w:szCs w:val="18"/>
                <w:shd w:val="clear" w:color="auto" w:fill="FFFFFF"/>
                <w:lang w:val="fr-FR"/>
              </w:rPr>
              <w:t>Dans deux études conformes à la ligne directrice n</w:t>
            </w:r>
            <w:r w:rsidRPr="0056433B">
              <w:rPr>
                <w:rFonts w:eastAsia="Times New Roman"/>
                <w:color w:val="000000"/>
                <w:sz w:val="18"/>
                <w:szCs w:val="18"/>
                <w:shd w:val="clear" w:color="auto" w:fill="FFFFFF"/>
                <w:vertAlign w:val="superscript"/>
                <w:lang w:val="fr-FR"/>
              </w:rPr>
              <w:t>o</w:t>
            </w:r>
            <w:r w:rsidRPr="0056433B">
              <w:rPr>
                <w:rFonts w:eastAsia="Times New Roman"/>
                <w:color w:val="000000"/>
                <w:sz w:val="18"/>
                <w:szCs w:val="18"/>
                <w:shd w:val="clear" w:color="auto" w:fill="FFFFFF"/>
                <w:lang w:val="fr-FR"/>
              </w:rPr>
              <w:t> 401 de l</w:t>
            </w:r>
            <w:r w:rsidR="004F0AEA">
              <w:rPr>
                <w:rFonts w:eastAsia="Times New Roman"/>
                <w:color w:val="000000"/>
                <w:sz w:val="18"/>
                <w:szCs w:val="18"/>
                <w:shd w:val="clear" w:color="auto" w:fill="FFFFFF"/>
                <w:lang w:val="fr-FR"/>
              </w:rPr>
              <w:t>’</w:t>
            </w:r>
            <w:r w:rsidRPr="0056433B">
              <w:rPr>
                <w:rFonts w:eastAsia="Times New Roman"/>
                <w:color w:val="000000"/>
                <w:sz w:val="18"/>
                <w:szCs w:val="18"/>
                <w:shd w:val="clear" w:color="auto" w:fill="FFFFFF"/>
                <w:lang w:val="fr-FR"/>
              </w:rPr>
              <w:t>OCDE, les valeurs appliquées étaient de 160 et 273 mg/kg.</w:t>
            </w:r>
          </w:p>
        </w:tc>
        <w:tc>
          <w:tcPr>
            <w:tcW w:w="3969" w:type="dxa"/>
            <w:shd w:val="clear" w:color="auto" w:fill="auto"/>
          </w:tcPr>
          <w:p w14:paraId="71D85F67" w14:textId="77777777" w:rsidR="00C36E43" w:rsidRPr="0056433B" w:rsidRDefault="00C36E43" w:rsidP="00127FF5">
            <w:pPr>
              <w:pStyle w:val="Bullet1G"/>
              <w:numPr>
                <w:ilvl w:val="0"/>
                <w:numId w:val="0"/>
              </w:numPr>
              <w:spacing w:before="60" w:after="60" w:line="240" w:lineRule="auto"/>
              <w:ind w:left="174" w:right="-109" w:hanging="174"/>
              <w:jc w:val="left"/>
              <w:rPr>
                <w:sz w:val="18"/>
                <w:szCs w:val="18"/>
                <w:shd w:val="clear" w:color="auto" w:fill="FFFFFF"/>
              </w:rPr>
            </w:pPr>
            <w:r w:rsidRPr="0056433B">
              <w:rPr>
                <w:sz w:val="18"/>
                <w:szCs w:val="18"/>
              </w:rPr>
              <w:t>•</w:t>
            </w:r>
            <w:r w:rsidRPr="0056433B">
              <w:rPr>
                <w:sz w:val="18"/>
                <w:szCs w:val="18"/>
              </w:rPr>
              <w:tab/>
            </w:r>
            <w:r w:rsidR="0056433B" w:rsidRPr="0056433B">
              <w:rPr>
                <w:sz w:val="18"/>
                <w:szCs w:val="18"/>
                <w:shd w:val="clear" w:color="auto" w:fill="FFFFFF"/>
                <w:lang w:val="fr-FR"/>
              </w:rPr>
              <w:t>Effets observés dans les poumons (hémorragies) et l</w:t>
            </w:r>
            <w:r w:rsidR="004F0AEA">
              <w:rPr>
                <w:sz w:val="18"/>
                <w:szCs w:val="18"/>
                <w:shd w:val="clear" w:color="auto" w:fill="FFFFFF"/>
                <w:lang w:val="fr-FR"/>
              </w:rPr>
              <w:t>’</w:t>
            </w:r>
            <w:r w:rsidR="0056433B" w:rsidRPr="0056433B">
              <w:rPr>
                <w:sz w:val="18"/>
                <w:szCs w:val="18"/>
                <w:shd w:val="clear" w:color="auto" w:fill="FFFFFF"/>
                <w:lang w:val="fr-FR"/>
              </w:rPr>
              <w:t>estomac.</w:t>
            </w:r>
          </w:p>
        </w:tc>
      </w:tr>
      <w:tr w:rsidR="00C36E43" w:rsidRPr="00EE6F29" w14:paraId="7FBCA533" w14:textId="77777777" w:rsidTr="006558AB">
        <w:trPr>
          <w:trHeight w:val="201"/>
        </w:trPr>
        <w:tc>
          <w:tcPr>
            <w:tcW w:w="1058" w:type="dxa"/>
            <w:shd w:val="clear" w:color="auto" w:fill="auto"/>
          </w:tcPr>
          <w:p w14:paraId="2D0D058D" w14:textId="77777777" w:rsidR="00C36E43" w:rsidRPr="00EE6F29" w:rsidRDefault="0056433B" w:rsidP="00127FF5">
            <w:pPr>
              <w:spacing w:before="60" w:after="60" w:line="240" w:lineRule="auto"/>
              <w:jc w:val="center"/>
              <w:rPr>
                <w:rFonts w:eastAsia="Times New Roman"/>
                <w:color w:val="000000"/>
                <w:sz w:val="18"/>
                <w:szCs w:val="18"/>
                <w:shd w:val="clear" w:color="auto" w:fill="FFFFFF"/>
              </w:rPr>
            </w:pPr>
            <w:r>
              <w:rPr>
                <w:rFonts w:eastAsia="Times New Roman"/>
                <w:color w:val="000000"/>
                <w:sz w:val="18"/>
                <w:szCs w:val="18"/>
                <w:shd w:val="clear" w:color="auto" w:fill="FFFFFF"/>
              </w:rPr>
              <w:t>Cutanée</w:t>
            </w:r>
          </w:p>
        </w:tc>
        <w:tc>
          <w:tcPr>
            <w:tcW w:w="785" w:type="dxa"/>
            <w:shd w:val="clear" w:color="auto" w:fill="auto"/>
          </w:tcPr>
          <w:p w14:paraId="679AB368" w14:textId="77777777" w:rsidR="00C36E43" w:rsidRPr="00EE6F29" w:rsidRDefault="00C36E43" w:rsidP="00127FF5">
            <w:pPr>
              <w:spacing w:before="60" w:after="60" w:line="240" w:lineRule="auto"/>
              <w:jc w:val="center"/>
              <w:rPr>
                <w:rFonts w:eastAsia="Times New Roman"/>
                <w:color w:val="000000"/>
                <w:sz w:val="18"/>
                <w:szCs w:val="18"/>
                <w:shd w:val="clear" w:color="auto" w:fill="FFFFFF"/>
              </w:rPr>
            </w:pPr>
            <w:r w:rsidRPr="00EE6F29">
              <w:rPr>
                <w:rFonts w:eastAsia="Times New Roman"/>
                <w:color w:val="000000"/>
                <w:sz w:val="18"/>
                <w:szCs w:val="18"/>
                <w:shd w:val="clear" w:color="auto" w:fill="FFFFFF"/>
              </w:rPr>
              <w:t>Rat</w:t>
            </w:r>
          </w:p>
        </w:tc>
        <w:tc>
          <w:tcPr>
            <w:tcW w:w="2835" w:type="dxa"/>
            <w:shd w:val="clear" w:color="auto" w:fill="auto"/>
          </w:tcPr>
          <w:p w14:paraId="34E19E09" w14:textId="77777777" w:rsidR="00C36E43" w:rsidRPr="00EE6F29" w:rsidRDefault="00C36E43" w:rsidP="00127FF5">
            <w:pPr>
              <w:spacing w:before="60" w:after="60" w:line="240" w:lineRule="auto"/>
              <w:jc w:val="center"/>
              <w:rPr>
                <w:rFonts w:eastAsia="Times New Roman"/>
                <w:color w:val="000000"/>
                <w:sz w:val="18"/>
                <w:szCs w:val="18"/>
                <w:shd w:val="clear" w:color="auto" w:fill="FFFFFF"/>
              </w:rPr>
            </w:pPr>
            <w:r w:rsidRPr="00EE6F29">
              <w:rPr>
                <w:rFonts w:eastAsia="Times New Roman"/>
                <w:color w:val="000000"/>
                <w:sz w:val="18"/>
                <w:szCs w:val="18"/>
                <w:shd w:val="clear" w:color="auto" w:fill="FFFFFF"/>
              </w:rPr>
              <w:t>404 mg/kg</w:t>
            </w:r>
          </w:p>
        </w:tc>
        <w:tc>
          <w:tcPr>
            <w:tcW w:w="3969" w:type="dxa"/>
            <w:shd w:val="clear" w:color="auto" w:fill="auto"/>
          </w:tcPr>
          <w:p w14:paraId="4E787F68" w14:textId="77777777" w:rsidR="00C36E43" w:rsidRPr="00EE6F29" w:rsidRDefault="00C36E43" w:rsidP="00127FF5">
            <w:pPr>
              <w:pStyle w:val="Bullet1G"/>
              <w:numPr>
                <w:ilvl w:val="0"/>
                <w:numId w:val="0"/>
              </w:numPr>
              <w:spacing w:before="60" w:after="60" w:line="240" w:lineRule="auto"/>
              <w:ind w:left="174" w:hanging="174"/>
              <w:jc w:val="left"/>
              <w:rPr>
                <w:sz w:val="18"/>
                <w:szCs w:val="18"/>
                <w:shd w:val="clear" w:color="auto" w:fill="FFFFFF"/>
              </w:rPr>
            </w:pPr>
            <w:r w:rsidRPr="00EE6F29">
              <w:rPr>
                <w:sz w:val="18"/>
                <w:szCs w:val="18"/>
              </w:rPr>
              <w:t>•</w:t>
            </w:r>
            <w:r w:rsidRPr="00EE6F29">
              <w:rPr>
                <w:sz w:val="18"/>
                <w:szCs w:val="18"/>
              </w:rPr>
              <w:tab/>
            </w:r>
            <w:r w:rsidR="0056433B" w:rsidRPr="0056433B">
              <w:rPr>
                <w:sz w:val="18"/>
                <w:szCs w:val="18"/>
                <w:shd w:val="clear" w:color="auto" w:fill="FFFFFF"/>
                <w:lang w:val="fr-FR"/>
              </w:rPr>
              <w:t>Aucun signe observé</w:t>
            </w:r>
            <w:r w:rsidR="000529D8">
              <w:rPr>
                <w:sz w:val="18"/>
                <w:szCs w:val="18"/>
                <w:shd w:val="clear" w:color="auto" w:fill="FFFFFF"/>
                <w:lang w:val="fr-FR"/>
              </w:rPr>
              <w:t>.</w:t>
            </w:r>
          </w:p>
        </w:tc>
      </w:tr>
      <w:tr w:rsidR="00C36E43" w:rsidRPr="00EE6F29" w14:paraId="4ECA5FB4" w14:textId="77777777" w:rsidTr="006558AB">
        <w:trPr>
          <w:trHeight w:val="440"/>
        </w:trPr>
        <w:tc>
          <w:tcPr>
            <w:tcW w:w="1058" w:type="dxa"/>
            <w:shd w:val="clear" w:color="auto" w:fill="auto"/>
          </w:tcPr>
          <w:p w14:paraId="031A8F5D" w14:textId="77777777" w:rsidR="00C36E43" w:rsidRPr="00EE6F29" w:rsidRDefault="0056433B" w:rsidP="00127FF5">
            <w:pPr>
              <w:spacing w:before="60" w:after="60" w:line="240" w:lineRule="auto"/>
              <w:jc w:val="center"/>
              <w:rPr>
                <w:rFonts w:eastAsia="Times New Roman"/>
                <w:color w:val="000000"/>
                <w:sz w:val="18"/>
                <w:szCs w:val="18"/>
                <w:shd w:val="clear" w:color="auto" w:fill="FFFFFF"/>
              </w:rPr>
            </w:pPr>
            <w:r w:rsidRPr="0056433B">
              <w:rPr>
                <w:rFonts w:eastAsia="Times New Roman"/>
                <w:color w:val="000000"/>
                <w:sz w:val="18"/>
                <w:szCs w:val="18"/>
                <w:shd w:val="clear" w:color="auto" w:fill="FFFFFF"/>
                <w:lang w:val="fr-FR"/>
              </w:rPr>
              <w:t>Inhalation (poussières/brouillard)</w:t>
            </w:r>
          </w:p>
        </w:tc>
        <w:tc>
          <w:tcPr>
            <w:tcW w:w="785" w:type="dxa"/>
            <w:shd w:val="clear" w:color="auto" w:fill="auto"/>
          </w:tcPr>
          <w:p w14:paraId="2CFAA3C0" w14:textId="77777777" w:rsidR="00C36E43" w:rsidRPr="00EE6F29" w:rsidRDefault="00C36E43" w:rsidP="00127FF5">
            <w:pPr>
              <w:spacing w:before="60" w:after="60" w:line="240" w:lineRule="auto"/>
              <w:jc w:val="center"/>
              <w:rPr>
                <w:rFonts w:eastAsia="Times New Roman"/>
                <w:color w:val="000000"/>
                <w:sz w:val="18"/>
                <w:szCs w:val="18"/>
                <w:shd w:val="clear" w:color="auto" w:fill="FFFFFF"/>
              </w:rPr>
            </w:pPr>
            <w:r w:rsidRPr="00EE6F29">
              <w:rPr>
                <w:rFonts w:eastAsia="Times New Roman"/>
                <w:color w:val="000000"/>
                <w:sz w:val="18"/>
                <w:szCs w:val="18"/>
                <w:shd w:val="clear" w:color="auto" w:fill="FFFFFF"/>
              </w:rPr>
              <w:t>Rat</w:t>
            </w:r>
          </w:p>
        </w:tc>
        <w:tc>
          <w:tcPr>
            <w:tcW w:w="2835" w:type="dxa"/>
            <w:shd w:val="clear" w:color="auto" w:fill="auto"/>
          </w:tcPr>
          <w:p w14:paraId="2668C2BD" w14:textId="77777777" w:rsidR="00C36E43" w:rsidRPr="0056433B" w:rsidRDefault="0056433B" w:rsidP="00127FF5">
            <w:pPr>
              <w:spacing w:before="60" w:after="60" w:line="240" w:lineRule="auto"/>
              <w:jc w:val="center"/>
              <w:rPr>
                <w:rFonts w:eastAsia="Times New Roman"/>
                <w:color w:val="000000"/>
                <w:sz w:val="18"/>
                <w:szCs w:val="18"/>
                <w:shd w:val="clear" w:color="auto" w:fill="FFFFFF"/>
              </w:rPr>
            </w:pPr>
            <w:r w:rsidRPr="0056433B">
              <w:rPr>
                <w:rFonts w:eastAsia="Times New Roman"/>
                <w:color w:val="000000"/>
                <w:sz w:val="18"/>
                <w:szCs w:val="18"/>
                <w:shd w:val="clear" w:color="auto" w:fill="FFFFFF"/>
                <w:lang w:val="fr-FR"/>
              </w:rPr>
              <w:t>Dans le cadre de deux études sur quatre heures, les valeurs de la CL</w:t>
            </w:r>
            <w:r w:rsidRPr="0056433B">
              <w:rPr>
                <w:rFonts w:eastAsia="Times New Roman"/>
                <w:color w:val="000000"/>
                <w:sz w:val="18"/>
                <w:szCs w:val="18"/>
                <w:shd w:val="clear" w:color="auto" w:fill="FFFFFF"/>
                <w:vertAlign w:val="subscript"/>
                <w:lang w:val="fr-FR"/>
              </w:rPr>
              <w:t>50</w:t>
            </w:r>
            <w:r w:rsidRPr="0056433B">
              <w:rPr>
                <w:rFonts w:eastAsia="Times New Roman"/>
                <w:color w:val="000000"/>
                <w:sz w:val="18"/>
                <w:szCs w:val="18"/>
                <w:shd w:val="clear" w:color="auto" w:fill="FFFFFF"/>
                <w:lang w:val="fr-FR"/>
              </w:rPr>
              <w:t xml:space="preserve"> étaient respectivement de 0,115 et 0,139 mg/L</w:t>
            </w:r>
          </w:p>
        </w:tc>
        <w:tc>
          <w:tcPr>
            <w:tcW w:w="3969" w:type="dxa"/>
            <w:shd w:val="clear" w:color="auto" w:fill="auto"/>
          </w:tcPr>
          <w:p w14:paraId="1C0389CE" w14:textId="77777777" w:rsidR="00C36E43" w:rsidRPr="00EE6F29" w:rsidRDefault="00C36E43" w:rsidP="00127FF5">
            <w:pPr>
              <w:pStyle w:val="Bullet1G"/>
              <w:numPr>
                <w:ilvl w:val="0"/>
                <w:numId w:val="0"/>
              </w:numPr>
              <w:spacing w:before="60" w:after="60" w:line="240" w:lineRule="auto"/>
              <w:ind w:left="174" w:hanging="174"/>
              <w:jc w:val="left"/>
              <w:rPr>
                <w:sz w:val="18"/>
                <w:szCs w:val="18"/>
                <w:shd w:val="clear" w:color="auto" w:fill="FFFFFF"/>
              </w:rPr>
            </w:pPr>
            <w:r w:rsidRPr="00EE6F29">
              <w:rPr>
                <w:sz w:val="18"/>
                <w:szCs w:val="18"/>
              </w:rPr>
              <w:t>•</w:t>
            </w:r>
            <w:r w:rsidRPr="00EE6F29">
              <w:rPr>
                <w:sz w:val="18"/>
                <w:szCs w:val="18"/>
              </w:rPr>
              <w:tab/>
            </w:r>
            <w:r w:rsidR="0056433B" w:rsidRPr="0056433B">
              <w:rPr>
                <w:sz w:val="18"/>
                <w:szCs w:val="18"/>
                <w:shd w:val="clear" w:color="auto" w:fill="FFFFFF"/>
                <w:lang w:val="fr-FR"/>
              </w:rPr>
              <w:t>Aucun signe observé</w:t>
            </w:r>
            <w:r w:rsidR="000529D8">
              <w:rPr>
                <w:sz w:val="18"/>
                <w:szCs w:val="18"/>
                <w:shd w:val="clear" w:color="auto" w:fill="FFFFFF"/>
                <w:lang w:val="fr-FR"/>
              </w:rPr>
              <w:t>.</w:t>
            </w:r>
          </w:p>
        </w:tc>
      </w:tr>
    </w:tbl>
    <w:p w14:paraId="44C65B40" w14:textId="77777777" w:rsidR="00625DC0" w:rsidRPr="001B1F0F" w:rsidRDefault="00625DC0" w:rsidP="0056433B">
      <w:pPr>
        <w:pStyle w:val="H4G"/>
        <w:rPr>
          <w:shd w:val="clear" w:color="auto" w:fill="FFFFFF"/>
          <w:lang w:val="fr-FR"/>
        </w:rPr>
      </w:pPr>
      <w:r>
        <w:rPr>
          <w:lang w:val="fr-FR"/>
        </w:rPr>
        <w:tab/>
      </w:r>
      <w:r>
        <w:rPr>
          <w:lang w:val="fr-FR"/>
        </w:rPr>
        <w:tab/>
        <w:t xml:space="preserve">Toxicité </w:t>
      </w:r>
      <w:r w:rsidRPr="0056433B">
        <w:t>pour</w:t>
      </w:r>
      <w:r>
        <w:rPr>
          <w:lang w:val="fr-FR"/>
        </w:rPr>
        <w:t xml:space="preserve"> certains organes cibles </w:t>
      </w:r>
      <w:r w:rsidR="0056433B">
        <w:rPr>
          <w:lang w:val="fr-FR"/>
        </w:rPr>
        <w:t>−</w:t>
      </w:r>
      <w:r>
        <w:rPr>
          <w:lang w:val="fr-FR"/>
        </w:rPr>
        <w:t xml:space="preserve"> expositions répétées</w:t>
      </w:r>
    </w:p>
    <w:p w14:paraId="08A77E72" w14:textId="77777777" w:rsidR="00625DC0" w:rsidRPr="001B1F0F" w:rsidRDefault="00625DC0" w:rsidP="00CA3B52">
      <w:pPr>
        <w:pStyle w:val="SingleTxtG"/>
        <w:rPr>
          <w:b/>
          <w:lang w:val="fr-FR"/>
        </w:rPr>
      </w:pPr>
      <w:r w:rsidRPr="001B1F0F">
        <w:rPr>
          <w:lang w:val="fr-FR"/>
        </w:rPr>
        <w:t>a)</w:t>
      </w:r>
      <w:r w:rsidRPr="001B1F0F">
        <w:rPr>
          <w:lang w:val="fr-FR"/>
        </w:rPr>
        <w:tab/>
        <w:t>Étude 1</w:t>
      </w:r>
      <w:r w:rsidR="0055086C">
        <w:rPr>
          <w:lang w:val="fr-FR"/>
        </w:rPr>
        <w:t> </w:t>
      </w:r>
      <w:r w:rsidRPr="001B1F0F">
        <w:rPr>
          <w:lang w:val="fr-FR"/>
        </w:rPr>
        <w:t>: Voie d</w:t>
      </w:r>
      <w:r w:rsidR="004F0AEA">
        <w:rPr>
          <w:lang w:val="fr-FR"/>
        </w:rPr>
        <w:t>’</w:t>
      </w:r>
      <w:r w:rsidRPr="001B1F0F">
        <w:rPr>
          <w:lang w:val="fr-FR"/>
        </w:rPr>
        <w:t>exposition orale</w:t>
      </w:r>
    </w:p>
    <w:p w14:paraId="1CAA86E0" w14:textId="77777777" w:rsidR="00625DC0" w:rsidRPr="001B1F0F" w:rsidRDefault="00625DC0" w:rsidP="00CA3B52">
      <w:pPr>
        <w:pStyle w:val="SingleTxtG"/>
        <w:ind w:left="1701"/>
        <w:rPr>
          <w:lang w:val="fr-FR"/>
        </w:rPr>
      </w:pPr>
      <w:r w:rsidRPr="00190C7E">
        <w:rPr>
          <w:lang w:val="fr-FR"/>
        </w:rPr>
        <w:t xml:space="preserve">Étude </w:t>
      </w:r>
      <w:r w:rsidR="00190C7E" w:rsidRPr="00190C7E">
        <w:rPr>
          <w:lang w:val="fr-FR"/>
        </w:rPr>
        <w:t xml:space="preserve">de quatre-vingt-dix jours </w:t>
      </w:r>
      <w:r w:rsidRPr="00190C7E">
        <w:rPr>
          <w:lang w:val="fr-FR"/>
        </w:rPr>
        <w:t>menée dans des conditions équivalentes à celles d</w:t>
      </w:r>
      <w:r w:rsidR="004F0AEA" w:rsidRPr="00190C7E">
        <w:rPr>
          <w:lang w:val="fr-FR"/>
        </w:rPr>
        <w:t>’</w:t>
      </w:r>
      <w:r w:rsidRPr="00190C7E">
        <w:rPr>
          <w:lang w:val="fr-FR"/>
        </w:rPr>
        <w:t>une étude conforme à la ligne directrice 408 de l</w:t>
      </w:r>
      <w:r w:rsidR="004F0AEA" w:rsidRPr="00190C7E">
        <w:rPr>
          <w:lang w:val="fr-FR"/>
        </w:rPr>
        <w:t>’</w:t>
      </w:r>
      <w:r w:rsidRPr="00190C7E">
        <w:rPr>
          <w:lang w:val="fr-FR"/>
        </w:rPr>
        <w:t>OCDE</w:t>
      </w:r>
    </w:p>
    <w:p w14:paraId="55050056" w14:textId="77777777" w:rsidR="00625DC0" w:rsidRDefault="00625DC0" w:rsidP="00CA3B52">
      <w:pPr>
        <w:pStyle w:val="SingleTxtG"/>
        <w:ind w:left="1701"/>
        <w:rPr>
          <w:lang w:val="fr-FR"/>
        </w:rPr>
      </w:pPr>
      <w:r>
        <w:rPr>
          <w:lang w:val="fr-FR"/>
        </w:rPr>
        <w:t>30 rats Sprague Dawley (15 mâles et 15 femelles)</w:t>
      </w:r>
      <w:r w:rsidR="0055086C">
        <w:rPr>
          <w:lang w:val="fr-FR"/>
        </w:rPr>
        <w:t> </w:t>
      </w:r>
      <w:r>
        <w:rPr>
          <w:lang w:val="fr-FR"/>
        </w:rPr>
        <w:t>; doses orales</w:t>
      </w:r>
      <w:r w:rsidR="0055086C">
        <w:rPr>
          <w:lang w:val="fr-FR"/>
        </w:rPr>
        <w:t> </w:t>
      </w:r>
      <w:r>
        <w:rPr>
          <w:lang w:val="fr-FR"/>
        </w:rPr>
        <w:t>: 0, 1,9, 6 et 17,5 mg/kg p.c./jour</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229"/>
      </w:tblGrid>
      <w:tr w:rsidR="00C36E43" w:rsidRPr="00906597" w14:paraId="075BEBFD" w14:textId="77777777" w:rsidTr="006558AB">
        <w:tc>
          <w:tcPr>
            <w:tcW w:w="1418" w:type="dxa"/>
            <w:shd w:val="clear" w:color="auto" w:fill="auto"/>
          </w:tcPr>
          <w:p w14:paraId="3BEACF97" w14:textId="77777777" w:rsidR="00DE3DD4" w:rsidRPr="00DE3DD4" w:rsidRDefault="00DE3DD4" w:rsidP="00DE3DD4">
            <w:pPr>
              <w:spacing w:after="30" w:line="240" w:lineRule="auto"/>
              <w:jc w:val="center"/>
              <w:rPr>
                <w:rFonts w:asciiTheme="majorBidi" w:hAnsiTheme="majorBidi" w:cstheme="majorBidi"/>
                <w:sz w:val="18"/>
                <w:szCs w:val="18"/>
                <w:lang w:val="fr-FR"/>
              </w:rPr>
            </w:pPr>
            <w:r w:rsidRPr="00DE3DD4">
              <w:rPr>
                <w:rFonts w:asciiTheme="majorBidi" w:hAnsiTheme="majorBidi" w:cstheme="majorBidi"/>
                <w:sz w:val="18"/>
                <w:szCs w:val="18"/>
                <w:lang w:val="fr-FR"/>
              </w:rPr>
              <w:t>Doses</w:t>
            </w:r>
          </w:p>
          <w:p w14:paraId="3A2AA05C" w14:textId="77777777" w:rsidR="00C36E43" w:rsidRPr="00DE3DD4" w:rsidRDefault="00DE3DD4" w:rsidP="00DE3DD4">
            <w:pPr>
              <w:spacing w:after="30" w:line="240" w:lineRule="auto"/>
              <w:jc w:val="center"/>
              <w:rPr>
                <w:rFonts w:asciiTheme="majorBidi" w:hAnsiTheme="majorBidi" w:cstheme="majorBidi"/>
                <w:sz w:val="18"/>
                <w:szCs w:val="18"/>
              </w:rPr>
            </w:pPr>
            <w:r w:rsidRPr="00DE3DD4">
              <w:rPr>
                <w:rFonts w:asciiTheme="majorBidi" w:hAnsiTheme="majorBidi" w:cstheme="majorBidi"/>
                <w:sz w:val="18"/>
                <w:szCs w:val="18"/>
                <w:lang w:val="fr-FR"/>
              </w:rPr>
              <w:t>(</w:t>
            </w:r>
            <w:proofErr w:type="gramStart"/>
            <w:r w:rsidRPr="00DE3DD4">
              <w:rPr>
                <w:rFonts w:asciiTheme="majorBidi" w:hAnsiTheme="majorBidi" w:cstheme="majorBidi"/>
                <w:sz w:val="18"/>
                <w:szCs w:val="18"/>
                <w:lang w:val="fr-FR"/>
              </w:rPr>
              <w:t>mg</w:t>
            </w:r>
            <w:proofErr w:type="gramEnd"/>
            <w:r w:rsidRPr="00DE3DD4">
              <w:rPr>
                <w:rFonts w:asciiTheme="majorBidi" w:hAnsiTheme="majorBidi" w:cstheme="majorBidi"/>
                <w:sz w:val="18"/>
                <w:szCs w:val="18"/>
                <w:lang w:val="fr-FR"/>
              </w:rPr>
              <w:t>/kg p.c./jour)</w:t>
            </w:r>
          </w:p>
        </w:tc>
        <w:tc>
          <w:tcPr>
            <w:tcW w:w="7229" w:type="dxa"/>
            <w:shd w:val="clear" w:color="auto" w:fill="auto"/>
          </w:tcPr>
          <w:p w14:paraId="1056AE5C" w14:textId="77777777" w:rsidR="00C36E43" w:rsidRPr="00906597" w:rsidRDefault="00C36E43" w:rsidP="006558AB">
            <w:pPr>
              <w:spacing w:after="30" w:line="240" w:lineRule="auto"/>
              <w:jc w:val="center"/>
              <w:rPr>
                <w:rFonts w:asciiTheme="majorBidi" w:hAnsiTheme="majorBidi" w:cstheme="majorBidi"/>
                <w:sz w:val="18"/>
                <w:szCs w:val="18"/>
              </w:rPr>
            </w:pPr>
            <w:r w:rsidRPr="00906597">
              <w:rPr>
                <w:rFonts w:asciiTheme="majorBidi" w:hAnsiTheme="majorBidi" w:cstheme="majorBidi"/>
                <w:sz w:val="18"/>
                <w:szCs w:val="18"/>
              </w:rPr>
              <w:t>Observations</w:t>
            </w:r>
          </w:p>
          <w:p w14:paraId="686BB717" w14:textId="77777777" w:rsidR="00C36E43" w:rsidRPr="00906597" w:rsidRDefault="00C36E43" w:rsidP="006558AB">
            <w:pPr>
              <w:spacing w:after="30" w:line="240" w:lineRule="auto"/>
              <w:jc w:val="center"/>
              <w:rPr>
                <w:rFonts w:asciiTheme="majorBidi" w:hAnsiTheme="majorBidi" w:cstheme="majorBidi"/>
                <w:sz w:val="18"/>
                <w:szCs w:val="18"/>
              </w:rPr>
            </w:pPr>
          </w:p>
        </w:tc>
      </w:tr>
      <w:tr w:rsidR="00C36E43" w:rsidRPr="00424092" w14:paraId="6706D080" w14:textId="77777777" w:rsidTr="006558AB">
        <w:tc>
          <w:tcPr>
            <w:tcW w:w="1418" w:type="dxa"/>
            <w:shd w:val="clear" w:color="auto" w:fill="auto"/>
            <w:vAlign w:val="center"/>
          </w:tcPr>
          <w:p w14:paraId="6C78FB56" w14:textId="77777777" w:rsidR="00C36E43" w:rsidRPr="00906597" w:rsidRDefault="00C36E43" w:rsidP="00127FF5">
            <w:pPr>
              <w:spacing w:before="60" w:after="60" w:line="240" w:lineRule="auto"/>
              <w:jc w:val="center"/>
              <w:rPr>
                <w:rFonts w:asciiTheme="majorBidi" w:hAnsiTheme="majorBidi" w:cstheme="majorBidi"/>
                <w:sz w:val="18"/>
                <w:szCs w:val="18"/>
              </w:rPr>
            </w:pPr>
            <w:r w:rsidRPr="00906597">
              <w:rPr>
                <w:rFonts w:asciiTheme="majorBidi" w:hAnsiTheme="majorBidi" w:cstheme="majorBidi"/>
                <w:sz w:val="18"/>
                <w:szCs w:val="18"/>
              </w:rPr>
              <w:t>17</w:t>
            </w:r>
            <w:r w:rsidR="00424092">
              <w:rPr>
                <w:rFonts w:asciiTheme="majorBidi" w:hAnsiTheme="majorBidi" w:cstheme="majorBidi"/>
                <w:sz w:val="18"/>
                <w:szCs w:val="18"/>
              </w:rPr>
              <w:t>,</w:t>
            </w:r>
            <w:r w:rsidRPr="00906597">
              <w:rPr>
                <w:rFonts w:asciiTheme="majorBidi" w:hAnsiTheme="majorBidi" w:cstheme="majorBidi"/>
                <w:sz w:val="18"/>
                <w:szCs w:val="18"/>
              </w:rPr>
              <w:t>5</w:t>
            </w:r>
          </w:p>
        </w:tc>
        <w:tc>
          <w:tcPr>
            <w:tcW w:w="7229" w:type="dxa"/>
            <w:shd w:val="clear" w:color="auto" w:fill="auto"/>
          </w:tcPr>
          <w:p w14:paraId="784EF572" w14:textId="77777777" w:rsidR="00C36E43" w:rsidRPr="00DE3DD4" w:rsidRDefault="00C36E43" w:rsidP="00127FF5">
            <w:pPr>
              <w:pStyle w:val="Bullet1G"/>
              <w:numPr>
                <w:ilvl w:val="0"/>
                <w:numId w:val="0"/>
              </w:numPr>
              <w:spacing w:before="60" w:after="60" w:line="240" w:lineRule="auto"/>
              <w:ind w:left="341" w:right="33" w:hanging="284"/>
              <w:rPr>
                <w:rFonts w:asciiTheme="majorBidi" w:hAnsiTheme="majorBidi" w:cstheme="majorBidi"/>
                <w:sz w:val="18"/>
                <w:szCs w:val="18"/>
              </w:rPr>
            </w:pPr>
            <w:r w:rsidRPr="00DE3DD4">
              <w:rPr>
                <w:rFonts w:asciiTheme="majorBidi" w:hAnsiTheme="majorBidi" w:cstheme="majorBidi"/>
                <w:sz w:val="18"/>
                <w:szCs w:val="18"/>
              </w:rPr>
              <w:t>•</w:t>
            </w:r>
            <w:r w:rsidRPr="00DE3DD4">
              <w:rPr>
                <w:rFonts w:asciiTheme="majorBidi" w:hAnsiTheme="majorBidi" w:cstheme="majorBidi"/>
                <w:sz w:val="18"/>
                <w:szCs w:val="18"/>
              </w:rPr>
              <w:tab/>
            </w:r>
            <w:r w:rsidR="00DE3DD4" w:rsidRPr="00DE3DD4">
              <w:rPr>
                <w:rFonts w:asciiTheme="majorBidi" w:hAnsiTheme="majorBidi" w:cstheme="majorBidi"/>
                <w:sz w:val="18"/>
                <w:szCs w:val="18"/>
                <w:lang w:val="fr-FR"/>
              </w:rPr>
              <w:t>Décès (28 animaux sont décédés ou ont été euthanasiés entre les 18</w:t>
            </w:r>
            <w:r w:rsidR="00DE3DD4" w:rsidRPr="00DE3DD4">
              <w:rPr>
                <w:rFonts w:asciiTheme="majorBidi" w:hAnsiTheme="majorBidi" w:cstheme="majorBidi"/>
                <w:sz w:val="18"/>
                <w:szCs w:val="18"/>
                <w:vertAlign w:val="superscript"/>
                <w:lang w:val="fr-FR"/>
              </w:rPr>
              <w:t>e</w:t>
            </w:r>
            <w:r w:rsidR="00DE3DD4" w:rsidRPr="00DE3DD4">
              <w:rPr>
                <w:rFonts w:asciiTheme="majorBidi" w:hAnsiTheme="majorBidi" w:cstheme="majorBidi"/>
                <w:sz w:val="18"/>
                <w:szCs w:val="18"/>
                <w:lang w:val="fr-FR"/>
              </w:rPr>
              <w:t xml:space="preserve"> et 34</w:t>
            </w:r>
            <w:r w:rsidR="00DE3DD4" w:rsidRPr="00DE3DD4">
              <w:rPr>
                <w:rFonts w:asciiTheme="majorBidi" w:hAnsiTheme="majorBidi" w:cstheme="majorBidi"/>
                <w:sz w:val="18"/>
                <w:szCs w:val="18"/>
                <w:vertAlign w:val="superscript"/>
                <w:lang w:val="fr-FR"/>
              </w:rPr>
              <w:t>e</w:t>
            </w:r>
            <w:r w:rsidR="00DE3DD4" w:rsidRPr="00DE3DD4">
              <w:rPr>
                <w:rFonts w:asciiTheme="majorBidi" w:hAnsiTheme="majorBidi" w:cstheme="majorBidi"/>
                <w:sz w:val="18"/>
                <w:szCs w:val="18"/>
                <w:lang w:val="fr-FR"/>
              </w:rPr>
              <w:t xml:space="preserve"> jours et le reste des spécimens au plus tard le 36</w:t>
            </w:r>
            <w:r w:rsidR="00DE3DD4" w:rsidRPr="00DE3DD4">
              <w:rPr>
                <w:rFonts w:asciiTheme="majorBidi" w:hAnsiTheme="majorBidi" w:cstheme="majorBidi"/>
                <w:sz w:val="18"/>
                <w:szCs w:val="18"/>
                <w:vertAlign w:val="superscript"/>
                <w:lang w:val="fr-FR"/>
              </w:rPr>
              <w:t>e</w:t>
            </w:r>
            <w:r w:rsidR="00DE3DD4" w:rsidRPr="00DE3DD4">
              <w:rPr>
                <w:rFonts w:asciiTheme="majorBidi" w:hAnsiTheme="majorBidi" w:cstheme="majorBidi"/>
                <w:sz w:val="18"/>
                <w:szCs w:val="18"/>
                <w:lang w:val="fr-FR"/>
              </w:rPr>
              <w:t> jour) avec signes cliniques graves de toxicité, dont :</w:t>
            </w:r>
          </w:p>
          <w:p w14:paraId="082B0324" w14:textId="77777777" w:rsidR="00C36E43" w:rsidRPr="00DE3DD4" w:rsidRDefault="00DE3DD4" w:rsidP="00127FF5">
            <w:pPr>
              <w:pStyle w:val="ListParagraph"/>
              <w:numPr>
                <w:ilvl w:val="0"/>
                <w:numId w:val="18"/>
              </w:numPr>
              <w:suppressAutoHyphens w:val="0"/>
              <w:kinsoku/>
              <w:overflowPunct/>
              <w:autoSpaceDE/>
              <w:autoSpaceDN/>
              <w:adjustRightInd/>
              <w:snapToGrid/>
              <w:spacing w:before="60" w:after="60" w:line="240" w:lineRule="auto"/>
              <w:ind w:left="601" w:right="33" w:hanging="283"/>
              <w:rPr>
                <w:rFonts w:asciiTheme="majorBidi" w:hAnsiTheme="majorBidi" w:cstheme="majorBidi"/>
                <w:sz w:val="18"/>
                <w:szCs w:val="18"/>
                <w:lang w:val="fr-CH"/>
              </w:rPr>
            </w:pPr>
            <w:r w:rsidRPr="00DE3DD4">
              <w:rPr>
                <w:rFonts w:asciiTheme="majorBidi" w:hAnsiTheme="majorBidi" w:cstheme="majorBidi"/>
                <w:sz w:val="18"/>
                <w:szCs w:val="18"/>
                <w:lang w:val="fr-FR"/>
              </w:rPr>
              <w:t>Tremblements, convulsions et agressivité/hypersensibilité/difficultés à la manipulation</w:t>
            </w:r>
            <w:r w:rsidR="000529D8">
              <w:rPr>
                <w:rFonts w:asciiTheme="majorBidi" w:hAnsiTheme="majorBidi" w:cstheme="majorBidi"/>
                <w:sz w:val="18"/>
                <w:szCs w:val="18"/>
                <w:lang w:val="fr-FR"/>
              </w:rPr>
              <w:t>.</w:t>
            </w:r>
          </w:p>
          <w:p w14:paraId="75241EC4" w14:textId="77777777" w:rsidR="00C36E43" w:rsidRPr="00DE3DD4" w:rsidRDefault="00DE3DD4" w:rsidP="00127FF5">
            <w:pPr>
              <w:pStyle w:val="ListParagraph"/>
              <w:numPr>
                <w:ilvl w:val="0"/>
                <w:numId w:val="18"/>
              </w:numPr>
              <w:suppressAutoHyphens w:val="0"/>
              <w:kinsoku/>
              <w:overflowPunct/>
              <w:autoSpaceDE/>
              <w:autoSpaceDN/>
              <w:adjustRightInd/>
              <w:snapToGrid/>
              <w:spacing w:before="60" w:after="60" w:line="240" w:lineRule="auto"/>
              <w:ind w:left="601" w:right="33" w:hanging="283"/>
              <w:rPr>
                <w:rFonts w:asciiTheme="majorBidi" w:hAnsiTheme="majorBidi" w:cstheme="majorBidi"/>
                <w:sz w:val="18"/>
                <w:szCs w:val="18"/>
                <w:lang w:val="fr-CH"/>
              </w:rPr>
            </w:pPr>
            <w:r w:rsidRPr="00DE3DD4">
              <w:rPr>
                <w:rFonts w:asciiTheme="majorBidi" w:hAnsiTheme="majorBidi" w:cstheme="majorBidi"/>
                <w:sz w:val="18"/>
                <w:szCs w:val="18"/>
                <w:lang w:val="fr-FR"/>
              </w:rPr>
              <w:t>Aspect faible, maigre et déshydraté</w:t>
            </w:r>
            <w:r w:rsidR="000529D8">
              <w:rPr>
                <w:rFonts w:asciiTheme="majorBidi" w:hAnsiTheme="majorBidi" w:cstheme="majorBidi"/>
                <w:sz w:val="18"/>
                <w:szCs w:val="18"/>
                <w:lang w:val="fr-FR"/>
              </w:rPr>
              <w:t>.</w:t>
            </w:r>
          </w:p>
          <w:p w14:paraId="05BD493B" w14:textId="77777777" w:rsidR="00C36E43" w:rsidRPr="00906597" w:rsidRDefault="00DE3DD4" w:rsidP="00127FF5">
            <w:pPr>
              <w:pStyle w:val="ListParagraph"/>
              <w:numPr>
                <w:ilvl w:val="0"/>
                <w:numId w:val="18"/>
              </w:numPr>
              <w:suppressAutoHyphens w:val="0"/>
              <w:kinsoku/>
              <w:overflowPunct/>
              <w:autoSpaceDE/>
              <w:autoSpaceDN/>
              <w:adjustRightInd/>
              <w:snapToGrid/>
              <w:spacing w:before="60" w:after="60" w:line="240" w:lineRule="auto"/>
              <w:ind w:left="601" w:right="33" w:hanging="283"/>
              <w:rPr>
                <w:rFonts w:asciiTheme="majorBidi" w:hAnsiTheme="majorBidi" w:cstheme="majorBidi"/>
                <w:sz w:val="18"/>
                <w:szCs w:val="18"/>
              </w:rPr>
            </w:pPr>
            <w:r w:rsidRPr="00DE3DD4">
              <w:rPr>
                <w:rFonts w:asciiTheme="majorBidi" w:hAnsiTheme="majorBidi" w:cstheme="majorBidi"/>
                <w:sz w:val="18"/>
                <w:szCs w:val="18"/>
                <w:lang w:val="fr-FR"/>
              </w:rPr>
              <w:t>Froids au toucher</w:t>
            </w:r>
            <w:r w:rsidR="000529D8">
              <w:rPr>
                <w:rFonts w:asciiTheme="majorBidi" w:hAnsiTheme="majorBidi" w:cstheme="majorBidi"/>
                <w:sz w:val="18"/>
                <w:szCs w:val="18"/>
                <w:lang w:val="fr-FR"/>
              </w:rPr>
              <w:t>.</w:t>
            </w:r>
          </w:p>
          <w:p w14:paraId="49AF1202" w14:textId="77777777" w:rsidR="00C36E43" w:rsidRPr="00DE3DD4" w:rsidRDefault="00DE3DD4" w:rsidP="00127FF5">
            <w:pPr>
              <w:pStyle w:val="ListParagraph"/>
              <w:numPr>
                <w:ilvl w:val="0"/>
                <w:numId w:val="18"/>
              </w:numPr>
              <w:suppressAutoHyphens w:val="0"/>
              <w:kinsoku/>
              <w:overflowPunct/>
              <w:autoSpaceDE/>
              <w:autoSpaceDN/>
              <w:adjustRightInd/>
              <w:snapToGrid/>
              <w:spacing w:before="60" w:after="60" w:line="240" w:lineRule="auto"/>
              <w:ind w:left="601" w:right="33" w:hanging="283"/>
              <w:rPr>
                <w:rFonts w:asciiTheme="majorBidi" w:hAnsiTheme="majorBidi" w:cstheme="majorBidi"/>
                <w:sz w:val="18"/>
                <w:szCs w:val="18"/>
                <w:lang w:val="fr-CH"/>
              </w:rPr>
            </w:pPr>
            <w:r w:rsidRPr="00DE3DD4">
              <w:rPr>
                <w:rFonts w:asciiTheme="majorBidi" w:hAnsiTheme="majorBidi" w:cstheme="majorBidi"/>
                <w:sz w:val="18"/>
                <w:szCs w:val="18"/>
                <w:lang w:val="fr-FR"/>
              </w:rPr>
              <w:t>Allongés sur le flanc et présentant des niveaux d</w:t>
            </w:r>
            <w:r w:rsidR="004F0AEA">
              <w:rPr>
                <w:rFonts w:asciiTheme="majorBidi" w:hAnsiTheme="majorBidi" w:cstheme="majorBidi"/>
                <w:sz w:val="18"/>
                <w:szCs w:val="18"/>
                <w:lang w:val="fr-FR"/>
              </w:rPr>
              <w:t>’</w:t>
            </w:r>
            <w:r w:rsidRPr="00DE3DD4">
              <w:rPr>
                <w:rFonts w:asciiTheme="majorBidi" w:hAnsiTheme="majorBidi" w:cstheme="majorBidi"/>
                <w:sz w:val="18"/>
                <w:szCs w:val="18"/>
                <w:lang w:val="fr-FR"/>
              </w:rPr>
              <w:t>activité en cage réduits</w:t>
            </w:r>
            <w:r w:rsidR="000529D8">
              <w:rPr>
                <w:rFonts w:asciiTheme="majorBidi" w:hAnsiTheme="majorBidi" w:cstheme="majorBidi"/>
                <w:sz w:val="18"/>
                <w:szCs w:val="18"/>
                <w:lang w:val="fr-FR"/>
              </w:rPr>
              <w:t>.</w:t>
            </w:r>
          </w:p>
          <w:p w14:paraId="5C52ABB2" w14:textId="77777777" w:rsidR="00C36E43" w:rsidRPr="00424092" w:rsidRDefault="00C36E43" w:rsidP="00127FF5">
            <w:pPr>
              <w:pStyle w:val="Bullet1G"/>
              <w:numPr>
                <w:ilvl w:val="0"/>
                <w:numId w:val="0"/>
              </w:numPr>
              <w:spacing w:before="60" w:after="60" w:line="240" w:lineRule="auto"/>
              <w:ind w:left="341" w:right="33" w:hanging="284"/>
              <w:rPr>
                <w:rFonts w:asciiTheme="majorBidi" w:hAnsiTheme="majorBidi" w:cstheme="majorBidi"/>
                <w:sz w:val="18"/>
                <w:szCs w:val="18"/>
              </w:rPr>
            </w:pPr>
            <w:r w:rsidRPr="00424092">
              <w:rPr>
                <w:rFonts w:asciiTheme="majorBidi" w:hAnsiTheme="majorBidi" w:cstheme="majorBidi"/>
                <w:sz w:val="18"/>
                <w:szCs w:val="18"/>
              </w:rPr>
              <w:t>•</w:t>
            </w:r>
            <w:r w:rsidRPr="00424092">
              <w:rPr>
                <w:rFonts w:asciiTheme="majorBidi" w:hAnsiTheme="majorBidi" w:cstheme="majorBidi"/>
                <w:sz w:val="18"/>
                <w:szCs w:val="18"/>
              </w:rPr>
              <w:tab/>
            </w:r>
            <w:r w:rsidR="00424092" w:rsidRPr="00424092">
              <w:rPr>
                <w:rFonts w:asciiTheme="majorBidi" w:hAnsiTheme="majorBidi" w:cstheme="majorBidi"/>
                <w:sz w:val="18"/>
                <w:szCs w:val="18"/>
                <w:lang w:val="fr-FR"/>
              </w:rPr>
              <w:t>Poids corporel réduit</w:t>
            </w:r>
            <w:r w:rsidR="000529D8">
              <w:rPr>
                <w:rFonts w:asciiTheme="majorBidi" w:hAnsiTheme="majorBidi" w:cstheme="majorBidi"/>
                <w:sz w:val="18"/>
                <w:szCs w:val="18"/>
                <w:lang w:val="fr-FR"/>
              </w:rPr>
              <w:t>.</w:t>
            </w:r>
          </w:p>
          <w:p w14:paraId="6A91A4C0" w14:textId="77777777" w:rsidR="00C36E43" w:rsidRPr="00424092" w:rsidRDefault="00C36E43" w:rsidP="00127FF5">
            <w:pPr>
              <w:pStyle w:val="Bullet1G"/>
              <w:numPr>
                <w:ilvl w:val="0"/>
                <w:numId w:val="0"/>
              </w:numPr>
              <w:spacing w:before="60" w:after="60" w:line="240" w:lineRule="auto"/>
              <w:ind w:left="339" w:right="33" w:hanging="283"/>
              <w:rPr>
                <w:rFonts w:asciiTheme="majorBidi" w:hAnsiTheme="majorBidi" w:cstheme="majorBidi"/>
                <w:sz w:val="18"/>
                <w:szCs w:val="18"/>
              </w:rPr>
            </w:pPr>
            <w:r w:rsidRPr="00424092">
              <w:rPr>
                <w:rFonts w:asciiTheme="majorBidi" w:hAnsiTheme="majorBidi" w:cstheme="majorBidi"/>
                <w:sz w:val="18"/>
                <w:szCs w:val="18"/>
              </w:rPr>
              <w:t>•</w:t>
            </w:r>
            <w:r w:rsidRPr="00424092">
              <w:rPr>
                <w:rFonts w:asciiTheme="majorBidi" w:hAnsiTheme="majorBidi" w:cstheme="majorBidi"/>
                <w:sz w:val="18"/>
                <w:szCs w:val="18"/>
              </w:rPr>
              <w:tab/>
            </w:r>
            <w:r w:rsidR="00424092" w:rsidRPr="00424092">
              <w:rPr>
                <w:rFonts w:asciiTheme="majorBidi" w:hAnsiTheme="majorBidi" w:cstheme="majorBidi"/>
                <w:sz w:val="18"/>
                <w:szCs w:val="18"/>
                <w:lang w:val="fr-FR"/>
              </w:rPr>
              <w:t>Consommation réduite d</w:t>
            </w:r>
            <w:r w:rsidR="004F0AEA">
              <w:rPr>
                <w:rFonts w:asciiTheme="majorBidi" w:hAnsiTheme="majorBidi" w:cstheme="majorBidi"/>
                <w:sz w:val="18"/>
                <w:szCs w:val="18"/>
                <w:lang w:val="fr-FR"/>
              </w:rPr>
              <w:t>’</w:t>
            </w:r>
            <w:r w:rsidR="00424092" w:rsidRPr="00424092">
              <w:rPr>
                <w:rFonts w:asciiTheme="majorBidi" w:hAnsiTheme="majorBidi" w:cstheme="majorBidi"/>
                <w:sz w:val="18"/>
                <w:szCs w:val="18"/>
                <w:lang w:val="fr-FR"/>
              </w:rPr>
              <w:t>aliments et d</w:t>
            </w:r>
            <w:r w:rsidR="004F0AEA">
              <w:rPr>
                <w:rFonts w:asciiTheme="majorBidi" w:hAnsiTheme="majorBidi" w:cstheme="majorBidi"/>
                <w:sz w:val="18"/>
                <w:szCs w:val="18"/>
                <w:lang w:val="fr-FR"/>
              </w:rPr>
              <w:t>’</w:t>
            </w:r>
            <w:r w:rsidR="00424092" w:rsidRPr="00424092">
              <w:rPr>
                <w:rFonts w:asciiTheme="majorBidi" w:hAnsiTheme="majorBidi" w:cstheme="majorBidi"/>
                <w:sz w:val="18"/>
                <w:szCs w:val="18"/>
                <w:lang w:val="fr-FR"/>
              </w:rPr>
              <w:t>eau</w:t>
            </w:r>
            <w:r w:rsidR="000529D8">
              <w:rPr>
                <w:rFonts w:asciiTheme="majorBidi" w:hAnsiTheme="majorBidi" w:cstheme="majorBidi"/>
                <w:sz w:val="18"/>
                <w:szCs w:val="18"/>
                <w:lang w:val="fr-FR"/>
              </w:rPr>
              <w:t>.</w:t>
            </w:r>
          </w:p>
          <w:p w14:paraId="706A58D3" w14:textId="77777777" w:rsidR="00C36E43" w:rsidRPr="00424092" w:rsidRDefault="00C36E43" w:rsidP="00127FF5">
            <w:pPr>
              <w:pStyle w:val="Bullet1G"/>
              <w:numPr>
                <w:ilvl w:val="0"/>
                <w:numId w:val="0"/>
              </w:numPr>
              <w:spacing w:before="60" w:after="60" w:line="240" w:lineRule="auto"/>
              <w:ind w:left="339" w:right="33" w:hanging="283"/>
              <w:rPr>
                <w:rFonts w:asciiTheme="majorBidi" w:hAnsiTheme="majorBidi" w:cstheme="majorBidi"/>
                <w:sz w:val="18"/>
                <w:szCs w:val="18"/>
              </w:rPr>
            </w:pPr>
            <w:r w:rsidRPr="00424092">
              <w:rPr>
                <w:rFonts w:asciiTheme="majorBidi" w:hAnsiTheme="majorBidi" w:cstheme="majorBidi"/>
                <w:sz w:val="18"/>
                <w:szCs w:val="18"/>
              </w:rPr>
              <w:t>•</w:t>
            </w:r>
            <w:r w:rsidRPr="00424092">
              <w:rPr>
                <w:rFonts w:asciiTheme="majorBidi" w:hAnsiTheme="majorBidi" w:cstheme="majorBidi"/>
                <w:sz w:val="18"/>
                <w:szCs w:val="18"/>
              </w:rPr>
              <w:tab/>
            </w:r>
            <w:r w:rsidR="00424092" w:rsidRPr="00424092">
              <w:rPr>
                <w:rFonts w:asciiTheme="majorBidi" w:hAnsiTheme="majorBidi" w:cstheme="majorBidi"/>
                <w:sz w:val="18"/>
                <w:szCs w:val="18"/>
                <w:lang w:val="fr-FR"/>
              </w:rPr>
              <w:t>Biochimie sanguine altérée</w:t>
            </w:r>
            <w:r w:rsidR="000529D8">
              <w:rPr>
                <w:rFonts w:asciiTheme="majorBidi" w:hAnsiTheme="majorBidi" w:cstheme="majorBidi"/>
                <w:sz w:val="18"/>
                <w:szCs w:val="18"/>
                <w:lang w:val="fr-FR"/>
              </w:rPr>
              <w:t>.</w:t>
            </w:r>
          </w:p>
          <w:p w14:paraId="3ADE9941" w14:textId="77777777" w:rsidR="00C36E43" w:rsidRPr="00424092" w:rsidRDefault="00C36E43" w:rsidP="00127FF5">
            <w:pPr>
              <w:pStyle w:val="Bullet1G"/>
              <w:numPr>
                <w:ilvl w:val="0"/>
                <w:numId w:val="0"/>
              </w:numPr>
              <w:spacing w:before="60" w:after="60" w:line="240" w:lineRule="auto"/>
              <w:ind w:left="341" w:right="33" w:hanging="284"/>
              <w:rPr>
                <w:rFonts w:asciiTheme="majorBidi" w:hAnsiTheme="majorBidi" w:cstheme="majorBidi"/>
                <w:sz w:val="18"/>
                <w:szCs w:val="18"/>
              </w:rPr>
            </w:pPr>
            <w:r w:rsidRPr="00424092">
              <w:rPr>
                <w:rFonts w:asciiTheme="majorBidi" w:hAnsiTheme="majorBidi" w:cstheme="majorBidi"/>
                <w:sz w:val="18"/>
                <w:szCs w:val="18"/>
              </w:rPr>
              <w:t>•</w:t>
            </w:r>
            <w:r w:rsidRPr="00424092">
              <w:rPr>
                <w:rFonts w:asciiTheme="majorBidi" w:hAnsiTheme="majorBidi" w:cstheme="majorBidi"/>
                <w:sz w:val="18"/>
                <w:szCs w:val="18"/>
              </w:rPr>
              <w:tab/>
            </w:r>
            <w:r w:rsidR="00424092" w:rsidRPr="00424092">
              <w:rPr>
                <w:rFonts w:asciiTheme="majorBidi" w:hAnsiTheme="majorBidi" w:cstheme="majorBidi"/>
                <w:sz w:val="18"/>
                <w:szCs w:val="18"/>
                <w:lang w:val="fr-FR"/>
              </w:rPr>
              <w:t>Effets comportementaux</w:t>
            </w:r>
            <w:r w:rsidR="000529D8">
              <w:rPr>
                <w:rFonts w:asciiTheme="majorBidi" w:hAnsiTheme="majorBidi" w:cstheme="majorBidi"/>
                <w:sz w:val="18"/>
                <w:szCs w:val="18"/>
                <w:lang w:val="fr-FR"/>
              </w:rPr>
              <w:t>.</w:t>
            </w:r>
          </w:p>
          <w:p w14:paraId="08AA1D2C" w14:textId="77777777" w:rsidR="00C36E43" w:rsidRPr="00424092" w:rsidRDefault="00C36E43" w:rsidP="00127FF5">
            <w:pPr>
              <w:pStyle w:val="Bullet1G"/>
              <w:numPr>
                <w:ilvl w:val="0"/>
                <w:numId w:val="0"/>
              </w:numPr>
              <w:spacing w:before="60" w:after="60" w:line="240" w:lineRule="auto"/>
              <w:ind w:left="339" w:right="33" w:hanging="283"/>
              <w:rPr>
                <w:rFonts w:asciiTheme="majorBidi" w:hAnsiTheme="majorBidi" w:cstheme="majorBidi"/>
                <w:sz w:val="18"/>
                <w:szCs w:val="18"/>
              </w:rPr>
            </w:pPr>
            <w:r w:rsidRPr="00424092">
              <w:rPr>
                <w:rFonts w:asciiTheme="majorBidi" w:hAnsiTheme="majorBidi" w:cstheme="majorBidi"/>
                <w:sz w:val="18"/>
                <w:szCs w:val="18"/>
              </w:rPr>
              <w:t>•</w:t>
            </w:r>
            <w:r w:rsidRPr="00424092">
              <w:rPr>
                <w:rFonts w:asciiTheme="majorBidi" w:hAnsiTheme="majorBidi" w:cstheme="majorBidi"/>
                <w:sz w:val="18"/>
                <w:szCs w:val="18"/>
              </w:rPr>
              <w:tab/>
            </w:r>
            <w:r w:rsidR="00424092" w:rsidRPr="00424092">
              <w:rPr>
                <w:rFonts w:asciiTheme="majorBidi" w:hAnsiTheme="majorBidi" w:cstheme="majorBidi"/>
                <w:sz w:val="18"/>
                <w:szCs w:val="18"/>
                <w:lang w:val="fr-FR"/>
              </w:rPr>
              <w:t>Lésions neuropathologiques (dilatation ventriculaire légère et nécrose neuronale modérée)</w:t>
            </w:r>
            <w:r w:rsidR="000529D8">
              <w:rPr>
                <w:rFonts w:asciiTheme="majorBidi" w:hAnsiTheme="majorBidi" w:cstheme="majorBidi"/>
                <w:sz w:val="18"/>
                <w:szCs w:val="18"/>
                <w:lang w:val="fr-FR"/>
              </w:rPr>
              <w:t>.</w:t>
            </w:r>
          </w:p>
          <w:p w14:paraId="012DCA33" w14:textId="77777777" w:rsidR="00C36E43" w:rsidRPr="00424092" w:rsidRDefault="00C36E43" w:rsidP="00127FF5">
            <w:pPr>
              <w:pStyle w:val="Bullet1G"/>
              <w:numPr>
                <w:ilvl w:val="0"/>
                <w:numId w:val="0"/>
              </w:numPr>
              <w:spacing w:before="60" w:after="60" w:line="240" w:lineRule="auto"/>
              <w:ind w:left="339" w:right="33" w:hanging="283"/>
              <w:rPr>
                <w:rFonts w:asciiTheme="majorBidi" w:hAnsiTheme="majorBidi" w:cstheme="majorBidi"/>
                <w:sz w:val="18"/>
                <w:szCs w:val="18"/>
              </w:rPr>
            </w:pPr>
            <w:r w:rsidRPr="00424092">
              <w:rPr>
                <w:rFonts w:asciiTheme="majorBidi" w:hAnsiTheme="majorBidi" w:cstheme="majorBidi"/>
                <w:sz w:val="18"/>
                <w:szCs w:val="18"/>
              </w:rPr>
              <w:t>•</w:t>
            </w:r>
            <w:r w:rsidRPr="00424092">
              <w:rPr>
                <w:rFonts w:asciiTheme="majorBidi" w:hAnsiTheme="majorBidi" w:cstheme="majorBidi"/>
                <w:sz w:val="18"/>
                <w:szCs w:val="18"/>
              </w:rPr>
              <w:tab/>
            </w:r>
            <w:r w:rsidR="00424092" w:rsidRPr="00424092">
              <w:rPr>
                <w:rFonts w:asciiTheme="majorBidi" w:hAnsiTheme="majorBidi" w:cstheme="majorBidi"/>
                <w:sz w:val="18"/>
                <w:szCs w:val="18"/>
                <w:lang w:val="fr-FR"/>
              </w:rPr>
              <w:t>Baisse des masses absolue et relative du thymus observée chez les mâles à l</w:t>
            </w:r>
            <w:r w:rsidR="004F0AEA">
              <w:rPr>
                <w:rFonts w:asciiTheme="majorBidi" w:hAnsiTheme="majorBidi" w:cstheme="majorBidi"/>
                <w:sz w:val="18"/>
                <w:szCs w:val="18"/>
                <w:lang w:val="fr-FR"/>
              </w:rPr>
              <w:t>’</w:t>
            </w:r>
            <w:r w:rsidR="00424092" w:rsidRPr="00424092">
              <w:rPr>
                <w:rFonts w:asciiTheme="majorBidi" w:hAnsiTheme="majorBidi" w:cstheme="majorBidi"/>
                <w:sz w:val="18"/>
                <w:szCs w:val="18"/>
                <w:lang w:val="fr-FR"/>
              </w:rPr>
              <w:t>issue de l</w:t>
            </w:r>
            <w:r w:rsidR="004F0AEA">
              <w:rPr>
                <w:rFonts w:asciiTheme="majorBidi" w:hAnsiTheme="majorBidi" w:cstheme="majorBidi"/>
                <w:sz w:val="18"/>
                <w:szCs w:val="18"/>
                <w:lang w:val="fr-FR"/>
              </w:rPr>
              <w:t>’</w:t>
            </w:r>
            <w:r w:rsidR="00424092" w:rsidRPr="00424092">
              <w:rPr>
                <w:rFonts w:asciiTheme="majorBidi" w:hAnsiTheme="majorBidi" w:cstheme="majorBidi"/>
                <w:sz w:val="18"/>
                <w:szCs w:val="18"/>
                <w:lang w:val="fr-FR"/>
              </w:rPr>
              <w:t>analyse faisant suite à l</w:t>
            </w:r>
            <w:r w:rsidR="004F0AEA">
              <w:rPr>
                <w:rFonts w:asciiTheme="majorBidi" w:hAnsiTheme="majorBidi" w:cstheme="majorBidi"/>
                <w:sz w:val="18"/>
                <w:szCs w:val="18"/>
                <w:lang w:val="fr-FR"/>
              </w:rPr>
              <w:t>’</w:t>
            </w:r>
            <w:r w:rsidR="00424092" w:rsidRPr="00424092">
              <w:rPr>
                <w:rFonts w:asciiTheme="majorBidi" w:hAnsiTheme="majorBidi" w:cstheme="majorBidi"/>
                <w:sz w:val="18"/>
                <w:szCs w:val="18"/>
                <w:lang w:val="fr-FR"/>
              </w:rPr>
              <w:t>euthanasie pratiquée durant la semaine 4</w:t>
            </w:r>
            <w:r w:rsidR="000529D8">
              <w:rPr>
                <w:rFonts w:asciiTheme="majorBidi" w:hAnsiTheme="majorBidi" w:cstheme="majorBidi"/>
                <w:sz w:val="18"/>
                <w:szCs w:val="18"/>
                <w:lang w:val="fr-FR"/>
              </w:rPr>
              <w:t>.</w:t>
            </w:r>
          </w:p>
          <w:p w14:paraId="54B2B641" w14:textId="77777777" w:rsidR="00C36E43" w:rsidRPr="00424092" w:rsidRDefault="00C36E43" w:rsidP="00127FF5">
            <w:pPr>
              <w:pStyle w:val="Bullet1G"/>
              <w:numPr>
                <w:ilvl w:val="0"/>
                <w:numId w:val="0"/>
              </w:numPr>
              <w:spacing w:before="60" w:after="60" w:line="240" w:lineRule="auto"/>
              <w:ind w:left="339" w:right="33" w:hanging="283"/>
              <w:rPr>
                <w:rFonts w:asciiTheme="majorBidi" w:hAnsiTheme="majorBidi" w:cstheme="majorBidi"/>
                <w:sz w:val="18"/>
                <w:szCs w:val="18"/>
              </w:rPr>
            </w:pPr>
            <w:r w:rsidRPr="00424092">
              <w:rPr>
                <w:rFonts w:asciiTheme="majorBidi" w:hAnsiTheme="majorBidi" w:cstheme="majorBidi"/>
                <w:sz w:val="18"/>
                <w:szCs w:val="18"/>
              </w:rPr>
              <w:t>•</w:t>
            </w:r>
            <w:r w:rsidRPr="00424092">
              <w:rPr>
                <w:rFonts w:asciiTheme="majorBidi" w:hAnsiTheme="majorBidi" w:cstheme="majorBidi"/>
                <w:sz w:val="18"/>
                <w:szCs w:val="18"/>
              </w:rPr>
              <w:tab/>
            </w:r>
            <w:r w:rsidR="00424092" w:rsidRPr="00424092">
              <w:rPr>
                <w:rFonts w:asciiTheme="majorBidi" w:hAnsiTheme="majorBidi" w:cstheme="majorBidi"/>
                <w:sz w:val="18"/>
                <w:szCs w:val="18"/>
                <w:lang w:val="fr-FR"/>
              </w:rPr>
              <w:t>Dimensions réduites du thymus et/ou de la rate observées chez plusieurs animaux non perfusés en phase préterminale</w:t>
            </w:r>
            <w:r w:rsidR="000529D8">
              <w:rPr>
                <w:rFonts w:asciiTheme="majorBidi" w:hAnsiTheme="majorBidi" w:cstheme="majorBidi"/>
                <w:sz w:val="18"/>
                <w:szCs w:val="18"/>
                <w:lang w:val="fr-FR"/>
              </w:rPr>
              <w:t>.</w:t>
            </w:r>
          </w:p>
        </w:tc>
      </w:tr>
      <w:tr w:rsidR="00C36E43" w:rsidRPr="00424092" w14:paraId="792B025A" w14:textId="77777777" w:rsidTr="006558AB">
        <w:tc>
          <w:tcPr>
            <w:tcW w:w="1418" w:type="dxa"/>
            <w:shd w:val="clear" w:color="auto" w:fill="auto"/>
            <w:vAlign w:val="center"/>
          </w:tcPr>
          <w:p w14:paraId="0B79B198" w14:textId="77777777" w:rsidR="00C36E43" w:rsidRPr="00906597" w:rsidRDefault="00C36E43" w:rsidP="00127FF5">
            <w:pPr>
              <w:keepNext/>
              <w:spacing w:before="60" w:after="60" w:line="240" w:lineRule="auto"/>
              <w:jc w:val="center"/>
              <w:rPr>
                <w:rFonts w:asciiTheme="majorBidi" w:hAnsiTheme="majorBidi" w:cstheme="majorBidi"/>
                <w:sz w:val="18"/>
                <w:szCs w:val="18"/>
              </w:rPr>
            </w:pPr>
            <w:r w:rsidRPr="00906597">
              <w:rPr>
                <w:rFonts w:asciiTheme="majorBidi" w:hAnsiTheme="majorBidi" w:cstheme="majorBidi"/>
                <w:sz w:val="18"/>
                <w:szCs w:val="18"/>
              </w:rPr>
              <w:lastRenderedPageBreak/>
              <w:t>6</w:t>
            </w:r>
          </w:p>
        </w:tc>
        <w:tc>
          <w:tcPr>
            <w:tcW w:w="7229" w:type="dxa"/>
            <w:shd w:val="clear" w:color="auto" w:fill="auto"/>
          </w:tcPr>
          <w:p w14:paraId="569EC7B2" w14:textId="77777777" w:rsidR="00C36E43" w:rsidRPr="00424092" w:rsidRDefault="00C36E43" w:rsidP="00127FF5">
            <w:pPr>
              <w:pStyle w:val="Bullet1G"/>
              <w:keepNext/>
              <w:numPr>
                <w:ilvl w:val="0"/>
                <w:numId w:val="0"/>
              </w:numPr>
              <w:spacing w:before="60" w:after="60" w:line="240" w:lineRule="auto"/>
              <w:ind w:left="339" w:right="33" w:hanging="283"/>
              <w:rPr>
                <w:rFonts w:asciiTheme="majorBidi" w:hAnsiTheme="majorBidi" w:cstheme="majorBidi"/>
                <w:sz w:val="18"/>
                <w:szCs w:val="18"/>
              </w:rPr>
            </w:pPr>
            <w:r w:rsidRPr="00424092">
              <w:rPr>
                <w:rFonts w:asciiTheme="majorBidi" w:hAnsiTheme="majorBidi" w:cstheme="majorBidi"/>
                <w:sz w:val="18"/>
                <w:szCs w:val="18"/>
              </w:rPr>
              <w:t>•</w:t>
            </w:r>
            <w:r w:rsidRPr="00424092">
              <w:rPr>
                <w:rFonts w:asciiTheme="majorBidi" w:hAnsiTheme="majorBidi" w:cstheme="majorBidi"/>
                <w:sz w:val="18"/>
                <w:szCs w:val="18"/>
              </w:rPr>
              <w:tab/>
            </w:r>
            <w:r w:rsidR="00424092" w:rsidRPr="00424092">
              <w:rPr>
                <w:rFonts w:asciiTheme="majorBidi" w:hAnsiTheme="majorBidi" w:cstheme="majorBidi"/>
                <w:sz w:val="18"/>
                <w:szCs w:val="18"/>
                <w:lang w:val="fr-FR"/>
              </w:rPr>
              <w:t>Décès d</w:t>
            </w:r>
            <w:r w:rsidR="004F0AEA">
              <w:rPr>
                <w:rFonts w:asciiTheme="majorBidi" w:hAnsiTheme="majorBidi" w:cstheme="majorBidi"/>
                <w:sz w:val="18"/>
                <w:szCs w:val="18"/>
                <w:lang w:val="fr-FR"/>
              </w:rPr>
              <w:t>’</w:t>
            </w:r>
            <w:r w:rsidR="00424092" w:rsidRPr="00424092">
              <w:rPr>
                <w:rFonts w:asciiTheme="majorBidi" w:hAnsiTheme="majorBidi" w:cstheme="majorBidi"/>
                <w:sz w:val="18"/>
                <w:szCs w:val="18"/>
                <w:lang w:val="fr-FR"/>
              </w:rPr>
              <w:t>un animal avec signes cliniques anormaux limités aux symptômes suivants</w:t>
            </w:r>
            <w:r w:rsidR="00424092">
              <w:rPr>
                <w:rFonts w:asciiTheme="majorBidi" w:hAnsiTheme="majorBidi" w:cstheme="majorBidi"/>
                <w:sz w:val="18"/>
                <w:szCs w:val="18"/>
                <w:lang w:val="fr-FR"/>
              </w:rPr>
              <w:t> </w:t>
            </w:r>
            <w:r w:rsidR="00424092" w:rsidRPr="00424092">
              <w:rPr>
                <w:rFonts w:asciiTheme="majorBidi" w:hAnsiTheme="majorBidi" w:cstheme="majorBidi"/>
                <w:sz w:val="18"/>
                <w:szCs w:val="18"/>
                <w:lang w:val="fr-FR"/>
              </w:rPr>
              <w:t>:</w:t>
            </w:r>
          </w:p>
          <w:p w14:paraId="245FC957" w14:textId="77777777" w:rsidR="00C36E43" w:rsidRPr="00424092" w:rsidRDefault="00424092" w:rsidP="00127FF5">
            <w:pPr>
              <w:pStyle w:val="ListParagraph"/>
              <w:keepNext/>
              <w:numPr>
                <w:ilvl w:val="0"/>
                <w:numId w:val="18"/>
              </w:numPr>
              <w:suppressAutoHyphens w:val="0"/>
              <w:kinsoku/>
              <w:overflowPunct/>
              <w:autoSpaceDE/>
              <w:autoSpaceDN/>
              <w:adjustRightInd/>
              <w:snapToGrid/>
              <w:spacing w:before="60" w:after="60" w:line="240" w:lineRule="auto"/>
              <w:ind w:left="601" w:right="33" w:hanging="283"/>
              <w:rPr>
                <w:rFonts w:asciiTheme="majorBidi" w:hAnsiTheme="majorBidi" w:cstheme="majorBidi"/>
                <w:sz w:val="18"/>
                <w:szCs w:val="18"/>
                <w:lang w:val="fr-CH"/>
              </w:rPr>
            </w:pPr>
            <w:r w:rsidRPr="00424092">
              <w:rPr>
                <w:rFonts w:asciiTheme="majorBidi" w:hAnsiTheme="majorBidi" w:cstheme="majorBidi"/>
                <w:sz w:val="18"/>
                <w:szCs w:val="18"/>
                <w:lang w:val="fr-FR"/>
              </w:rPr>
              <w:t>Tremblements, hypersensibilité (difficultés à la manipulation)</w:t>
            </w:r>
            <w:r w:rsidR="000529D8">
              <w:rPr>
                <w:rFonts w:asciiTheme="majorBidi" w:hAnsiTheme="majorBidi" w:cstheme="majorBidi"/>
                <w:sz w:val="18"/>
                <w:szCs w:val="18"/>
                <w:lang w:val="fr-FR"/>
              </w:rPr>
              <w:t>.</w:t>
            </w:r>
          </w:p>
          <w:p w14:paraId="09BBC1A3" w14:textId="77777777" w:rsidR="00C36E43" w:rsidRPr="00424092" w:rsidRDefault="00424092" w:rsidP="00127FF5">
            <w:pPr>
              <w:pStyle w:val="ListParagraph"/>
              <w:keepNext/>
              <w:numPr>
                <w:ilvl w:val="0"/>
                <w:numId w:val="18"/>
              </w:numPr>
              <w:suppressAutoHyphens w:val="0"/>
              <w:kinsoku/>
              <w:overflowPunct/>
              <w:autoSpaceDE/>
              <w:autoSpaceDN/>
              <w:adjustRightInd/>
              <w:snapToGrid/>
              <w:spacing w:before="60" w:after="60" w:line="240" w:lineRule="auto"/>
              <w:ind w:left="601" w:right="33" w:hanging="283"/>
              <w:rPr>
                <w:rFonts w:asciiTheme="majorBidi" w:hAnsiTheme="majorBidi" w:cstheme="majorBidi"/>
                <w:sz w:val="18"/>
                <w:szCs w:val="18"/>
                <w:lang w:val="fr-CH"/>
              </w:rPr>
            </w:pPr>
            <w:r w:rsidRPr="00424092">
              <w:rPr>
                <w:rFonts w:asciiTheme="majorBidi" w:hAnsiTheme="majorBidi" w:cstheme="majorBidi"/>
                <w:sz w:val="18"/>
                <w:szCs w:val="18"/>
                <w:lang w:val="fr-FR"/>
              </w:rPr>
              <w:t>Aspect maigre et déshydraté chez l</w:t>
            </w:r>
            <w:r w:rsidR="004F0AEA">
              <w:rPr>
                <w:rFonts w:asciiTheme="majorBidi" w:hAnsiTheme="majorBidi" w:cstheme="majorBidi"/>
                <w:sz w:val="18"/>
                <w:szCs w:val="18"/>
                <w:lang w:val="fr-FR"/>
              </w:rPr>
              <w:t>’</w:t>
            </w:r>
            <w:r w:rsidRPr="00424092">
              <w:rPr>
                <w:rFonts w:asciiTheme="majorBidi" w:hAnsiTheme="majorBidi" w:cstheme="majorBidi"/>
                <w:sz w:val="18"/>
                <w:szCs w:val="18"/>
                <w:lang w:val="fr-FR"/>
              </w:rPr>
              <w:t>animal décédé</w:t>
            </w:r>
            <w:r w:rsidR="000529D8">
              <w:rPr>
                <w:rFonts w:asciiTheme="majorBidi" w:hAnsiTheme="majorBidi" w:cstheme="majorBidi"/>
                <w:sz w:val="18"/>
                <w:szCs w:val="18"/>
                <w:lang w:val="fr-FR"/>
              </w:rPr>
              <w:t>.</w:t>
            </w:r>
          </w:p>
          <w:p w14:paraId="03003215" w14:textId="77777777" w:rsidR="00C36E43" w:rsidRPr="00424092" w:rsidRDefault="00424092" w:rsidP="00127FF5">
            <w:pPr>
              <w:pStyle w:val="ListParagraph"/>
              <w:keepNext/>
              <w:numPr>
                <w:ilvl w:val="0"/>
                <w:numId w:val="18"/>
              </w:numPr>
              <w:suppressAutoHyphens w:val="0"/>
              <w:kinsoku/>
              <w:overflowPunct/>
              <w:autoSpaceDE/>
              <w:autoSpaceDN/>
              <w:adjustRightInd/>
              <w:snapToGrid/>
              <w:spacing w:before="60" w:after="60" w:line="240" w:lineRule="auto"/>
              <w:ind w:left="601" w:right="33" w:hanging="283"/>
              <w:rPr>
                <w:rFonts w:asciiTheme="majorBidi" w:hAnsiTheme="majorBidi" w:cstheme="majorBidi"/>
                <w:sz w:val="18"/>
                <w:szCs w:val="18"/>
                <w:lang w:val="fr-CH"/>
              </w:rPr>
            </w:pPr>
            <w:r w:rsidRPr="00424092">
              <w:rPr>
                <w:rFonts w:asciiTheme="majorBidi" w:hAnsiTheme="majorBidi" w:cstheme="majorBidi"/>
                <w:sz w:val="18"/>
                <w:szCs w:val="18"/>
                <w:lang w:val="fr-FR"/>
              </w:rPr>
              <w:t>Aspect déshydraté transitoire chez un autre animal</w:t>
            </w:r>
            <w:r w:rsidR="000529D8">
              <w:rPr>
                <w:rFonts w:asciiTheme="majorBidi" w:hAnsiTheme="majorBidi" w:cstheme="majorBidi"/>
                <w:sz w:val="18"/>
                <w:szCs w:val="18"/>
                <w:lang w:val="fr-FR"/>
              </w:rPr>
              <w:t>.</w:t>
            </w:r>
          </w:p>
          <w:p w14:paraId="398DF505" w14:textId="77777777" w:rsidR="00C36E43" w:rsidRPr="00424092" w:rsidRDefault="00424092" w:rsidP="00127FF5">
            <w:pPr>
              <w:pStyle w:val="ListParagraph"/>
              <w:keepNext/>
              <w:numPr>
                <w:ilvl w:val="0"/>
                <w:numId w:val="18"/>
              </w:numPr>
              <w:suppressAutoHyphens w:val="0"/>
              <w:kinsoku/>
              <w:overflowPunct/>
              <w:autoSpaceDE/>
              <w:autoSpaceDN/>
              <w:adjustRightInd/>
              <w:snapToGrid/>
              <w:spacing w:before="60" w:after="60" w:line="240" w:lineRule="auto"/>
              <w:ind w:left="601" w:right="33" w:hanging="283"/>
              <w:rPr>
                <w:rFonts w:asciiTheme="majorBidi" w:hAnsiTheme="majorBidi" w:cstheme="majorBidi"/>
                <w:sz w:val="18"/>
                <w:szCs w:val="18"/>
                <w:lang w:val="fr-CH"/>
              </w:rPr>
            </w:pPr>
            <w:r w:rsidRPr="00424092">
              <w:rPr>
                <w:rFonts w:asciiTheme="majorBidi" w:hAnsiTheme="majorBidi" w:cstheme="majorBidi"/>
                <w:sz w:val="18"/>
                <w:szCs w:val="18"/>
                <w:lang w:val="fr-FR"/>
              </w:rPr>
              <w:t xml:space="preserve">Hypersensibilité, convulsions et activité réduite chez un autre animal </w:t>
            </w:r>
            <w:r w:rsidRPr="00190C7E">
              <w:rPr>
                <w:rFonts w:asciiTheme="majorBidi" w:hAnsiTheme="majorBidi" w:cstheme="majorBidi"/>
                <w:sz w:val="18"/>
                <w:szCs w:val="18"/>
                <w:lang w:val="fr-FR"/>
              </w:rPr>
              <w:t>encore</w:t>
            </w:r>
            <w:r w:rsidR="000529D8">
              <w:rPr>
                <w:rFonts w:asciiTheme="majorBidi" w:hAnsiTheme="majorBidi" w:cstheme="majorBidi"/>
                <w:sz w:val="18"/>
                <w:szCs w:val="18"/>
                <w:lang w:val="fr-FR"/>
              </w:rPr>
              <w:t>.</w:t>
            </w:r>
          </w:p>
          <w:p w14:paraId="15FD8CCD" w14:textId="77777777" w:rsidR="00C36E43" w:rsidRPr="00424092" w:rsidRDefault="00C36E43" w:rsidP="00127FF5">
            <w:pPr>
              <w:pStyle w:val="Bullet1G"/>
              <w:keepNext/>
              <w:numPr>
                <w:ilvl w:val="0"/>
                <w:numId w:val="0"/>
              </w:numPr>
              <w:spacing w:before="60" w:after="60" w:line="240" w:lineRule="auto"/>
              <w:ind w:left="341" w:right="33" w:hanging="284"/>
              <w:rPr>
                <w:rFonts w:asciiTheme="majorBidi" w:hAnsiTheme="majorBidi" w:cstheme="majorBidi"/>
                <w:sz w:val="18"/>
                <w:szCs w:val="18"/>
              </w:rPr>
            </w:pPr>
            <w:r w:rsidRPr="00424092">
              <w:rPr>
                <w:rFonts w:asciiTheme="majorBidi" w:hAnsiTheme="majorBidi" w:cstheme="majorBidi"/>
                <w:sz w:val="18"/>
                <w:szCs w:val="18"/>
              </w:rPr>
              <w:t>•</w:t>
            </w:r>
            <w:r w:rsidRPr="00424092">
              <w:rPr>
                <w:rFonts w:asciiTheme="majorBidi" w:hAnsiTheme="majorBidi" w:cstheme="majorBidi"/>
                <w:sz w:val="18"/>
                <w:szCs w:val="18"/>
              </w:rPr>
              <w:tab/>
            </w:r>
            <w:r w:rsidR="00424092" w:rsidRPr="00424092">
              <w:rPr>
                <w:rFonts w:asciiTheme="majorBidi" w:hAnsiTheme="majorBidi" w:cstheme="majorBidi"/>
                <w:sz w:val="18"/>
                <w:szCs w:val="18"/>
                <w:lang w:val="fr-FR"/>
              </w:rPr>
              <w:t>Réduction du poids corporel (mâles uniquement)</w:t>
            </w:r>
          </w:p>
          <w:p w14:paraId="3B0F3FA2" w14:textId="77777777" w:rsidR="00C36E43" w:rsidRPr="00424092" w:rsidRDefault="00C36E43" w:rsidP="00127FF5">
            <w:pPr>
              <w:pStyle w:val="Bullet1G"/>
              <w:keepNext/>
              <w:numPr>
                <w:ilvl w:val="0"/>
                <w:numId w:val="0"/>
              </w:numPr>
              <w:spacing w:before="60" w:after="60" w:line="240" w:lineRule="auto"/>
              <w:ind w:left="339" w:right="33" w:hanging="283"/>
              <w:rPr>
                <w:rFonts w:asciiTheme="majorBidi" w:hAnsiTheme="majorBidi" w:cstheme="majorBidi"/>
                <w:sz w:val="18"/>
                <w:szCs w:val="18"/>
              </w:rPr>
            </w:pPr>
            <w:r w:rsidRPr="00424092">
              <w:rPr>
                <w:rFonts w:asciiTheme="majorBidi" w:hAnsiTheme="majorBidi" w:cstheme="majorBidi"/>
                <w:sz w:val="18"/>
                <w:szCs w:val="18"/>
              </w:rPr>
              <w:t>•</w:t>
            </w:r>
            <w:r w:rsidRPr="00424092">
              <w:rPr>
                <w:rFonts w:asciiTheme="majorBidi" w:hAnsiTheme="majorBidi" w:cstheme="majorBidi"/>
                <w:sz w:val="18"/>
                <w:szCs w:val="18"/>
              </w:rPr>
              <w:tab/>
            </w:r>
            <w:r w:rsidR="00424092" w:rsidRPr="00424092">
              <w:rPr>
                <w:rFonts w:asciiTheme="majorBidi" w:hAnsiTheme="majorBidi" w:cstheme="majorBidi"/>
                <w:sz w:val="18"/>
                <w:szCs w:val="18"/>
                <w:lang w:val="fr-FR"/>
              </w:rPr>
              <w:t>Consommation réduite d</w:t>
            </w:r>
            <w:r w:rsidR="004F0AEA">
              <w:rPr>
                <w:rFonts w:asciiTheme="majorBidi" w:hAnsiTheme="majorBidi" w:cstheme="majorBidi"/>
                <w:sz w:val="18"/>
                <w:szCs w:val="18"/>
                <w:lang w:val="fr-FR"/>
              </w:rPr>
              <w:t>’</w:t>
            </w:r>
            <w:r w:rsidR="00424092" w:rsidRPr="00424092">
              <w:rPr>
                <w:rFonts w:asciiTheme="majorBidi" w:hAnsiTheme="majorBidi" w:cstheme="majorBidi"/>
                <w:sz w:val="18"/>
                <w:szCs w:val="18"/>
                <w:lang w:val="fr-FR"/>
              </w:rPr>
              <w:t>aliments et d</w:t>
            </w:r>
            <w:r w:rsidR="004F0AEA">
              <w:rPr>
                <w:rFonts w:asciiTheme="majorBidi" w:hAnsiTheme="majorBidi" w:cstheme="majorBidi"/>
                <w:sz w:val="18"/>
                <w:szCs w:val="18"/>
                <w:lang w:val="fr-FR"/>
              </w:rPr>
              <w:t>’</w:t>
            </w:r>
            <w:r w:rsidR="00424092" w:rsidRPr="00424092">
              <w:rPr>
                <w:rFonts w:asciiTheme="majorBidi" w:hAnsiTheme="majorBidi" w:cstheme="majorBidi"/>
                <w:sz w:val="18"/>
                <w:szCs w:val="18"/>
                <w:lang w:val="fr-FR"/>
              </w:rPr>
              <w:t>eau</w:t>
            </w:r>
          </w:p>
          <w:p w14:paraId="5308F54E" w14:textId="77777777" w:rsidR="00C36E43" w:rsidRPr="00424092" w:rsidRDefault="00C36E43" w:rsidP="00127FF5">
            <w:pPr>
              <w:pStyle w:val="Bullet1G"/>
              <w:keepNext/>
              <w:numPr>
                <w:ilvl w:val="0"/>
                <w:numId w:val="0"/>
              </w:numPr>
              <w:spacing w:before="60" w:after="60" w:line="240" w:lineRule="auto"/>
              <w:ind w:left="339" w:right="33" w:hanging="283"/>
              <w:rPr>
                <w:rFonts w:asciiTheme="majorBidi" w:hAnsiTheme="majorBidi" w:cstheme="majorBidi"/>
                <w:sz w:val="18"/>
                <w:szCs w:val="18"/>
              </w:rPr>
            </w:pPr>
            <w:r w:rsidRPr="00424092">
              <w:rPr>
                <w:rFonts w:asciiTheme="majorBidi" w:hAnsiTheme="majorBidi" w:cstheme="majorBidi"/>
                <w:sz w:val="18"/>
                <w:szCs w:val="18"/>
              </w:rPr>
              <w:t>•</w:t>
            </w:r>
            <w:r w:rsidRPr="00424092">
              <w:rPr>
                <w:rFonts w:asciiTheme="majorBidi" w:hAnsiTheme="majorBidi" w:cstheme="majorBidi"/>
                <w:sz w:val="18"/>
                <w:szCs w:val="18"/>
              </w:rPr>
              <w:tab/>
            </w:r>
            <w:r w:rsidR="00424092" w:rsidRPr="00424092">
              <w:rPr>
                <w:rFonts w:asciiTheme="majorBidi" w:hAnsiTheme="majorBidi" w:cstheme="majorBidi"/>
                <w:sz w:val="18"/>
                <w:szCs w:val="18"/>
                <w:lang w:val="fr-FR"/>
              </w:rPr>
              <w:t>Activité motrice réduite (uniquement chez les femelles)</w:t>
            </w:r>
          </w:p>
          <w:p w14:paraId="19B787CE" w14:textId="77777777" w:rsidR="00C36E43" w:rsidRPr="00424092" w:rsidRDefault="00C36E43" w:rsidP="00127FF5">
            <w:pPr>
              <w:pStyle w:val="Bullet1G"/>
              <w:keepNext/>
              <w:numPr>
                <w:ilvl w:val="0"/>
                <w:numId w:val="0"/>
              </w:numPr>
              <w:spacing w:before="60" w:after="60" w:line="240" w:lineRule="auto"/>
              <w:ind w:left="339" w:right="33" w:hanging="283"/>
              <w:rPr>
                <w:rFonts w:asciiTheme="majorBidi" w:hAnsiTheme="majorBidi" w:cstheme="majorBidi"/>
                <w:sz w:val="18"/>
                <w:szCs w:val="18"/>
              </w:rPr>
            </w:pPr>
            <w:r w:rsidRPr="00424092">
              <w:rPr>
                <w:rFonts w:asciiTheme="majorBidi" w:hAnsiTheme="majorBidi" w:cstheme="majorBidi"/>
                <w:sz w:val="18"/>
                <w:szCs w:val="18"/>
              </w:rPr>
              <w:t>•</w:t>
            </w:r>
            <w:r w:rsidRPr="00424092">
              <w:rPr>
                <w:rFonts w:asciiTheme="majorBidi" w:hAnsiTheme="majorBidi" w:cstheme="majorBidi"/>
                <w:sz w:val="18"/>
                <w:szCs w:val="18"/>
              </w:rPr>
              <w:tab/>
            </w:r>
            <w:r w:rsidR="00424092" w:rsidRPr="00424092">
              <w:rPr>
                <w:rFonts w:asciiTheme="majorBidi" w:hAnsiTheme="majorBidi" w:cstheme="majorBidi"/>
                <w:sz w:val="18"/>
                <w:szCs w:val="18"/>
                <w:lang w:val="fr-FR"/>
              </w:rPr>
              <w:t>Lésions neuropathologiques</w:t>
            </w:r>
          </w:p>
          <w:p w14:paraId="30E1B4D7" w14:textId="77777777" w:rsidR="00C36E43" w:rsidRPr="00424092" w:rsidRDefault="00C36E43" w:rsidP="00127FF5">
            <w:pPr>
              <w:pStyle w:val="Bullet1G"/>
              <w:keepNext/>
              <w:numPr>
                <w:ilvl w:val="0"/>
                <w:numId w:val="0"/>
              </w:numPr>
              <w:spacing w:before="60" w:after="60" w:line="240" w:lineRule="auto"/>
              <w:ind w:left="339" w:right="33" w:hanging="283"/>
              <w:rPr>
                <w:rFonts w:asciiTheme="majorBidi" w:hAnsiTheme="majorBidi" w:cstheme="majorBidi"/>
                <w:sz w:val="18"/>
                <w:szCs w:val="18"/>
              </w:rPr>
            </w:pPr>
            <w:r w:rsidRPr="00424092">
              <w:rPr>
                <w:rFonts w:asciiTheme="majorBidi" w:hAnsiTheme="majorBidi" w:cstheme="majorBidi"/>
                <w:sz w:val="18"/>
                <w:szCs w:val="18"/>
              </w:rPr>
              <w:t>•</w:t>
            </w:r>
            <w:r w:rsidRPr="00424092">
              <w:rPr>
                <w:rFonts w:asciiTheme="majorBidi" w:hAnsiTheme="majorBidi" w:cstheme="majorBidi"/>
                <w:sz w:val="18"/>
                <w:szCs w:val="18"/>
              </w:rPr>
              <w:tab/>
            </w:r>
            <w:r w:rsidR="00424092" w:rsidRPr="00424092">
              <w:rPr>
                <w:rFonts w:asciiTheme="majorBidi" w:hAnsiTheme="majorBidi" w:cstheme="majorBidi"/>
                <w:sz w:val="18"/>
                <w:szCs w:val="18"/>
                <w:lang w:val="fr-FR"/>
              </w:rPr>
              <w:t>Plusieurs signes pathologiques observés au moment de l</w:t>
            </w:r>
            <w:r w:rsidR="004F0AEA">
              <w:rPr>
                <w:rFonts w:asciiTheme="majorBidi" w:hAnsiTheme="majorBidi" w:cstheme="majorBidi"/>
                <w:sz w:val="18"/>
                <w:szCs w:val="18"/>
                <w:lang w:val="fr-FR"/>
              </w:rPr>
              <w:t>’</w:t>
            </w:r>
            <w:r w:rsidR="00424092" w:rsidRPr="00424092">
              <w:rPr>
                <w:rFonts w:asciiTheme="majorBidi" w:hAnsiTheme="majorBidi" w:cstheme="majorBidi"/>
                <w:sz w:val="18"/>
                <w:szCs w:val="18"/>
                <w:lang w:val="fr-FR"/>
              </w:rPr>
              <w:t xml:space="preserve">euthanasie, dont des masses </w:t>
            </w:r>
            <w:r w:rsidR="00424092" w:rsidRPr="00190C7E">
              <w:rPr>
                <w:rFonts w:asciiTheme="majorBidi" w:hAnsiTheme="majorBidi" w:cstheme="majorBidi"/>
                <w:sz w:val="18"/>
                <w:szCs w:val="18"/>
                <w:lang w:val="fr-FR"/>
              </w:rPr>
              <w:t>absolue et relative</w:t>
            </w:r>
            <w:r w:rsidR="00424092" w:rsidRPr="00424092">
              <w:rPr>
                <w:rFonts w:asciiTheme="majorBidi" w:hAnsiTheme="majorBidi" w:cstheme="majorBidi"/>
                <w:sz w:val="18"/>
                <w:szCs w:val="18"/>
                <w:lang w:val="fr-FR"/>
              </w:rPr>
              <w:t xml:space="preserve"> du thymus et/ou de la rate réduites</w:t>
            </w:r>
          </w:p>
          <w:p w14:paraId="5DE36F20" w14:textId="77777777" w:rsidR="00C36E43" w:rsidRPr="00424092" w:rsidRDefault="00C36E43" w:rsidP="00127FF5">
            <w:pPr>
              <w:pStyle w:val="Bullet1G"/>
              <w:keepNext/>
              <w:numPr>
                <w:ilvl w:val="0"/>
                <w:numId w:val="0"/>
              </w:numPr>
              <w:spacing w:before="60" w:after="60" w:line="240" w:lineRule="auto"/>
              <w:ind w:left="339" w:right="33" w:hanging="283"/>
              <w:rPr>
                <w:rFonts w:asciiTheme="majorBidi" w:hAnsiTheme="majorBidi" w:cstheme="majorBidi"/>
                <w:sz w:val="18"/>
                <w:szCs w:val="18"/>
              </w:rPr>
            </w:pPr>
            <w:r w:rsidRPr="00424092">
              <w:rPr>
                <w:rFonts w:asciiTheme="majorBidi" w:hAnsiTheme="majorBidi" w:cstheme="majorBidi"/>
                <w:sz w:val="18"/>
                <w:szCs w:val="18"/>
              </w:rPr>
              <w:t>•</w:t>
            </w:r>
            <w:r w:rsidRPr="00424092">
              <w:rPr>
                <w:rFonts w:asciiTheme="majorBidi" w:hAnsiTheme="majorBidi" w:cstheme="majorBidi"/>
                <w:sz w:val="18"/>
                <w:szCs w:val="18"/>
              </w:rPr>
              <w:tab/>
            </w:r>
            <w:r w:rsidR="00424092" w:rsidRPr="00424092">
              <w:rPr>
                <w:rFonts w:asciiTheme="majorBidi" w:hAnsiTheme="majorBidi" w:cstheme="majorBidi"/>
                <w:sz w:val="18"/>
                <w:szCs w:val="18"/>
                <w:lang w:val="fr-FR"/>
              </w:rPr>
              <w:t>Les évaluations terminales ont révélé des signes d</w:t>
            </w:r>
            <w:r w:rsidR="004F0AEA">
              <w:rPr>
                <w:rFonts w:asciiTheme="majorBidi" w:hAnsiTheme="majorBidi" w:cstheme="majorBidi"/>
                <w:sz w:val="18"/>
                <w:szCs w:val="18"/>
                <w:lang w:val="fr-FR"/>
              </w:rPr>
              <w:t>’</w:t>
            </w:r>
            <w:r w:rsidR="00424092" w:rsidRPr="00424092">
              <w:rPr>
                <w:rFonts w:asciiTheme="majorBidi" w:hAnsiTheme="majorBidi" w:cstheme="majorBidi"/>
                <w:sz w:val="18"/>
                <w:szCs w:val="18"/>
                <w:lang w:val="fr-FR"/>
              </w:rPr>
              <w:t>une éventuelle atrophie lymphoïde du thymus imputable au traitement administré.</w:t>
            </w:r>
          </w:p>
        </w:tc>
      </w:tr>
      <w:tr w:rsidR="00C36E43" w:rsidRPr="00010544" w14:paraId="11092615" w14:textId="77777777" w:rsidTr="006558AB">
        <w:tc>
          <w:tcPr>
            <w:tcW w:w="1418" w:type="dxa"/>
            <w:shd w:val="clear" w:color="auto" w:fill="auto"/>
            <w:vAlign w:val="center"/>
          </w:tcPr>
          <w:p w14:paraId="02062DD6" w14:textId="77777777" w:rsidR="00C36E43" w:rsidRPr="00906597" w:rsidRDefault="00C36E43" w:rsidP="00127FF5">
            <w:pPr>
              <w:spacing w:before="60" w:after="60" w:line="240" w:lineRule="auto"/>
              <w:jc w:val="center"/>
              <w:rPr>
                <w:rFonts w:asciiTheme="majorBidi" w:hAnsiTheme="majorBidi" w:cstheme="majorBidi"/>
                <w:sz w:val="18"/>
                <w:szCs w:val="18"/>
              </w:rPr>
            </w:pPr>
            <w:r w:rsidRPr="00906597">
              <w:rPr>
                <w:rFonts w:asciiTheme="majorBidi" w:hAnsiTheme="majorBidi" w:cstheme="majorBidi"/>
                <w:sz w:val="18"/>
                <w:szCs w:val="18"/>
              </w:rPr>
              <w:t>1</w:t>
            </w:r>
            <w:r w:rsidR="00010544">
              <w:rPr>
                <w:rFonts w:asciiTheme="majorBidi" w:hAnsiTheme="majorBidi" w:cstheme="majorBidi"/>
                <w:sz w:val="18"/>
                <w:szCs w:val="18"/>
              </w:rPr>
              <w:t>,</w:t>
            </w:r>
            <w:r w:rsidRPr="00906597">
              <w:rPr>
                <w:rFonts w:asciiTheme="majorBidi" w:hAnsiTheme="majorBidi" w:cstheme="majorBidi"/>
                <w:sz w:val="18"/>
                <w:szCs w:val="18"/>
              </w:rPr>
              <w:t>9</w:t>
            </w:r>
          </w:p>
        </w:tc>
        <w:tc>
          <w:tcPr>
            <w:tcW w:w="7229" w:type="dxa"/>
            <w:shd w:val="clear" w:color="auto" w:fill="auto"/>
          </w:tcPr>
          <w:p w14:paraId="42191706" w14:textId="77777777" w:rsidR="00C36E43" w:rsidRPr="00010544" w:rsidRDefault="00C36E43" w:rsidP="00127FF5">
            <w:pPr>
              <w:pStyle w:val="Bullet1G"/>
              <w:numPr>
                <w:ilvl w:val="0"/>
                <w:numId w:val="0"/>
              </w:numPr>
              <w:spacing w:before="60" w:after="60" w:line="240" w:lineRule="auto"/>
              <w:ind w:left="339" w:hanging="283"/>
              <w:rPr>
                <w:rFonts w:asciiTheme="majorBidi" w:hAnsiTheme="majorBidi" w:cstheme="majorBidi"/>
                <w:sz w:val="18"/>
                <w:szCs w:val="18"/>
              </w:rPr>
            </w:pPr>
            <w:r w:rsidRPr="00010544">
              <w:rPr>
                <w:rFonts w:asciiTheme="majorBidi" w:hAnsiTheme="majorBidi" w:cstheme="majorBidi"/>
                <w:sz w:val="18"/>
                <w:szCs w:val="18"/>
              </w:rPr>
              <w:t>•</w:t>
            </w:r>
            <w:r w:rsidRPr="00010544">
              <w:rPr>
                <w:rFonts w:asciiTheme="majorBidi" w:hAnsiTheme="majorBidi" w:cstheme="majorBidi"/>
                <w:sz w:val="18"/>
                <w:szCs w:val="18"/>
              </w:rPr>
              <w:tab/>
            </w:r>
            <w:r w:rsidR="00010544" w:rsidRPr="00010544">
              <w:rPr>
                <w:rFonts w:asciiTheme="majorBidi" w:hAnsiTheme="majorBidi" w:cstheme="majorBidi"/>
                <w:sz w:val="18"/>
                <w:szCs w:val="18"/>
                <w:lang w:val="fr-FR"/>
              </w:rPr>
              <w:t>Pas de décès</w:t>
            </w:r>
            <w:r w:rsidR="000529D8">
              <w:rPr>
                <w:rFonts w:asciiTheme="majorBidi" w:hAnsiTheme="majorBidi" w:cstheme="majorBidi"/>
                <w:sz w:val="18"/>
                <w:szCs w:val="18"/>
                <w:lang w:val="fr-FR"/>
              </w:rPr>
              <w:t>.</w:t>
            </w:r>
          </w:p>
          <w:p w14:paraId="5795286F" w14:textId="77777777" w:rsidR="00C36E43" w:rsidRPr="00010544" w:rsidRDefault="00C36E43" w:rsidP="00127FF5">
            <w:pPr>
              <w:pStyle w:val="Bullet1G"/>
              <w:numPr>
                <w:ilvl w:val="0"/>
                <w:numId w:val="0"/>
              </w:numPr>
              <w:spacing w:before="60" w:after="60" w:line="240" w:lineRule="auto"/>
              <w:ind w:left="339" w:hanging="283"/>
              <w:rPr>
                <w:rFonts w:asciiTheme="majorBidi" w:hAnsiTheme="majorBidi" w:cstheme="majorBidi"/>
                <w:sz w:val="18"/>
                <w:szCs w:val="18"/>
              </w:rPr>
            </w:pPr>
            <w:r w:rsidRPr="00010544">
              <w:rPr>
                <w:rFonts w:asciiTheme="majorBidi" w:hAnsiTheme="majorBidi" w:cstheme="majorBidi"/>
                <w:sz w:val="18"/>
                <w:szCs w:val="18"/>
              </w:rPr>
              <w:t>•</w:t>
            </w:r>
            <w:r w:rsidRPr="00010544">
              <w:rPr>
                <w:rFonts w:asciiTheme="majorBidi" w:hAnsiTheme="majorBidi" w:cstheme="majorBidi"/>
                <w:sz w:val="18"/>
                <w:szCs w:val="18"/>
              </w:rPr>
              <w:tab/>
            </w:r>
            <w:r w:rsidR="00010544" w:rsidRPr="00010544">
              <w:rPr>
                <w:rFonts w:asciiTheme="majorBidi" w:hAnsiTheme="majorBidi" w:cstheme="majorBidi"/>
                <w:sz w:val="18"/>
                <w:szCs w:val="18"/>
                <w:lang w:val="fr-FR"/>
              </w:rPr>
              <w:t>Observations limitées aux éléments suivants</w:t>
            </w:r>
            <w:r w:rsidR="00010544">
              <w:rPr>
                <w:rFonts w:asciiTheme="majorBidi" w:hAnsiTheme="majorBidi" w:cstheme="majorBidi"/>
                <w:sz w:val="18"/>
                <w:szCs w:val="18"/>
                <w:lang w:val="fr-FR"/>
              </w:rPr>
              <w:t> </w:t>
            </w:r>
            <w:r w:rsidR="00010544" w:rsidRPr="00010544">
              <w:rPr>
                <w:rFonts w:asciiTheme="majorBidi" w:hAnsiTheme="majorBidi" w:cstheme="majorBidi"/>
                <w:sz w:val="18"/>
                <w:szCs w:val="18"/>
                <w:lang w:val="fr-FR"/>
              </w:rPr>
              <w:t>:</w:t>
            </w:r>
          </w:p>
          <w:p w14:paraId="103D0058" w14:textId="77777777" w:rsidR="00C36E43" w:rsidRPr="00010544" w:rsidRDefault="00010544" w:rsidP="00127FF5">
            <w:pPr>
              <w:pStyle w:val="ListParagraph"/>
              <w:numPr>
                <w:ilvl w:val="0"/>
                <w:numId w:val="18"/>
              </w:numPr>
              <w:suppressAutoHyphens w:val="0"/>
              <w:kinsoku/>
              <w:overflowPunct/>
              <w:autoSpaceDE/>
              <w:autoSpaceDN/>
              <w:adjustRightInd/>
              <w:snapToGrid/>
              <w:spacing w:before="60" w:after="60" w:line="240" w:lineRule="auto"/>
              <w:ind w:left="601" w:right="33" w:hanging="283"/>
              <w:rPr>
                <w:rFonts w:asciiTheme="majorBidi" w:hAnsiTheme="majorBidi" w:cstheme="majorBidi"/>
                <w:sz w:val="18"/>
                <w:szCs w:val="18"/>
                <w:lang w:val="fr-CH"/>
              </w:rPr>
            </w:pPr>
            <w:r w:rsidRPr="00010544">
              <w:rPr>
                <w:rFonts w:asciiTheme="majorBidi" w:hAnsiTheme="majorBidi" w:cstheme="majorBidi"/>
                <w:sz w:val="18"/>
                <w:szCs w:val="18"/>
                <w:lang w:val="fr-FR"/>
              </w:rPr>
              <w:t>Consommation réduite d</w:t>
            </w:r>
            <w:r w:rsidR="004F0AEA">
              <w:rPr>
                <w:rFonts w:asciiTheme="majorBidi" w:hAnsiTheme="majorBidi" w:cstheme="majorBidi"/>
                <w:sz w:val="18"/>
                <w:szCs w:val="18"/>
                <w:lang w:val="fr-FR"/>
              </w:rPr>
              <w:t>’</w:t>
            </w:r>
            <w:r w:rsidRPr="00010544">
              <w:rPr>
                <w:rFonts w:asciiTheme="majorBidi" w:hAnsiTheme="majorBidi" w:cstheme="majorBidi"/>
                <w:sz w:val="18"/>
                <w:szCs w:val="18"/>
                <w:lang w:val="fr-FR"/>
              </w:rPr>
              <w:t>aliments (uniquement chez les mâles) et d</w:t>
            </w:r>
            <w:r w:rsidR="004F0AEA">
              <w:rPr>
                <w:rFonts w:asciiTheme="majorBidi" w:hAnsiTheme="majorBidi" w:cstheme="majorBidi"/>
                <w:sz w:val="18"/>
                <w:szCs w:val="18"/>
                <w:lang w:val="fr-FR"/>
              </w:rPr>
              <w:t>’</w:t>
            </w:r>
            <w:r w:rsidRPr="00010544">
              <w:rPr>
                <w:rFonts w:asciiTheme="majorBidi" w:hAnsiTheme="majorBidi" w:cstheme="majorBidi"/>
                <w:sz w:val="18"/>
                <w:szCs w:val="18"/>
                <w:lang w:val="fr-FR"/>
              </w:rPr>
              <w:t>eau</w:t>
            </w:r>
            <w:r w:rsidR="000529D8">
              <w:rPr>
                <w:rFonts w:asciiTheme="majorBidi" w:hAnsiTheme="majorBidi" w:cstheme="majorBidi"/>
                <w:sz w:val="18"/>
                <w:szCs w:val="18"/>
                <w:lang w:val="fr-FR"/>
              </w:rPr>
              <w:t>.</w:t>
            </w:r>
          </w:p>
          <w:p w14:paraId="0F42F787" w14:textId="77777777" w:rsidR="00C36E43" w:rsidRPr="00010544" w:rsidRDefault="00010544" w:rsidP="00127FF5">
            <w:pPr>
              <w:pStyle w:val="ListParagraph"/>
              <w:numPr>
                <w:ilvl w:val="0"/>
                <w:numId w:val="18"/>
              </w:numPr>
              <w:suppressAutoHyphens w:val="0"/>
              <w:kinsoku/>
              <w:overflowPunct/>
              <w:autoSpaceDE/>
              <w:autoSpaceDN/>
              <w:adjustRightInd/>
              <w:snapToGrid/>
              <w:spacing w:before="60" w:after="60" w:line="240" w:lineRule="auto"/>
              <w:ind w:left="601" w:right="33" w:hanging="283"/>
              <w:rPr>
                <w:rFonts w:asciiTheme="majorBidi" w:hAnsiTheme="majorBidi" w:cstheme="majorBidi"/>
                <w:sz w:val="18"/>
                <w:szCs w:val="18"/>
                <w:lang w:val="fr-CH"/>
              </w:rPr>
            </w:pPr>
            <w:r w:rsidRPr="00010544">
              <w:rPr>
                <w:rFonts w:asciiTheme="majorBidi" w:hAnsiTheme="majorBidi" w:cstheme="majorBidi"/>
                <w:sz w:val="18"/>
                <w:szCs w:val="18"/>
                <w:lang w:val="fr-FR"/>
              </w:rPr>
              <w:t>Lésions neuropathologiques (vacuolisation légère à modérée dans le cerveau et les tissus de la moelle épinière)</w:t>
            </w:r>
            <w:r w:rsidR="000529D8">
              <w:rPr>
                <w:rFonts w:asciiTheme="majorBidi" w:hAnsiTheme="majorBidi" w:cstheme="majorBidi"/>
                <w:sz w:val="18"/>
                <w:szCs w:val="18"/>
                <w:lang w:val="fr-FR"/>
              </w:rPr>
              <w:t>.</w:t>
            </w:r>
          </w:p>
          <w:p w14:paraId="171EBB6E" w14:textId="77777777" w:rsidR="00C36E43" w:rsidRPr="00010544" w:rsidRDefault="00C36E43" w:rsidP="00127FF5">
            <w:pPr>
              <w:pStyle w:val="Bullet1G"/>
              <w:numPr>
                <w:ilvl w:val="0"/>
                <w:numId w:val="0"/>
              </w:numPr>
              <w:spacing w:before="60" w:after="60" w:line="240" w:lineRule="auto"/>
              <w:ind w:left="341" w:right="57" w:hanging="284"/>
              <w:rPr>
                <w:rFonts w:asciiTheme="majorBidi" w:hAnsiTheme="majorBidi" w:cstheme="majorBidi"/>
                <w:sz w:val="18"/>
                <w:szCs w:val="18"/>
              </w:rPr>
            </w:pPr>
            <w:r w:rsidRPr="00010544">
              <w:rPr>
                <w:rFonts w:asciiTheme="majorBidi" w:hAnsiTheme="majorBidi" w:cstheme="majorBidi"/>
                <w:sz w:val="18"/>
                <w:szCs w:val="18"/>
              </w:rPr>
              <w:t>•</w:t>
            </w:r>
            <w:r w:rsidRPr="00010544">
              <w:rPr>
                <w:rFonts w:asciiTheme="majorBidi" w:hAnsiTheme="majorBidi" w:cstheme="majorBidi"/>
                <w:sz w:val="18"/>
                <w:szCs w:val="18"/>
              </w:rPr>
              <w:tab/>
            </w:r>
            <w:r w:rsidR="00010544" w:rsidRPr="00010544">
              <w:rPr>
                <w:rFonts w:asciiTheme="majorBidi" w:hAnsiTheme="majorBidi" w:cstheme="majorBidi"/>
                <w:sz w:val="18"/>
                <w:szCs w:val="18"/>
                <w:lang w:val="fr-FR"/>
              </w:rPr>
              <w:t>Dose sans effet nocif observé (DSENO) jugée inférieure à ce niveau de concentration</w:t>
            </w:r>
            <w:r w:rsidR="000529D8">
              <w:rPr>
                <w:rFonts w:asciiTheme="majorBidi" w:hAnsiTheme="majorBidi" w:cstheme="majorBidi"/>
                <w:sz w:val="18"/>
                <w:szCs w:val="18"/>
                <w:lang w:val="fr-FR"/>
              </w:rPr>
              <w:t>.</w:t>
            </w:r>
          </w:p>
        </w:tc>
      </w:tr>
    </w:tbl>
    <w:p w14:paraId="2706B32C" w14:textId="77777777" w:rsidR="00C36E43" w:rsidRPr="001B1F0F" w:rsidRDefault="00C36E43" w:rsidP="00082700">
      <w:pPr>
        <w:pStyle w:val="SingleTxtG"/>
        <w:spacing w:before="120"/>
        <w:rPr>
          <w:b/>
          <w:bCs/>
          <w:lang w:val="fr-FR"/>
        </w:rPr>
      </w:pPr>
      <w:r w:rsidRPr="001B1F0F">
        <w:rPr>
          <w:bCs/>
          <w:lang w:val="fr-FR"/>
        </w:rPr>
        <w:t>b)</w:t>
      </w:r>
      <w:r w:rsidRPr="001B1F0F">
        <w:rPr>
          <w:bCs/>
          <w:lang w:val="fr-FR"/>
        </w:rPr>
        <w:tab/>
        <w:t>Étude 2</w:t>
      </w:r>
      <w:r w:rsidR="0055086C">
        <w:rPr>
          <w:bCs/>
          <w:lang w:val="fr-FR"/>
        </w:rPr>
        <w:t> </w:t>
      </w:r>
      <w:r w:rsidRPr="001B1F0F">
        <w:rPr>
          <w:bCs/>
          <w:lang w:val="fr-FR"/>
        </w:rPr>
        <w:t xml:space="preserve">: Voie </w:t>
      </w:r>
      <w:r w:rsidRPr="00082700">
        <w:rPr>
          <w:lang w:val="fr-FR"/>
        </w:rPr>
        <w:t>d</w:t>
      </w:r>
      <w:r w:rsidR="004F0AEA">
        <w:rPr>
          <w:lang w:val="fr-FR"/>
        </w:rPr>
        <w:t>’</w:t>
      </w:r>
      <w:r w:rsidRPr="00082700">
        <w:rPr>
          <w:lang w:val="fr-FR"/>
        </w:rPr>
        <w:t>exposition</w:t>
      </w:r>
      <w:r w:rsidRPr="001B1F0F">
        <w:rPr>
          <w:bCs/>
          <w:lang w:val="fr-FR"/>
        </w:rPr>
        <w:t xml:space="preserve"> orale</w:t>
      </w:r>
    </w:p>
    <w:p w14:paraId="471453A9" w14:textId="77777777" w:rsidR="00C36E43" w:rsidRPr="001B1F0F" w:rsidRDefault="00C36E43" w:rsidP="00082700">
      <w:pPr>
        <w:pStyle w:val="SingleTxtG"/>
        <w:ind w:left="1701"/>
        <w:rPr>
          <w:lang w:val="fr-FR"/>
        </w:rPr>
      </w:pPr>
      <w:r>
        <w:rPr>
          <w:lang w:val="fr-FR"/>
        </w:rPr>
        <w:t xml:space="preserve">Étude de </w:t>
      </w:r>
      <w:r w:rsidR="00190C7E">
        <w:rPr>
          <w:lang w:val="fr-FR"/>
        </w:rPr>
        <w:t>quatre-vingt-dix</w:t>
      </w:r>
      <w:r>
        <w:rPr>
          <w:lang w:val="fr-FR"/>
        </w:rPr>
        <w:t xml:space="preserve"> jours conforme à la ligne directrice 408 de l</w:t>
      </w:r>
      <w:r w:rsidR="004F0AEA">
        <w:rPr>
          <w:lang w:val="fr-FR"/>
        </w:rPr>
        <w:t>’</w:t>
      </w:r>
      <w:r>
        <w:rPr>
          <w:lang w:val="fr-FR"/>
        </w:rPr>
        <w:t>OCDE sur la toxicité orale aiguë</w:t>
      </w:r>
    </w:p>
    <w:p w14:paraId="71DA4878" w14:textId="77777777" w:rsidR="00625DC0" w:rsidRDefault="00C36E43" w:rsidP="00082700">
      <w:pPr>
        <w:pStyle w:val="SingleTxtG"/>
        <w:ind w:left="1701"/>
        <w:rPr>
          <w:lang w:val="fr-FR"/>
        </w:rPr>
      </w:pPr>
      <w:r>
        <w:rPr>
          <w:lang w:val="fr-FR"/>
        </w:rPr>
        <w:t>16 rats Wistar (8 mâles/8 femelles)</w:t>
      </w:r>
      <w:r w:rsidR="0055086C">
        <w:rPr>
          <w:lang w:val="fr-FR"/>
        </w:rPr>
        <w:t> </w:t>
      </w:r>
      <w:r>
        <w:rPr>
          <w:lang w:val="fr-FR"/>
        </w:rPr>
        <w:t>; doses orales</w:t>
      </w:r>
      <w:r w:rsidR="0055086C">
        <w:rPr>
          <w:lang w:val="fr-FR"/>
        </w:rPr>
        <w:t> </w:t>
      </w:r>
      <w:r>
        <w:rPr>
          <w:lang w:val="fr-FR"/>
        </w:rPr>
        <w:t>: 0, 0,07, 0,4, 1,0 et 17 mg/kg p.c./jour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7398"/>
      </w:tblGrid>
      <w:tr w:rsidR="00C36E43" w:rsidRPr="00906597" w14:paraId="0E998CA5" w14:textId="77777777" w:rsidTr="006558AB">
        <w:tc>
          <w:tcPr>
            <w:tcW w:w="1458" w:type="dxa"/>
            <w:shd w:val="clear" w:color="auto" w:fill="auto"/>
          </w:tcPr>
          <w:p w14:paraId="5E1B07C5" w14:textId="77777777" w:rsidR="00082700" w:rsidRPr="00082700" w:rsidRDefault="00082700" w:rsidP="00082700">
            <w:pPr>
              <w:spacing w:after="30" w:line="240" w:lineRule="auto"/>
              <w:jc w:val="center"/>
              <w:rPr>
                <w:rFonts w:asciiTheme="majorBidi" w:hAnsiTheme="majorBidi" w:cstheme="majorBidi"/>
                <w:sz w:val="18"/>
                <w:szCs w:val="18"/>
                <w:lang w:val="fr-FR"/>
              </w:rPr>
            </w:pPr>
            <w:r w:rsidRPr="00082700">
              <w:rPr>
                <w:rFonts w:asciiTheme="majorBidi" w:hAnsiTheme="majorBidi" w:cstheme="majorBidi"/>
                <w:sz w:val="18"/>
                <w:szCs w:val="18"/>
                <w:lang w:val="fr-FR"/>
              </w:rPr>
              <w:t>Doses</w:t>
            </w:r>
          </w:p>
          <w:p w14:paraId="4E060B39" w14:textId="77777777" w:rsidR="00C36E43" w:rsidRPr="00082700" w:rsidRDefault="00082700" w:rsidP="00082700">
            <w:pPr>
              <w:spacing w:after="30" w:line="240" w:lineRule="auto"/>
              <w:jc w:val="center"/>
              <w:rPr>
                <w:rFonts w:asciiTheme="majorBidi" w:hAnsiTheme="majorBidi" w:cstheme="majorBidi"/>
                <w:sz w:val="18"/>
                <w:szCs w:val="18"/>
              </w:rPr>
            </w:pPr>
            <w:r w:rsidRPr="00082700">
              <w:rPr>
                <w:rFonts w:asciiTheme="majorBidi" w:hAnsiTheme="majorBidi" w:cstheme="majorBidi"/>
                <w:sz w:val="18"/>
                <w:szCs w:val="18"/>
                <w:lang w:val="fr-FR"/>
              </w:rPr>
              <w:t>(</w:t>
            </w:r>
            <w:proofErr w:type="gramStart"/>
            <w:r w:rsidRPr="00082700">
              <w:rPr>
                <w:rFonts w:asciiTheme="majorBidi" w:hAnsiTheme="majorBidi" w:cstheme="majorBidi"/>
                <w:sz w:val="18"/>
                <w:szCs w:val="18"/>
                <w:lang w:val="fr-FR"/>
              </w:rPr>
              <w:t>mg</w:t>
            </w:r>
            <w:proofErr w:type="gramEnd"/>
            <w:r w:rsidRPr="00082700">
              <w:rPr>
                <w:rFonts w:asciiTheme="majorBidi" w:hAnsiTheme="majorBidi" w:cstheme="majorBidi"/>
                <w:sz w:val="18"/>
                <w:szCs w:val="18"/>
                <w:lang w:val="fr-FR"/>
              </w:rPr>
              <w:t>/kg p.c.)</w:t>
            </w:r>
          </w:p>
        </w:tc>
        <w:tc>
          <w:tcPr>
            <w:tcW w:w="7398" w:type="dxa"/>
            <w:shd w:val="clear" w:color="auto" w:fill="auto"/>
          </w:tcPr>
          <w:p w14:paraId="58E970CF" w14:textId="77777777" w:rsidR="00C36E43" w:rsidRPr="00906597" w:rsidRDefault="00082700" w:rsidP="006558AB">
            <w:pPr>
              <w:spacing w:after="30" w:line="240" w:lineRule="auto"/>
              <w:jc w:val="center"/>
              <w:rPr>
                <w:rFonts w:asciiTheme="majorBidi" w:hAnsiTheme="majorBidi" w:cstheme="majorBidi"/>
                <w:sz w:val="18"/>
                <w:szCs w:val="18"/>
              </w:rPr>
            </w:pPr>
            <w:r w:rsidRPr="00082700">
              <w:rPr>
                <w:rFonts w:asciiTheme="majorBidi" w:hAnsiTheme="majorBidi" w:cstheme="majorBidi"/>
                <w:sz w:val="18"/>
                <w:szCs w:val="18"/>
                <w:lang w:val="fr-FR"/>
              </w:rPr>
              <w:t>Résultats</w:t>
            </w:r>
          </w:p>
        </w:tc>
      </w:tr>
      <w:tr w:rsidR="00C36E43" w:rsidRPr="00082700" w14:paraId="122B7030" w14:textId="77777777" w:rsidTr="006558AB">
        <w:tc>
          <w:tcPr>
            <w:tcW w:w="1458" w:type="dxa"/>
            <w:shd w:val="clear" w:color="auto" w:fill="auto"/>
            <w:vAlign w:val="center"/>
          </w:tcPr>
          <w:p w14:paraId="33B54872" w14:textId="77777777" w:rsidR="00C36E43" w:rsidRPr="00906597" w:rsidRDefault="00C36E43" w:rsidP="00127FF5">
            <w:pPr>
              <w:spacing w:before="60" w:after="60" w:line="240" w:lineRule="auto"/>
              <w:jc w:val="center"/>
              <w:rPr>
                <w:rFonts w:asciiTheme="majorBidi" w:hAnsiTheme="majorBidi" w:cstheme="majorBidi"/>
                <w:sz w:val="18"/>
                <w:szCs w:val="18"/>
              </w:rPr>
            </w:pPr>
            <w:r w:rsidRPr="00906597">
              <w:rPr>
                <w:rFonts w:asciiTheme="majorBidi" w:hAnsiTheme="majorBidi" w:cstheme="majorBidi"/>
                <w:sz w:val="18"/>
                <w:szCs w:val="18"/>
              </w:rPr>
              <w:t>17</w:t>
            </w:r>
          </w:p>
        </w:tc>
        <w:tc>
          <w:tcPr>
            <w:tcW w:w="7398" w:type="dxa"/>
            <w:shd w:val="clear" w:color="auto" w:fill="auto"/>
          </w:tcPr>
          <w:p w14:paraId="4CA90139" w14:textId="77777777" w:rsidR="00C36E43" w:rsidRPr="00082700" w:rsidRDefault="00C36E43" w:rsidP="00127FF5">
            <w:pPr>
              <w:pStyle w:val="Bullet1G"/>
              <w:numPr>
                <w:ilvl w:val="0"/>
                <w:numId w:val="0"/>
              </w:numPr>
              <w:spacing w:before="60" w:after="60" w:line="240" w:lineRule="auto"/>
              <w:ind w:left="424" w:right="386" w:hanging="424"/>
              <w:jc w:val="left"/>
              <w:rPr>
                <w:rFonts w:asciiTheme="majorBidi" w:hAnsiTheme="majorBidi" w:cstheme="majorBidi"/>
                <w:sz w:val="18"/>
                <w:szCs w:val="18"/>
              </w:rPr>
            </w:pPr>
            <w:r w:rsidRPr="00082700">
              <w:rPr>
                <w:rFonts w:asciiTheme="majorBidi" w:hAnsiTheme="majorBidi" w:cstheme="majorBidi"/>
                <w:sz w:val="18"/>
                <w:szCs w:val="18"/>
              </w:rPr>
              <w:t>•</w:t>
            </w:r>
            <w:r w:rsidRPr="00082700">
              <w:rPr>
                <w:rFonts w:asciiTheme="majorBidi" w:hAnsiTheme="majorBidi" w:cstheme="majorBidi"/>
                <w:sz w:val="18"/>
                <w:szCs w:val="18"/>
              </w:rPr>
              <w:tab/>
            </w:r>
            <w:r w:rsidR="00082700" w:rsidRPr="00082700">
              <w:rPr>
                <w:rFonts w:asciiTheme="majorBidi" w:hAnsiTheme="majorBidi" w:cstheme="majorBidi"/>
                <w:sz w:val="18"/>
                <w:szCs w:val="18"/>
                <w:lang w:val="fr-FR"/>
              </w:rPr>
              <w:t>Trois animaux sont décédés au cours du premier mois et la plupart des autres animaux présentaient des signes neurologiques et neurocomportementaux graves, notamment des tremblements, des convulsions et un écartement accru des pattes. La totalité des animaux restants de ce groupe ont été euthanasiés.</w:t>
            </w:r>
          </w:p>
          <w:p w14:paraId="0AA0D04F" w14:textId="77777777" w:rsidR="00C36E43" w:rsidRPr="00082700" w:rsidRDefault="00C36E43" w:rsidP="00127FF5">
            <w:pPr>
              <w:pStyle w:val="Bullet1G"/>
              <w:numPr>
                <w:ilvl w:val="0"/>
                <w:numId w:val="0"/>
              </w:numPr>
              <w:spacing w:before="60" w:after="60" w:line="240" w:lineRule="auto"/>
              <w:ind w:left="424" w:hanging="424"/>
              <w:rPr>
                <w:rFonts w:asciiTheme="majorBidi" w:hAnsiTheme="majorBidi" w:cstheme="majorBidi"/>
                <w:sz w:val="18"/>
                <w:szCs w:val="18"/>
              </w:rPr>
            </w:pPr>
            <w:r w:rsidRPr="00082700">
              <w:rPr>
                <w:rFonts w:asciiTheme="majorBidi" w:hAnsiTheme="majorBidi" w:cstheme="majorBidi"/>
                <w:sz w:val="18"/>
                <w:szCs w:val="18"/>
              </w:rPr>
              <w:t>•</w:t>
            </w:r>
            <w:r w:rsidRPr="00082700">
              <w:rPr>
                <w:rFonts w:asciiTheme="majorBidi" w:hAnsiTheme="majorBidi" w:cstheme="majorBidi"/>
                <w:sz w:val="18"/>
                <w:szCs w:val="18"/>
              </w:rPr>
              <w:tab/>
            </w:r>
            <w:r w:rsidR="00082700" w:rsidRPr="00082700">
              <w:rPr>
                <w:rFonts w:asciiTheme="majorBidi" w:hAnsiTheme="majorBidi" w:cstheme="majorBidi"/>
                <w:sz w:val="18"/>
                <w:szCs w:val="18"/>
                <w:lang w:val="fr-FR"/>
              </w:rPr>
              <w:t>Poids corporels moyens fortement réduits chez les mâles</w:t>
            </w:r>
            <w:r w:rsidR="000529D8">
              <w:rPr>
                <w:rFonts w:asciiTheme="majorBidi" w:hAnsiTheme="majorBidi" w:cstheme="majorBidi"/>
                <w:sz w:val="18"/>
                <w:szCs w:val="18"/>
                <w:lang w:val="fr-FR"/>
              </w:rPr>
              <w:t>.</w:t>
            </w:r>
          </w:p>
          <w:p w14:paraId="5664300E" w14:textId="77777777" w:rsidR="00C36E43" w:rsidRPr="00082700" w:rsidRDefault="00C36E43" w:rsidP="00127FF5">
            <w:pPr>
              <w:pStyle w:val="Bullet1G"/>
              <w:numPr>
                <w:ilvl w:val="0"/>
                <w:numId w:val="0"/>
              </w:numPr>
              <w:spacing w:before="60" w:after="60" w:line="240" w:lineRule="auto"/>
              <w:ind w:left="425" w:right="57" w:hanging="425"/>
              <w:rPr>
                <w:rFonts w:asciiTheme="majorBidi" w:hAnsiTheme="majorBidi" w:cstheme="majorBidi"/>
                <w:sz w:val="18"/>
                <w:szCs w:val="18"/>
              </w:rPr>
            </w:pPr>
            <w:r w:rsidRPr="00082700">
              <w:rPr>
                <w:rFonts w:asciiTheme="majorBidi" w:hAnsiTheme="majorBidi" w:cstheme="majorBidi"/>
                <w:sz w:val="18"/>
                <w:szCs w:val="18"/>
              </w:rPr>
              <w:t>•</w:t>
            </w:r>
            <w:r w:rsidRPr="00082700">
              <w:rPr>
                <w:rFonts w:asciiTheme="majorBidi" w:hAnsiTheme="majorBidi" w:cstheme="majorBidi"/>
                <w:sz w:val="18"/>
                <w:szCs w:val="18"/>
              </w:rPr>
              <w:tab/>
            </w:r>
            <w:r w:rsidR="00082700" w:rsidRPr="00082700">
              <w:rPr>
                <w:rFonts w:asciiTheme="majorBidi" w:hAnsiTheme="majorBidi" w:cstheme="majorBidi"/>
                <w:sz w:val="18"/>
                <w:szCs w:val="18"/>
                <w:lang w:val="fr-FR"/>
              </w:rPr>
              <w:t>Altérations du cerveau, des reins et du thymus observées à l</w:t>
            </w:r>
            <w:r w:rsidR="004F0AEA">
              <w:rPr>
                <w:rFonts w:asciiTheme="majorBidi" w:hAnsiTheme="majorBidi" w:cstheme="majorBidi"/>
                <w:sz w:val="18"/>
                <w:szCs w:val="18"/>
                <w:lang w:val="fr-FR"/>
              </w:rPr>
              <w:t>’</w:t>
            </w:r>
            <w:r w:rsidR="00082700" w:rsidRPr="00082700">
              <w:rPr>
                <w:rFonts w:asciiTheme="majorBidi" w:hAnsiTheme="majorBidi" w:cstheme="majorBidi"/>
                <w:sz w:val="18"/>
                <w:szCs w:val="18"/>
                <w:lang w:val="fr-FR"/>
              </w:rPr>
              <w:t>examen microscopique.</w:t>
            </w:r>
          </w:p>
          <w:p w14:paraId="5C945C41" w14:textId="77777777" w:rsidR="00C36E43" w:rsidRPr="00082700" w:rsidRDefault="00082700" w:rsidP="00127FF5">
            <w:pPr>
              <w:pStyle w:val="ListParagraph"/>
              <w:numPr>
                <w:ilvl w:val="0"/>
                <w:numId w:val="18"/>
              </w:numPr>
              <w:suppressAutoHyphens w:val="0"/>
              <w:kinsoku/>
              <w:overflowPunct/>
              <w:autoSpaceDE/>
              <w:autoSpaceDN/>
              <w:adjustRightInd/>
              <w:snapToGrid/>
              <w:spacing w:before="60" w:after="60" w:line="240" w:lineRule="auto"/>
              <w:ind w:left="704" w:right="33" w:hanging="283"/>
              <w:rPr>
                <w:rFonts w:asciiTheme="majorBidi" w:hAnsiTheme="majorBidi" w:cstheme="majorBidi"/>
                <w:sz w:val="18"/>
                <w:szCs w:val="18"/>
                <w:lang w:val="fr-CH"/>
              </w:rPr>
            </w:pPr>
            <w:r w:rsidRPr="00082700">
              <w:rPr>
                <w:rFonts w:asciiTheme="majorBidi" w:hAnsiTheme="majorBidi" w:cstheme="majorBidi"/>
                <w:sz w:val="18"/>
                <w:szCs w:val="18"/>
                <w:lang w:val="fr-FR"/>
              </w:rPr>
              <w:t>Incidence accrue d</w:t>
            </w:r>
            <w:r w:rsidR="004F0AEA">
              <w:rPr>
                <w:rFonts w:asciiTheme="majorBidi" w:hAnsiTheme="majorBidi" w:cstheme="majorBidi"/>
                <w:sz w:val="18"/>
                <w:szCs w:val="18"/>
                <w:lang w:val="fr-FR"/>
              </w:rPr>
              <w:t>’</w:t>
            </w:r>
            <w:r w:rsidRPr="00082700">
              <w:rPr>
                <w:rFonts w:asciiTheme="majorBidi" w:hAnsiTheme="majorBidi" w:cstheme="majorBidi"/>
                <w:sz w:val="18"/>
                <w:szCs w:val="18"/>
                <w:lang w:val="fr-FR"/>
              </w:rPr>
              <w:t>hémorragies corticomédullaires du thymus chez les femelles, dont la plupart présentaient en outre une déplétion lymphoïde</w:t>
            </w:r>
          </w:p>
          <w:p w14:paraId="42A41B48" w14:textId="77777777" w:rsidR="00C36E43" w:rsidRPr="00082700" w:rsidRDefault="00082700" w:rsidP="00127FF5">
            <w:pPr>
              <w:pStyle w:val="ListParagraph"/>
              <w:numPr>
                <w:ilvl w:val="0"/>
                <w:numId w:val="18"/>
              </w:numPr>
              <w:suppressAutoHyphens w:val="0"/>
              <w:kinsoku/>
              <w:overflowPunct/>
              <w:autoSpaceDE/>
              <w:autoSpaceDN/>
              <w:adjustRightInd/>
              <w:snapToGrid/>
              <w:spacing w:before="60" w:after="60" w:line="240" w:lineRule="auto"/>
              <w:ind w:left="704" w:right="33" w:hanging="283"/>
              <w:rPr>
                <w:rFonts w:asciiTheme="majorBidi" w:hAnsiTheme="majorBidi" w:cstheme="majorBidi"/>
                <w:sz w:val="18"/>
                <w:szCs w:val="18"/>
                <w:lang w:val="fr-CH"/>
              </w:rPr>
            </w:pPr>
            <w:r w:rsidRPr="00082700">
              <w:rPr>
                <w:rFonts w:asciiTheme="majorBidi" w:hAnsiTheme="majorBidi" w:cstheme="majorBidi"/>
                <w:sz w:val="18"/>
                <w:szCs w:val="18"/>
                <w:lang w:val="fr-FR"/>
              </w:rPr>
              <w:t>Niveau réduit d</w:t>
            </w:r>
            <w:r w:rsidR="004F0AEA">
              <w:rPr>
                <w:rFonts w:asciiTheme="majorBidi" w:hAnsiTheme="majorBidi" w:cstheme="majorBidi"/>
                <w:sz w:val="18"/>
                <w:szCs w:val="18"/>
                <w:lang w:val="fr-FR"/>
              </w:rPr>
              <w:t>’</w:t>
            </w:r>
            <w:r w:rsidRPr="00082700">
              <w:rPr>
                <w:rFonts w:asciiTheme="majorBidi" w:hAnsiTheme="majorBidi" w:cstheme="majorBidi"/>
                <w:sz w:val="18"/>
                <w:szCs w:val="18"/>
                <w:lang w:val="fr-FR"/>
              </w:rPr>
              <w:t>accumulation de pigment brun dans la rate observé chez tous les animaux</w:t>
            </w:r>
            <w:r w:rsidR="000529D8">
              <w:rPr>
                <w:rFonts w:asciiTheme="majorBidi" w:hAnsiTheme="majorBidi" w:cstheme="majorBidi"/>
                <w:sz w:val="18"/>
                <w:szCs w:val="18"/>
                <w:lang w:val="fr-FR"/>
              </w:rPr>
              <w:t>.</w:t>
            </w:r>
          </w:p>
          <w:p w14:paraId="2CB761B0" w14:textId="77777777" w:rsidR="00C36E43" w:rsidRPr="00082700" w:rsidRDefault="00082700" w:rsidP="00127FF5">
            <w:pPr>
              <w:pStyle w:val="ListParagraph"/>
              <w:numPr>
                <w:ilvl w:val="0"/>
                <w:numId w:val="18"/>
              </w:numPr>
              <w:suppressAutoHyphens w:val="0"/>
              <w:kinsoku/>
              <w:overflowPunct/>
              <w:autoSpaceDE/>
              <w:autoSpaceDN/>
              <w:adjustRightInd/>
              <w:snapToGrid/>
              <w:spacing w:before="60" w:after="60" w:line="240" w:lineRule="auto"/>
              <w:ind w:left="704" w:right="33" w:hanging="283"/>
              <w:rPr>
                <w:rFonts w:asciiTheme="majorBidi" w:hAnsiTheme="majorBidi" w:cstheme="majorBidi"/>
                <w:sz w:val="18"/>
                <w:szCs w:val="18"/>
                <w:lang w:val="fr-CH"/>
              </w:rPr>
            </w:pPr>
            <w:r w:rsidRPr="00082700">
              <w:rPr>
                <w:rFonts w:asciiTheme="majorBidi" w:hAnsiTheme="majorBidi" w:cstheme="majorBidi"/>
                <w:sz w:val="18"/>
                <w:szCs w:val="18"/>
                <w:lang w:val="fr-FR"/>
              </w:rPr>
              <w:t>Le phénomène prononcé de mort neuronale dans plusieurs zones du cervelet était plus marqué chez les femelles. Les zones présentant le plus de lésions étaient la région de l</w:t>
            </w:r>
            <w:r w:rsidR="004F0AEA">
              <w:rPr>
                <w:rFonts w:asciiTheme="majorBidi" w:hAnsiTheme="majorBidi" w:cstheme="majorBidi"/>
                <w:sz w:val="18"/>
                <w:szCs w:val="18"/>
                <w:lang w:val="fr-FR"/>
              </w:rPr>
              <w:t>’</w:t>
            </w:r>
            <w:r w:rsidRPr="00082700">
              <w:rPr>
                <w:rFonts w:asciiTheme="majorBidi" w:hAnsiTheme="majorBidi" w:cstheme="majorBidi"/>
                <w:sz w:val="18"/>
                <w:szCs w:val="18"/>
                <w:lang w:val="fr-FR"/>
              </w:rPr>
              <w:t>hippocampe, les cortex piriforme, entorhinal et périrhinal, ainsi que l</w:t>
            </w:r>
            <w:r w:rsidR="004F0AEA">
              <w:rPr>
                <w:rFonts w:asciiTheme="majorBidi" w:hAnsiTheme="majorBidi" w:cstheme="majorBidi"/>
                <w:sz w:val="18"/>
                <w:szCs w:val="18"/>
                <w:lang w:val="fr-FR"/>
              </w:rPr>
              <w:t>’</w:t>
            </w:r>
            <w:r w:rsidRPr="00082700">
              <w:rPr>
                <w:rFonts w:asciiTheme="majorBidi" w:hAnsiTheme="majorBidi" w:cstheme="majorBidi"/>
                <w:sz w:val="18"/>
                <w:szCs w:val="18"/>
                <w:lang w:val="fr-FR"/>
              </w:rPr>
              <w:t>amygdale, les noyaux olfactifs et la tenia tecta. On a également observé un léger accroissement du gonflement des axones de la moelle épinière.</w:t>
            </w:r>
          </w:p>
        </w:tc>
      </w:tr>
      <w:tr w:rsidR="00C36E43" w:rsidRPr="00CF6E73" w14:paraId="79EE0F77" w14:textId="77777777" w:rsidTr="006558AB">
        <w:tc>
          <w:tcPr>
            <w:tcW w:w="1458" w:type="dxa"/>
            <w:shd w:val="clear" w:color="auto" w:fill="auto"/>
            <w:vAlign w:val="center"/>
          </w:tcPr>
          <w:p w14:paraId="277B8D59" w14:textId="77777777" w:rsidR="00C36E43" w:rsidRPr="00906597" w:rsidRDefault="00C36E43" w:rsidP="00127FF5">
            <w:pPr>
              <w:spacing w:before="60" w:after="60" w:line="240" w:lineRule="auto"/>
              <w:jc w:val="center"/>
              <w:rPr>
                <w:rFonts w:asciiTheme="majorBidi" w:hAnsiTheme="majorBidi" w:cstheme="majorBidi"/>
                <w:sz w:val="18"/>
                <w:szCs w:val="18"/>
              </w:rPr>
            </w:pPr>
            <w:r w:rsidRPr="00906597">
              <w:rPr>
                <w:rFonts w:asciiTheme="majorBidi" w:hAnsiTheme="majorBidi" w:cstheme="majorBidi"/>
                <w:sz w:val="18"/>
                <w:szCs w:val="18"/>
              </w:rPr>
              <w:t>1</w:t>
            </w:r>
            <w:r w:rsidR="00CF6E73">
              <w:rPr>
                <w:rFonts w:asciiTheme="majorBidi" w:hAnsiTheme="majorBidi" w:cstheme="majorBidi"/>
                <w:sz w:val="18"/>
                <w:szCs w:val="18"/>
              </w:rPr>
              <w:t>,</w:t>
            </w:r>
            <w:r w:rsidRPr="00906597">
              <w:rPr>
                <w:rFonts w:asciiTheme="majorBidi" w:hAnsiTheme="majorBidi" w:cstheme="majorBidi"/>
                <w:sz w:val="18"/>
                <w:szCs w:val="18"/>
              </w:rPr>
              <w:t>0</w:t>
            </w:r>
          </w:p>
        </w:tc>
        <w:tc>
          <w:tcPr>
            <w:tcW w:w="7398" w:type="dxa"/>
            <w:shd w:val="clear" w:color="auto" w:fill="auto"/>
          </w:tcPr>
          <w:p w14:paraId="49EA53BE" w14:textId="77777777" w:rsidR="00C36E43" w:rsidRPr="00CF6E73" w:rsidRDefault="00C36E43" w:rsidP="00127FF5">
            <w:pPr>
              <w:pStyle w:val="Bullet1G"/>
              <w:numPr>
                <w:ilvl w:val="0"/>
                <w:numId w:val="0"/>
              </w:numPr>
              <w:spacing w:before="60" w:after="60" w:line="240" w:lineRule="auto"/>
              <w:ind w:left="282" w:hanging="282"/>
              <w:rPr>
                <w:rFonts w:asciiTheme="majorBidi" w:hAnsiTheme="majorBidi" w:cstheme="majorBidi"/>
                <w:sz w:val="18"/>
                <w:szCs w:val="18"/>
              </w:rPr>
            </w:pPr>
            <w:r w:rsidRPr="00CF6E73">
              <w:rPr>
                <w:rFonts w:asciiTheme="majorBidi" w:hAnsiTheme="majorBidi" w:cstheme="majorBidi"/>
                <w:sz w:val="18"/>
                <w:szCs w:val="18"/>
              </w:rPr>
              <w:t>•</w:t>
            </w:r>
            <w:r w:rsidRPr="00CF6E73">
              <w:rPr>
                <w:rFonts w:asciiTheme="majorBidi" w:hAnsiTheme="majorBidi" w:cstheme="majorBidi"/>
                <w:sz w:val="18"/>
                <w:szCs w:val="18"/>
              </w:rPr>
              <w:tab/>
            </w:r>
            <w:r w:rsidR="00CF6E73" w:rsidRPr="00CF6E73">
              <w:rPr>
                <w:rFonts w:asciiTheme="majorBidi" w:hAnsiTheme="majorBidi" w:cstheme="majorBidi"/>
                <w:sz w:val="18"/>
                <w:szCs w:val="18"/>
                <w:lang w:val="fr-FR"/>
              </w:rPr>
              <w:t>Aucun signe clinique</w:t>
            </w:r>
          </w:p>
          <w:p w14:paraId="3D9B73A5" w14:textId="77777777" w:rsidR="00C36E43" w:rsidRPr="00CF6E73" w:rsidRDefault="00C36E43" w:rsidP="00127FF5">
            <w:pPr>
              <w:pStyle w:val="Bullet1G"/>
              <w:numPr>
                <w:ilvl w:val="0"/>
                <w:numId w:val="0"/>
              </w:numPr>
              <w:spacing w:before="60" w:after="60" w:line="240" w:lineRule="auto"/>
              <w:ind w:left="284" w:right="57" w:hanging="284"/>
              <w:rPr>
                <w:rFonts w:asciiTheme="majorBidi" w:hAnsiTheme="majorBidi" w:cstheme="majorBidi"/>
                <w:sz w:val="18"/>
                <w:szCs w:val="18"/>
              </w:rPr>
            </w:pPr>
            <w:r w:rsidRPr="00CF6E73">
              <w:rPr>
                <w:rFonts w:asciiTheme="majorBidi" w:hAnsiTheme="majorBidi" w:cstheme="majorBidi"/>
                <w:sz w:val="18"/>
                <w:szCs w:val="18"/>
              </w:rPr>
              <w:t>•</w:t>
            </w:r>
            <w:r w:rsidRPr="00CF6E73">
              <w:rPr>
                <w:rFonts w:asciiTheme="majorBidi" w:hAnsiTheme="majorBidi" w:cstheme="majorBidi"/>
                <w:sz w:val="18"/>
                <w:szCs w:val="18"/>
              </w:rPr>
              <w:tab/>
            </w:r>
            <w:r w:rsidR="00CF6E73" w:rsidRPr="00CF6E73">
              <w:rPr>
                <w:rFonts w:asciiTheme="majorBidi" w:hAnsiTheme="majorBidi" w:cstheme="majorBidi"/>
                <w:sz w:val="18"/>
                <w:szCs w:val="18"/>
                <w:lang w:val="fr-FR"/>
              </w:rPr>
              <w:t>Aucun changement observé à l</w:t>
            </w:r>
            <w:r w:rsidR="004F0AEA">
              <w:rPr>
                <w:rFonts w:asciiTheme="majorBidi" w:hAnsiTheme="majorBidi" w:cstheme="majorBidi"/>
                <w:sz w:val="18"/>
                <w:szCs w:val="18"/>
                <w:lang w:val="fr-FR"/>
              </w:rPr>
              <w:t>’</w:t>
            </w:r>
            <w:r w:rsidR="00CF6E73" w:rsidRPr="00CF6E73">
              <w:rPr>
                <w:rFonts w:asciiTheme="majorBidi" w:hAnsiTheme="majorBidi" w:cstheme="majorBidi"/>
                <w:sz w:val="18"/>
                <w:szCs w:val="18"/>
                <w:lang w:val="fr-FR"/>
              </w:rPr>
              <w:t>examen microscopique par rapport au groupe de contrôle</w:t>
            </w:r>
          </w:p>
          <w:p w14:paraId="0FB04FB2" w14:textId="77777777" w:rsidR="00C36E43" w:rsidRPr="00CF6E73" w:rsidRDefault="00C36E43" w:rsidP="00127FF5">
            <w:pPr>
              <w:pStyle w:val="Bullet1G"/>
              <w:numPr>
                <w:ilvl w:val="0"/>
                <w:numId w:val="0"/>
              </w:numPr>
              <w:spacing w:before="60" w:after="60" w:line="240" w:lineRule="auto"/>
              <w:ind w:left="282" w:hanging="282"/>
              <w:rPr>
                <w:rFonts w:asciiTheme="majorBidi" w:hAnsiTheme="majorBidi" w:cstheme="majorBidi"/>
                <w:sz w:val="18"/>
                <w:szCs w:val="18"/>
              </w:rPr>
            </w:pPr>
            <w:r w:rsidRPr="00CF6E73">
              <w:rPr>
                <w:rFonts w:asciiTheme="majorBidi" w:hAnsiTheme="majorBidi" w:cstheme="majorBidi"/>
                <w:sz w:val="18"/>
                <w:szCs w:val="18"/>
              </w:rPr>
              <w:t>•</w:t>
            </w:r>
            <w:r w:rsidRPr="00CF6E73">
              <w:rPr>
                <w:rFonts w:asciiTheme="majorBidi" w:hAnsiTheme="majorBidi" w:cstheme="majorBidi"/>
                <w:sz w:val="18"/>
                <w:szCs w:val="18"/>
              </w:rPr>
              <w:tab/>
            </w:r>
            <w:r w:rsidR="00CF6E73" w:rsidRPr="00CF6E73">
              <w:rPr>
                <w:rFonts w:asciiTheme="majorBidi" w:hAnsiTheme="majorBidi" w:cstheme="majorBidi"/>
                <w:sz w:val="18"/>
                <w:szCs w:val="18"/>
                <w:lang w:val="fr-FR"/>
              </w:rPr>
              <w:t>La DSENO se situe à ce niveau de concentration.</w:t>
            </w:r>
          </w:p>
        </w:tc>
      </w:tr>
      <w:tr w:rsidR="00C36E43" w:rsidRPr="00906597" w14:paraId="0BDB413E" w14:textId="77777777" w:rsidTr="006558AB">
        <w:tc>
          <w:tcPr>
            <w:tcW w:w="1458" w:type="dxa"/>
            <w:shd w:val="clear" w:color="auto" w:fill="auto"/>
            <w:vAlign w:val="center"/>
          </w:tcPr>
          <w:p w14:paraId="3CD44416" w14:textId="77777777" w:rsidR="00C36E43" w:rsidRPr="00906597" w:rsidRDefault="00C36E43" w:rsidP="00127FF5">
            <w:pPr>
              <w:spacing w:before="60" w:after="60" w:line="240" w:lineRule="auto"/>
              <w:jc w:val="center"/>
              <w:rPr>
                <w:rFonts w:asciiTheme="majorBidi" w:hAnsiTheme="majorBidi" w:cstheme="majorBidi"/>
                <w:sz w:val="18"/>
                <w:szCs w:val="18"/>
              </w:rPr>
            </w:pPr>
            <w:r w:rsidRPr="00906597">
              <w:rPr>
                <w:rFonts w:asciiTheme="majorBidi" w:hAnsiTheme="majorBidi" w:cstheme="majorBidi"/>
                <w:sz w:val="18"/>
                <w:szCs w:val="18"/>
              </w:rPr>
              <w:t>0</w:t>
            </w:r>
            <w:r w:rsidR="00CF6E73">
              <w:rPr>
                <w:rFonts w:asciiTheme="majorBidi" w:hAnsiTheme="majorBidi" w:cstheme="majorBidi"/>
                <w:sz w:val="18"/>
                <w:szCs w:val="18"/>
              </w:rPr>
              <w:t>,</w:t>
            </w:r>
            <w:r w:rsidRPr="00906597">
              <w:rPr>
                <w:rFonts w:asciiTheme="majorBidi" w:hAnsiTheme="majorBidi" w:cstheme="majorBidi"/>
                <w:sz w:val="18"/>
                <w:szCs w:val="18"/>
              </w:rPr>
              <w:t>4</w:t>
            </w:r>
          </w:p>
        </w:tc>
        <w:tc>
          <w:tcPr>
            <w:tcW w:w="7398" w:type="dxa"/>
            <w:shd w:val="clear" w:color="auto" w:fill="auto"/>
          </w:tcPr>
          <w:p w14:paraId="3644E393" w14:textId="77777777" w:rsidR="00C36E43" w:rsidRPr="00906597" w:rsidRDefault="00C36E43" w:rsidP="00127FF5">
            <w:pPr>
              <w:pStyle w:val="Bullet1G"/>
              <w:numPr>
                <w:ilvl w:val="0"/>
                <w:numId w:val="0"/>
              </w:numPr>
              <w:spacing w:before="60" w:after="60" w:line="240" w:lineRule="auto"/>
              <w:ind w:left="282" w:hanging="282"/>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CF6E73" w:rsidRPr="00CF6E73">
              <w:rPr>
                <w:rFonts w:asciiTheme="majorBidi" w:hAnsiTheme="majorBidi" w:cstheme="majorBidi"/>
                <w:sz w:val="18"/>
                <w:szCs w:val="18"/>
                <w:lang w:val="fr-FR"/>
              </w:rPr>
              <w:t>Aucun signe clinique</w:t>
            </w:r>
          </w:p>
        </w:tc>
      </w:tr>
      <w:tr w:rsidR="00C36E43" w:rsidRPr="00906597" w14:paraId="1CFC36B7" w14:textId="77777777" w:rsidTr="006558AB">
        <w:tc>
          <w:tcPr>
            <w:tcW w:w="1458" w:type="dxa"/>
            <w:shd w:val="clear" w:color="auto" w:fill="auto"/>
            <w:vAlign w:val="center"/>
          </w:tcPr>
          <w:p w14:paraId="75629BE5" w14:textId="77777777" w:rsidR="00C36E43" w:rsidRPr="00906597" w:rsidRDefault="00C36E43" w:rsidP="00127FF5">
            <w:pPr>
              <w:spacing w:before="60" w:after="60" w:line="240" w:lineRule="auto"/>
              <w:jc w:val="center"/>
              <w:rPr>
                <w:rFonts w:asciiTheme="majorBidi" w:hAnsiTheme="majorBidi" w:cstheme="majorBidi"/>
                <w:sz w:val="18"/>
                <w:szCs w:val="18"/>
              </w:rPr>
            </w:pPr>
            <w:r w:rsidRPr="00906597">
              <w:rPr>
                <w:rFonts w:asciiTheme="majorBidi" w:hAnsiTheme="majorBidi" w:cstheme="majorBidi"/>
                <w:sz w:val="18"/>
                <w:szCs w:val="18"/>
              </w:rPr>
              <w:t>0</w:t>
            </w:r>
            <w:r w:rsidR="00CF6E73">
              <w:rPr>
                <w:rFonts w:asciiTheme="majorBidi" w:hAnsiTheme="majorBidi" w:cstheme="majorBidi"/>
                <w:sz w:val="18"/>
                <w:szCs w:val="18"/>
              </w:rPr>
              <w:t>,</w:t>
            </w:r>
            <w:r w:rsidRPr="00906597">
              <w:rPr>
                <w:rFonts w:asciiTheme="majorBidi" w:hAnsiTheme="majorBidi" w:cstheme="majorBidi"/>
                <w:sz w:val="18"/>
                <w:szCs w:val="18"/>
              </w:rPr>
              <w:t>07</w:t>
            </w:r>
          </w:p>
        </w:tc>
        <w:tc>
          <w:tcPr>
            <w:tcW w:w="7398" w:type="dxa"/>
            <w:shd w:val="clear" w:color="auto" w:fill="auto"/>
          </w:tcPr>
          <w:p w14:paraId="63039F1E" w14:textId="77777777" w:rsidR="00C36E43" w:rsidRPr="00906597" w:rsidRDefault="00C36E43" w:rsidP="00127FF5">
            <w:pPr>
              <w:pStyle w:val="Bullet1G"/>
              <w:numPr>
                <w:ilvl w:val="0"/>
                <w:numId w:val="0"/>
              </w:numPr>
              <w:spacing w:before="60" w:after="60" w:line="240" w:lineRule="auto"/>
              <w:ind w:left="282" w:hanging="282"/>
              <w:rPr>
                <w:rFonts w:asciiTheme="majorBidi" w:hAnsiTheme="majorBidi" w:cstheme="majorBidi"/>
                <w:sz w:val="18"/>
                <w:szCs w:val="18"/>
              </w:rPr>
            </w:pPr>
            <w:r w:rsidRPr="00906597">
              <w:rPr>
                <w:rFonts w:asciiTheme="majorBidi" w:hAnsiTheme="majorBidi" w:cstheme="majorBidi"/>
                <w:sz w:val="18"/>
                <w:szCs w:val="18"/>
              </w:rPr>
              <w:t>•</w:t>
            </w:r>
            <w:r w:rsidRPr="00906597">
              <w:rPr>
                <w:rFonts w:asciiTheme="majorBidi" w:hAnsiTheme="majorBidi" w:cstheme="majorBidi"/>
                <w:sz w:val="18"/>
                <w:szCs w:val="18"/>
              </w:rPr>
              <w:tab/>
            </w:r>
            <w:r w:rsidR="00CF6E73" w:rsidRPr="00127FF5">
              <w:rPr>
                <w:sz w:val="18"/>
                <w:szCs w:val="18"/>
                <w:lang w:val="fr-FR"/>
              </w:rPr>
              <w:t>Aucun signe clinique</w:t>
            </w:r>
          </w:p>
        </w:tc>
      </w:tr>
    </w:tbl>
    <w:p w14:paraId="12CBC4C7" w14:textId="77777777" w:rsidR="00C36E43" w:rsidRPr="00707E19" w:rsidRDefault="00C36E43" w:rsidP="001D2FB9">
      <w:pPr>
        <w:pStyle w:val="H23G"/>
      </w:pPr>
      <w:r>
        <w:rPr>
          <w:lang w:val="fr-FR"/>
        </w:rPr>
        <w:tab/>
      </w:r>
      <w:r>
        <w:rPr>
          <w:lang w:val="fr-FR"/>
        </w:rPr>
        <w:tab/>
        <w:t>Réponse</w:t>
      </w:r>
    </w:p>
    <w:p w14:paraId="2E48C5E9" w14:textId="77777777" w:rsidR="00C36E43" w:rsidRPr="00707E19" w:rsidRDefault="00C36E43" w:rsidP="001D2FB9">
      <w:pPr>
        <w:pStyle w:val="SingleTxtG"/>
      </w:pPr>
      <w:r>
        <w:rPr>
          <w:lang w:val="fr-FR"/>
        </w:rPr>
        <w:t>Toxicité orale aiguë, catégorie 3</w:t>
      </w:r>
    </w:p>
    <w:p w14:paraId="38DD374A" w14:textId="77777777" w:rsidR="00C36E43" w:rsidRPr="00707E19" w:rsidRDefault="00C36E43" w:rsidP="001D2FB9">
      <w:pPr>
        <w:pStyle w:val="SingleTxtG"/>
      </w:pPr>
      <w:r>
        <w:rPr>
          <w:lang w:val="fr-FR"/>
        </w:rPr>
        <w:t>Toxicité cutanée aiguë, catégorie 3</w:t>
      </w:r>
    </w:p>
    <w:p w14:paraId="199EDBD7" w14:textId="77777777" w:rsidR="00C36E43" w:rsidRPr="001B1F0F" w:rsidRDefault="00C36E43" w:rsidP="001D2FB9">
      <w:pPr>
        <w:pStyle w:val="SingleTxtG"/>
        <w:rPr>
          <w:lang w:val="fr-FR"/>
        </w:rPr>
      </w:pPr>
      <w:r>
        <w:rPr>
          <w:lang w:val="fr-FR"/>
        </w:rPr>
        <w:t>Toxicité aiguë par inhalation, catégorie 2</w:t>
      </w:r>
    </w:p>
    <w:p w14:paraId="7E64854B" w14:textId="77777777" w:rsidR="00C36E43" w:rsidRPr="001B1F0F" w:rsidRDefault="00C36E43" w:rsidP="001D2FB9">
      <w:pPr>
        <w:pStyle w:val="SingleTxtG"/>
        <w:rPr>
          <w:lang w:val="fr-FR"/>
        </w:rPr>
      </w:pPr>
      <w:r>
        <w:rPr>
          <w:lang w:val="fr-FR"/>
        </w:rPr>
        <w:t xml:space="preserve">Toxicité pour certains organes cibles </w:t>
      </w:r>
      <w:r w:rsidR="00127FF5">
        <w:rPr>
          <w:lang w:val="fr-FR"/>
        </w:rPr>
        <w:t>−</w:t>
      </w:r>
      <w:r>
        <w:rPr>
          <w:lang w:val="fr-FR"/>
        </w:rPr>
        <w:t xml:space="preserve"> expositions répétées, catégorie 1</w:t>
      </w:r>
    </w:p>
    <w:p w14:paraId="715A854E" w14:textId="77777777" w:rsidR="00C36E43" w:rsidRPr="001B1F0F" w:rsidRDefault="00C36E43" w:rsidP="001D2FB9">
      <w:pPr>
        <w:pStyle w:val="SingleTxtG"/>
        <w:rPr>
          <w:lang w:val="fr-FR"/>
        </w:rPr>
      </w:pPr>
      <w:r>
        <w:rPr>
          <w:lang w:val="fr-FR"/>
        </w:rPr>
        <w:t>(Organes cibles</w:t>
      </w:r>
      <w:r w:rsidR="0055086C">
        <w:rPr>
          <w:lang w:val="fr-FR"/>
        </w:rPr>
        <w:t> </w:t>
      </w:r>
      <w:r>
        <w:rPr>
          <w:lang w:val="fr-FR"/>
        </w:rPr>
        <w:t>: système nerveux, thymus)</w:t>
      </w:r>
    </w:p>
    <w:p w14:paraId="38B8F34D" w14:textId="77777777" w:rsidR="00C36E43" w:rsidRPr="001B1F0F" w:rsidRDefault="00C36E43" w:rsidP="001D2FB9">
      <w:pPr>
        <w:pStyle w:val="H23G"/>
        <w:rPr>
          <w:lang w:val="fr-FR"/>
        </w:rPr>
      </w:pPr>
      <w:r>
        <w:rPr>
          <w:lang w:val="fr-FR"/>
        </w:rPr>
        <w:lastRenderedPageBreak/>
        <w:tab/>
      </w:r>
      <w:r>
        <w:rPr>
          <w:lang w:val="fr-FR"/>
        </w:rPr>
        <w:tab/>
        <w:t>Justifications</w:t>
      </w:r>
    </w:p>
    <w:p w14:paraId="2A5AB574" w14:textId="77777777" w:rsidR="00C36E43" w:rsidRPr="001B1F0F" w:rsidRDefault="001D2FB9" w:rsidP="001D2FB9">
      <w:pPr>
        <w:pStyle w:val="H4G"/>
        <w:rPr>
          <w:lang w:val="fr-FR"/>
        </w:rPr>
      </w:pPr>
      <w:r>
        <w:rPr>
          <w:lang w:val="fr-FR"/>
        </w:rPr>
        <w:tab/>
      </w:r>
      <w:r w:rsidR="00C36E43">
        <w:rPr>
          <w:lang w:val="fr-FR"/>
        </w:rPr>
        <w:t>a)</w:t>
      </w:r>
      <w:r w:rsidR="00C36E43">
        <w:rPr>
          <w:lang w:val="fr-FR"/>
        </w:rPr>
        <w:tab/>
        <w:t>Toxicité orale aiguë</w:t>
      </w:r>
    </w:p>
    <w:p w14:paraId="74EFECDE" w14:textId="77777777" w:rsidR="00C36E43" w:rsidRPr="001B1F0F" w:rsidRDefault="00C36E43" w:rsidP="001D2FB9">
      <w:pPr>
        <w:pStyle w:val="SingleTxtG"/>
        <w:rPr>
          <w:lang w:val="fr-FR"/>
        </w:rPr>
      </w:pPr>
      <w:r>
        <w:rPr>
          <w:lang w:val="fr-FR"/>
        </w:rPr>
        <w:t>Une classification sur la base des critères du tableau 3.1.1 du SGH est possible. L</w:t>
      </w:r>
      <w:r w:rsidR="004F0AEA">
        <w:rPr>
          <w:lang w:val="fr-FR"/>
        </w:rPr>
        <w:t>’</w:t>
      </w:r>
      <w:r>
        <w:rPr>
          <w:lang w:val="fr-FR"/>
        </w:rPr>
        <w:t>étude a été réalisée sur l</w:t>
      </w:r>
      <w:r w:rsidR="004F0AEA">
        <w:rPr>
          <w:lang w:val="fr-FR"/>
        </w:rPr>
        <w:t>’</w:t>
      </w:r>
      <w:r>
        <w:rPr>
          <w:lang w:val="fr-FR"/>
        </w:rPr>
        <w:t>espèce animale préférée pour l</w:t>
      </w:r>
      <w:r w:rsidR="004F0AEA">
        <w:rPr>
          <w:lang w:val="fr-FR"/>
        </w:rPr>
        <w:t>’</w:t>
      </w:r>
      <w:r>
        <w:rPr>
          <w:lang w:val="fr-FR"/>
        </w:rPr>
        <w:t>évaluation de la toxicité aiguë par voie orale et par inhalation (à savoir le rat), conformément au 3.1.2.3 ; les deux valeurs de la DL</w:t>
      </w:r>
      <w:r>
        <w:rPr>
          <w:vertAlign w:val="subscript"/>
          <w:lang w:val="fr-FR"/>
        </w:rPr>
        <w:t>50</w:t>
      </w:r>
      <w:r>
        <w:rPr>
          <w:lang w:val="fr-FR"/>
        </w:rPr>
        <w:t xml:space="preserve"> administrée par ingestion (160 et 273 mg/kg) se situent toutes les deux dans l</w:t>
      </w:r>
      <w:r w:rsidR="004F0AEA">
        <w:rPr>
          <w:lang w:val="fr-FR"/>
        </w:rPr>
        <w:t>’</w:t>
      </w:r>
      <w:r>
        <w:rPr>
          <w:lang w:val="fr-FR"/>
        </w:rPr>
        <w:t>intervalle correspondant à la catégorie 3, à savoir 50 &lt; ETA ≤ 300, ce qui justifie une classification dans cette catégorie pour l</w:t>
      </w:r>
      <w:r w:rsidR="004F0AEA">
        <w:rPr>
          <w:lang w:val="fr-FR"/>
        </w:rPr>
        <w:t>’</w:t>
      </w:r>
      <w:r>
        <w:rPr>
          <w:lang w:val="fr-FR"/>
        </w:rPr>
        <w:t>exposition par voie orale.</w:t>
      </w:r>
    </w:p>
    <w:p w14:paraId="335EF6A9" w14:textId="77777777" w:rsidR="00C36E43" w:rsidRPr="001B1F0F" w:rsidRDefault="001D2FB9" w:rsidP="001D2FB9">
      <w:pPr>
        <w:pStyle w:val="H4G"/>
        <w:rPr>
          <w:lang w:val="fr-FR"/>
        </w:rPr>
      </w:pPr>
      <w:r>
        <w:rPr>
          <w:lang w:val="fr-FR"/>
        </w:rPr>
        <w:tab/>
      </w:r>
      <w:r w:rsidR="00C36E43">
        <w:rPr>
          <w:lang w:val="fr-FR"/>
        </w:rPr>
        <w:t>b)</w:t>
      </w:r>
      <w:r w:rsidR="00C36E43">
        <w:rPr>
          <w:lang w:val="fr-FR"/>
        </w:rPr>
        <w:tab/>
      </w:r>
      <w:r w:rsidR="00C36E43">
        <w:rPr>
          <w:iCs/>
          <w:lang w:val="fr-FR"/>
        </w:rPr>
        <w:t xml:space="preserve">Toxicité </w:t>
      </w:r>
      <w:r w:rsidR="00C36E43" w:rsidRPr="001D2FB9">
        <w:rPr>
          <w:lang w:val="fr-FR"/>
        </w:rPr>
        <w:t>cutanée</w:t>
      </w:r>
      <w:r w:rsidR="00C36E43">
        <w:rPr>
          <w:iCs/>
          <w:lang w:val="fr-FR"/>
        </w:rPr>
        <w:t xml:space="preserve"> aiguë</w:t>
      </w:r>
    </w:p>
    <w:p w14:paraId="5D298E87" w14:textId="77777777" w:rsidR="00C36E43" w:rsidRPr="001B1F0F" w:rsidRDefault="00C36E43" w:rsidP="001D2FB9">
      <w:pPr>
        <w:pStyle w:val="SingleTxtG"/>
        <w:rPr>
          <w:lang w:val="fr-FR"/>
        </w:rPr>
      </w:pPr>
      <w:r>
        <w:rPr>
          <w:lang w:val="fr-FR"/>
        </w:rPr>
        <w:t>Une classification sur la base des critères du tableau 3.1.1 du SGH est possible. L</w:t>
      </w:r>
      <w:r w:rsidR="004F0AEA">
        <w:rPr>
          <w:lang w:val="fr-FR"/>
        </w:rPr>
        <w:t>’</w:t>
      </w:r>
      <w:r>
        <w:rPr>
          <w:lang w:val="fr-FR"/>
        </w:rPr>
        <w:t>étude a été réalisée sur l</w:t>
      </w:r>
      <w:r w:rsidR="004F0AEA">
        <w:rPr>
          <w:lang w:val="fr-FR"/>
        </w:rPr>
        <w:t>’</w:t>
      </w:r>
      <w:r>
        <w:rPr>
          <w:lang w:val="fr-FR"/>
        </w:rPr>
        <w:t>une des espèces animales préférées pour l</w:t>
      </w:r>
      <w:r w:rsidR="004F0AEA">
        <w:rPr>
          <w:lang w:val="fr-FR"/>
        </w:rPr>
        <w:t>’</w:t>
      </w:r>
      <w:r>
        <w:rPr>
          <w:lang w:val="fr-FR"/>
        </w:rPr>
        <w:t>évaluation de la toxicité aiguë par voie cutanée (à savoir le rat ou le lapin), conformément au 3.1.2.3 ; la DL</w:t>
      </w:r>
      <w:r>
        <w:rPr>
          <w:vertAlign w:val="subscript"/>
          <w:lang w:val="fr-FR"/>
        </w:rPr>
        <w:t>50</w:t>
      </w:r>
      <w:r>
        <w:rPr>
          <w:lang w:val="fr-FR"/>
        </w:rPr>
        <w:t xml:space="preserve"> de 404</w:t>
      </w:r>
      <w:r w:rsidR="00127FF5">
        <w:rPr>
          <w:lang w:val="fr-FR"/>
        </w:rPr>
        <w:t> </w:t>
      </w:r>
      <w:r>
        <w:rPr>
          <w:lang w:val="fr-FR"/>
        </w:rPr>
        <w:t>mg/kg, administrée au rat par application cutanée, se situe dans l</w:t>
      </w:r>
      <w:r w:rsidR="004F0AEA">
        <w:rPr>
          <w:lang w:val="fr-FR"/>
        </w:rPr>
        <w:t>’</w:t>
      </w:r>
      <w:r>
        <w:rPr>
          <w:lang w:val="fr-FR"/>
        </w:rPr>
        <w:t>intervalle correspondant à la catégorie 3, à savoir 200 &lt; ETA ≤ 1 000, ce qui justifie une classification dans cette catégorie pour l</w:t>
      </w:r>
      <w:r w:rsidR="004F0AEA">
        <w:rPr>
          <w:lang w:val="fr-FR"/>
        </w:rPr>
        <w:t>’</w:t>
      </w:r>
      <w:r>
        <w:rPr>
          <w:lang w:val="fr-FR"/>
        </w:rPr>
        <w:t>exposition par voie cutanée.</w:t>
      </w:r>
    </w:p>
    <w:p w14:paraId="1E4DC8C8" w14:textId="77777777" w:rsidR="00C36E43" w:rsidRPr="001B1F0F" w:rsidRDefault="001D2FB9" w:rsidP="001D2FB9">
      <w:pPr>
        <w:pStyle w:val="H4G"/>
        <w:rPr>
          <w:lang w:val="fr-FR"/>
        </w:rPr>
      </w:pPr>
      <w:r>
        <w:rPr>
          <w:lang w:val="fr-FR"/>
        </w:rPr>
        <w:tab/>
      </w:r>
      <w:r w:rsidR="00C36E43">
        <w:rPr>
          <w:lang w:val="fr-FR"/>
        </w:rPr>
        <w:t>c)</w:t>
      </w:r>
      <w:r w:rsidR="00C36E43">
        <w:rPr>
          <w:lang w:val="fr-FR"/>
        </w:rPr>
        <w:tab/>
      </w:r>
      <w:r w:rsidR="00C36E43">
        <w:rPr>
          <w:iCs/>
          <w:lang w:val="fr-FR"/>
        </w:rPr>
        <w:t xml:space="preserve">Toxicité </w:t>
      </w:r>
      <w:r w:rsidR="00C36E43" w:rsidRPr="001D2FB9">
        <w:rPr>
          <w:lang w:val="fr-FR"/>
        </w:rPr>
        <w:t>aiguë</w:t>
      </w:r>
      <w:r w:rsidR="00C36E43">
        <w:rPr>
          <w:iCs/>
          <w:lang w:val="fr-FR"/>
        </w:rPr>
        <w:t xml:space="preserve"> par inhalation</w:t>
      </w:r>
    </w:p>
    <w:p w14:paraId="291C5E2D" w14:textId="77777777" w:rsidR="00C36E43" w:rsidRPr="001B1F0F" w:rsidRDefault="00C36E43" w:rsidP="001D2FB9">
      <w:pPr>
        <w:pStyle w:val="SingleTxtG"/>
        <w:rPr>
          <w:lang w:val="fr-FR"/>
        </w:rPr>
      </w:pPr>
      <w:r>
        <w:rPr>
          <w:lang w:val="fr-FR"/>
        </w:rPr>
        <w:t>Une classification sur la base des critères du tableau 3.1.1 du SGH est possible. L</w:t>
      </w:r>
      <w:r w:rsidR="004F0AEA">
        <w:rPr>
          <w:lang w:val="fr-FR"/>
        </w:rPr>
        <w:t>’</w:t>
      </w:r>
      <w:r>
        <w:rPr>
          <w:lang w:val="fr-FR"/>
        </w:rPr>
        <w:t>étude a été réalisée sur l</w:t>
      </w:r>
      <w:r w:rsidR="004F0AEA">
        <w:rPr>
          <w:lang w:val="fr-FR"/>
        </w:rPr>
        <w:t>’</w:t>
      </w:r>
      <w:r>
        <w:rPr>
          <w:lang w:val="fr-FR"/>
        </w:rPr>
        <w:t>espèce animale préférée pour l</w:t>
      </w:r>
      <w:r w:rsidR="004F0AEA">
        <w:rPr>
          <w:lang w:val="fr-FR"/>
        </w:rPr>
        <w:t>’</w:t>
      </w:r>
      <w:r>
        <w:rPr>
          <w:lang w:val="fr-FR"/>
        </w:rPr>
        <w:t>évaluation de la toxicité aiguë par voie orale et par inhalation (à savoir le rat), conformément au 3.1.2.3 ; les deux valeurs de la DL</w:t>
      </w:r>
      <w:r>
        <w:rPr>
          <w:vertAlign w:val="subscript"/>
          <w:lang w:val="fr-FR"/>
        </w:rPr>
        <w:t>50</w:t>
      </w:r>
      <w:r>
        <w:rPr>
          <w:lang w:val="fr-FR"/>
        </w:rPr>
        <w:t xml:space="preserve"> administrée par inhalation de poussières/brumes pendant quatre heures (0,115 et 0,139 mg/L) se situent toutes les deux dans l</w:t>
      </w:r>
      <w:r w:rsidR="004F0AEA">
        <w:rPr>
          <w:lang w:val="fr-FR"/>
        </w:rPr>
        <w:t>’</w:t>
      </w:r>
      <w:r>
        <w:rPr>
          <w:lang w:val="fr-FR"/>
        </w:rPr>
        <w:t>intervalle correspondant à la catégorie 2, à savoir 0,05 &lt; ETA ≤ 0,5, ce qui justifie une classification dans cette catégorie pour l</w:t>
      </w:r>
      <w:r w:rsidR="004F0AEA">
        <w:rPr>
          <w:lang w:val="fr-FR"/>
        </w:rPr>
        <w:t>’</w:t>
      </w:r>
      <w:r>
        <w:rPr>
          <w:lang w:val="fr-FR"/>
        </w:rPr>
        <w:t>exposition par inhalation.</w:t>
      </w:r>
    </w:p>
    <w:p w14:paraId="40559CB2" w14:textId="77777777" w:rsidR="00C36E43" w:rsidRPr="001B1F0F" w:rsidRDefault="001D2FB9" w:rsidP="001D2FB9">
      <w:pPr>
        <w:pStyle w:val="H4G"/>
        <w:rPr>
          <w:lang w:val="fr-FR"/>
        </w:rPr>
      </w:pPr>
      <w:r>
        <w:rPr>
          <w:lang w:val="fr-FR"/>
        </w:rPr>
        <w:tab/>
      </w:r>
      <w:r w:rsidR="00C36E43">
        <w:rPr>
          <w:lang w:val="fr-FR"/>
        </w:rPr>
        <w:t>d)</w:t>
      </w:r>
      <w:r w:rsidR="00C36E43">
        <w:rPr>
          <w:lang w:val="fr-FR"/>
        </w:rPr>
        <w:tab/>
      </w:r>
      <w:r w:rsidR="00C36E43">
        <w:rPr>
          <w:iCs/>
          <w:lang w:val="fr-FR"/>
        </w:rPr>
        <w:t xml:space="preserve">Toxicité </w:t>
      </w:r>
      <w:r w:rsidR="00C36E43" w:rsidRPr="001D2FB9">
        <w:rPr>
          <w:lang w:val="fr-FR"/>
        </w:rPr>
        <w:t>pour</w:t>
      </w:r>
      <w:r w:rsidR="00C36E43">
        <w:rPr>
          <w:iCs/>
          <w:lang w:val="fr-FR"/>
        </w:rPr>
        <w:t xml:space="preserve"> certains organes cibles </w:t>
      </w:r>
      <w:r w:rsidR="00127FF5">
        <w:rPr>
          <w:iCs/>
          <w:lang w:val="fr-FR"/>
        </w:rPr>
        <w:t>−</w:t>
      </w:r>
      <w:r w:rsidR="00C36E43">
        <w:rPr>
          <w:iCs/>
          <w:lang w:val="fr-FR"/>
        </w:rPr>
        <w:t xml:space="preserve"> expositions répétées</w:t>
      </w:r>
    </w:p>
    <w:p w14:paraId="2F6922EB" w14:textId="77777777" w:rsidR="00C36E43" w:rsidRPr="001B1F0F" w:rsidRDefault="00C36E43" w:rsidP="001D2FB9">
      <w:pPr>
        <w:pStyle w:val="H56G"/>
        <w:rPr>
          <w:lang w:val="fr-FR"/>
        </w:rPr>
      </w:pPr>
      <w:r>
        <w:rPr>
          <w:lang w:val="fr-FR"/>
        </w:rPr>
        <w:tab/>
      </w:r>
      <w:r>
        <w:rPr>
          <w:lang w:val="fr-FR"/>
        </w:rPr>
        <w:tab/>
        <w:t>Voie orale</w:t>
      </w:r>
    </w:p>
    <w:p w14:paraId="6F6D6B6F" w14:textId="77777777" w:rsidR="00C36E43" w:rsidRPr="001B1F0F" w:rsidRDefault="00C36E43" w:rsidP="001D2FB9">
      <w:pPr>
        <w:pStyle w:val="SingleTxtG"/>
        <w:rPr>
          <w:lang w:val="fr-FR"/>
        </w:rPr>
      </w:pPr>
      <w:r>
        <w:rPr>
          <w:lang w:val="fr-FR"/>
        </w:rPr>
        <w:t xml:space="preserve">Considérées en conjonction, ces deux études de </w:t>
      </w:r>
      <w:r w:rsidR="00127FF5">
        <w:rPr>
          <w:lang w:val="fr-FR"/>
        </w:rPr>
        <w:t>quatre-vingt-dix</w:t>
      </w:r>
      <w:r>
        <w:rPr>
          <w:lang w:val="fr-FR"/>
        </w:rPr>
        <w:t xml:space="preserve"> jours sur la toxicité orale indiquent que le principal organe cible est le système nerveux. On commence à observer des décès et des signes neurologiques graves dès 6 mg/kg p.c./jour dans l</w:t>
      </w:r>
      <w:r w:rsidR="004F0AEA">
        <w:rPr>
          <w:lang w:val="fr-FR"/>
        </w:rPr>
        <w:t>’</w:t>
      </w:r>
      <w:r>
        <w:rPr>
          <w:lang w:val="fr-FR"/>
        </w:rPr>
        <w:t>étude 1 et à 17</w:t>
      </w:r>
      <w:r w:rsidR="00127FF5">
        <w:rPr>
          <w:lang w:val="fr-FR"/>
        </w:rPr>
        <w:t> </w:t>
      </w:r>
      <w:r>
        <w:rPr>
          <w:lang w:val="fr-FR"/>
        </w:rPr>
        <w:t>mg/kg p.c./jour dans l</w:t>
      </w:r>
      <w:r w:rsidR="004F0AEA">
        <w:rPr>
          <w:lang w:val="fr-FR"/>
        </w:rPr>
        <w:t>’</w:t>
      </w:r>
      <w:r>
        <w:rPr>
          <w:lang w:val="fr-FR"/>
        </w:rPr>
        <w:t>étude 2. Dans l</w:t>
      </w:r>
      <w:r w:rsidR="004F0AEA">
        <w:rPr>
          <w:lang w:val="fr-FR"/>
        </w:rPr>
        <w:t>’</w:t>
      </w:r>
      <w:r>
        <w:rPr>
          <w:lang w:val="fr-FR"/>
        </w:rPr>
        <w:t>étude 1, on observe des lésions neuropathologiques à partir de la plus faible dose (1,9 mg/kg p.c./jour), sous la forme d</w:t>
      </w:r>
      <w:r w:rsidR="004F0AEA">
        <w:rPr>
          <w:lang w:val="fr-FR"/>
        </w:rPr>
        <w:t>’</w:t>
      </w:r>
      <w:r>
        <w:rPr>
          <w:lang w:val="fr-FR"/>
        </w:rPr>
        <w:t>une vacuolisation modérée dans le cerveau et les tissus de la moelle épinière, ainsi que d</w:t>
      </w:r>
      <w:r w:rsidR="004F0AEA">
        <w:rPr>
          <w:lang w:val="fr-FR"/>
        </w:rPr>
        <w:t>’</w:t>
      </w:r>
      <w:r>
        <w:rPr>
          <w:lang w:val="fr-FR"/>
        </w:rPr>
        <w:t xml:space="preserve">une </w:t>
      </w:r>
      <w:r w:rsidRPr="00127FF5">
        <w:rPr>
          <w:lang w:val="fr-FR"/>
        </w:rPr>
        <w:t>dilatation ventriculaire et d</w:t>
      </w:r>
      <w:r w:rsidR="004F0AEA" w:rsidRPr="00127FF5">
        <w:rPr>
          <w:lang w:val="fr-FR"/>
        </w:rPr>
        <w:t>’</w:t>
      </w:r>
      <w:r w:rsidRPr="00127FF5">
        <w:rPr>
          <w:lang w:val="fr-FR"/>
        </w:rPr>
        <w:t>une</w:t>
      </w:r>
      <w:r>
        <w:rPr>
          <w:lang w:val="fr-FR"/>
        </w:rPr>
        <w:t xml:space="preserve"> nécrose neuronale à la dose la plus élevée (17,5 mg/kg p.c./jour).</w:t>
      </w:r>
    </w:p>
    <w:p w14:paraId="53BF67E6" w14:textId="77777777" w:rsidR="00C36E43" w:rsidRPr="001B1F0F" w:rsidRDefault="00C36E43" w:rsidP="001D2FB9">
      <w:pPr>
        <w:pStyle w:val="SingleTxtG"/>
        <w:rPr>
          <w:lang w:val="fr-FR"/>
        </w:rPr>
      </w:pPr>
      <w:r>
        <w:rPr>
          <w:lang w:val="fr-FR"/>
        </w:rPr>
        <w:t>À la dose de 6 mg/kg p.c./jour, dans l</w:t>
      </w:r>
      <w:r w:rsidR="004F0AEA">
        <w:rPr>
          <w:lang w:val="fr-FR"/>
        </w:rPr>
        <w:t>’</w:t>
      </w:r>
      <w:r>
        <w:rPr>
          <w:lang w:val="fr-FR"/>
        </w:rPr>
        <w:t>étude 1, on observe une baisse des masses absolue et relative du thymus, et on relève des signes d</w:t>
      </w:r>
      <w:r w:rsidR="004F0AEA">
        <w:rPr>
          <w:lang w:val="fr-FR"/>
        </w:rPr>
        <w:t>’</w:t>
      </w:r>
      <w:r>
        <w:rPr>
          <w:lang w:val="fr-FR"/>
        </w:rPr>
        <w:t>une éventuelle atrophie lymphoïde du thymus imputable au traitement administré. Dans l</w:t>
      </w:r>
      <w:r w:rsidR="004F0AEA">
        <w:rPr>
          <w:lang w:val="fr-FR"/>
        </w:rPr>
        <w:t>’</w:t>
      </w:r>
      <w:r>
        <w:rPr>
          <w:lang w:val="fr-FR"/>
        </w:rPr>
        <w:t>étude 2, les femelles présentaient une incidence accrue d</w:t>
      </w:r>
      <w:r w:rsidR="004F0AEA">
        <w:rPr>
          <w:lang w:val="fr-FR"/>
        </w:rPr>
        <w:t>’</w:t>
      </w:r>
      <w:r>
        <w:rPr>
          <w:lang w:val="fr-FR"/>
        </w:rPr>
        <w:t>hémorragies corticomédullaires du thymus et la plupart d</w:t>
      </w:r>
      <w:r w:rsidR="004F0AEA">
        <w:rPr>
          <w:lang w:val="fr-FR"/>
        </w:rPr>
        <w:t>’</w:t>
      </w:r>
      <w:r>
        <w:rPr>
          <w:lang w:val="fr-FR"/>
        </w:rPr>
        <w:t>entre elles, soumises à la dose la plus élevée (17,5 mg/kg p.c./jour), présentaient également une déplétion lymphoïde du cortex thymique. Partant, ces deux études suggèrent qu</w:t>
      </w:r>
      <w:r w:rsidR="004F0AEA">
        <w:rPr>
          <w:lang w:val="fr-FR"/>
        </w:rPr>
        <w:t>’</w:t>
      </w:r>
      <w:r>
        <w:rPr>
          <w:lang w:val="fr-FR"/>
        </w:rPr>
        <w:t xml:space="preserve">il conviendrait de considérer le système immunitaire comme un organe cible. </w:t>
      </w:r>
    </w:p>
    <w:p w14:paraId="7101D604" w14:textId="77777777" w:rsidR="00C36E43" w:rsidRPr="001B1F0F" w:rsidRDefault="00C36E43" w:rsidP="001D2FB9">
      <w:pPr>
        <w:pStyle w:val="SingleTxtG"/>
        <w:rPr>
          <w:lang w:val="fr-FR"/>
        </w:rPr>
      </w:pPr>
      <w:r>
        <w:rPr>
          <w:lang w:val="fr-FR"/>
        </w:rPr>
        <w:t xml:space="preserve">Une classification sur la base de critères fondés sur les valeurs indicatives figurant dans les tableaux 3.9.1 et 3.9.2 du SGH est possible pour les effets sur le système nerveux et le système immunitaire. Pour une étude de </w:t>
      </w:r>
      <w:r w:rsidR="00127FF5">
        <w:rPr>
          <w:lang w:val="fr-FR"/>
        </w:rPr>
        <w:t xml:space="preserve">quatre-vingt-dix </w:t>
      </w:r>
      <w:r>
        <w:rPr>
          <w:lang w:val="fr-FR"/>
        </w:rPr>
        <w:t xml:space="preserve">jours sur la toxicité orale chez le rat, la valeur indicative de la dose pour une affectation à la catégorie 1 est inférieure ou égale à 10 mg/kg p.c./jour. Les effets observés sur le thymus (et dans une moindre mesure sur la rate) ainsi que sur le système nerveux dans les deux études de </w:t>
      </w:r>
      <w:proofErr w:type="gramStart"/>
      <w:r w:rsidR="00867252">
        <w:rPr>
          <w:lang w:val="fr-FR"/>
        </w:rPr>
        <w:t xml:space="preserve">quatre-vingt-dix </w:t>
      </w:r>
      <w:r>
        <w:rPr>
          <w:lang w:val="fr-FR"/>
        </w:rPr>
        <w:t>jours réalisées</w:t>
      </w:r>
      <w:proofErr w:type="gramEnd"/>
      <w:r>
        <w:rPr>
          <w:lang w:val="fr-FR"/>
        </w:rPr>
        <w:t xml:space="preserve"> sur des rats (à une dose de 6 mg/kg p.c./jour) justifient une affectation à la catégorie 1 de la classe « toxicité pour certains organes cibles </w:t>
      </w:r>
      <w:r w:rsidR="004E5107">
        <w:rPr>
          <w:lang w:val="fr-FR"/>
        </w:rPr>
        <w:t>−</w:t>
      </w:r>
      <w:r>
        <w:rPr>
          <w:lang w:val="fr-FR"/>
        </w:rPr>
        <w:t xml:space="preserve"> expositions répétées », conformément aux critères du SGH, les organes/systèmes cibles étant le système nerveux central et le système immunitaire.</w:t>
      </w:r>
    </w:p>
    <w:p w14:paraId="6E7C5422" w14:textId="77777777" w:rsidR="001D2FB9" w:rsidRDefault="00C36E43" w:rsidP="001D2FB9">
      <w:pPr>
        <w:pStyle w:val="SingleTxtG"/>
        <w:jc w:val="center"/>
        <w:rPr>
          <w:lang w:val="fr-FR"/>
        </w:rPr>
      </w:pPr>
      <w:r>
        <w:rPr>
          <w:lang w:val="fr-FR"/>
        </w:rPr>
        <w:t>(Fin de l</w:t>
      </w:r>
      <w:r w:rsidR="004F0AEA">
        <w:rPr>
          <w:lang w:val="fr-FR"/>
        </w:rPr>
        <w:t>’</w:t>
      </w:r>
      <w:r>
        <w:rPr>
          <w:lang w:val="fr-FR"/>
        </w:rPr>
        <w:t>exemple 4)</w:t>
      </w:r>
    </w:p>
    <w:p w14:paraId="32B47FC8" w14:textId="77777777" w:rsidR="00C36E43" w:rsidRPr="001B1F0F" w:rsidRDefault="00C36E43" w:rsidP="004E5107">
      <w:pPr>
        <w:pStyle w:val="H1G"/>
        <w:rPr>
          <w:lang w:val="fr-FR"/>
        </w:rPr>
      </w:pPr>
      <w:r>
        <w:rPr>
          <w:lang w:val="fr-FR"/>
        </w:rPr>
        <w:br w:type="page"/>
      </w:r>
      <w:r>
        <w:rPr>
          <w:lang w:val="fr-FR"/>
        </w:rPr>
        <w:lastRenderedPageBreak/>
        <w:tab/>
      </w:r>
      <w:r>
        <w:rPr>
          <w:lang w:val="fr-FR"/>
        </w:rPr>
        <w:tab/>
        <w:t>Exemple 5</w:t>
      </w:r>
    </w:p>
    <w:p w14:paraId="5196F6FE" w14:textId="77777777" w:rsidR="00C36E43" w:rsidRPr="001B1F0F" w:rsidRDefault="00C36E43" w:rsidP="004E5107">
      <w:pPr>
        <w:pStyle w:val="SingleTxtG"/>
        <w:rPr>
          <w:lang w:val="fr-FR"/>
        </w:rPr>
      </w:pPr>
      <w:r>
        <w:rPr>
          <w:lang w:val="fr-FR"/>
        </w:rPr>
        <w:t>Le présent exemple porte sur les critères énoncés aux 3.9.1.1 et 3.9.1.6 ainsi qu</w:t>
      </w:r>
      <w:r w:rsidR="004F0AEA">
        <w:rPr>
          <w:lang w:val="fr-FR"/>
        </w:rPr>
        <w:t>’</w:t>
      </w:r>
      <w:r>
        <w:rPr>
          <w:lang w:val="fr-FR"/>
        </w:rPr>
        <w:t xml:space="preserve">aux 3.8.1.1 et 3.8.1.6 concernant la classification simultanée dans les classes de danger « toxicité pour certains organes cibles </w:t>
      </w:r>
      <w:r w:rsidR="006806C4">
        <w:rPr>
          <w:lang w:val="fr-FR"/>
        </w:rPr>
        <w:t>−</w:t>
      </w:r>
      <w:r>
        <w:rPr>
          <w:lang w:val="fr-FR"/>
        </w:rPr>
        <w:t xml:space="preserve"> expositions répétées » et « toxicité pour certains organes cibles </w:t>
      </w:r>
      <w:r w:rsidR="006806C4">
        <w:rPr>
          <w:lang w:val="fr-FR"/>
        </w:rPr>
        <w:t>− </w:t>
      </w:r>
      <w:r>
        <w:rPr>
          <w:lang w:val="fr-FR"/>
        </w:rPr>
        <w:t>exposition unique », ainsi que dans la classe « toxicité aiguë », pour les effets létaux ou non.</w:t>
      </w:r>
    </w:p>
    <w:p w14:paraId="278E5839" w14:textId="77777777" w:rsidR="00C36E43" w:rsidRPr="001B1F0F" w:rsidRDefault="00C36E43" w:rsidP="004E5107">
      <w:pPr>
        <w:pStyle w:val="H23G"/>
        <w:rPr>
          <w:lang w:val="fr-FR"/>
        </w:rPr>
      </w:pPr>
      <w:r>
        <w:rPr>
          <w:lang w:val="fr-FR"/>
        </w:rPr>
        <w:tab/>
      </w:r>
      <w:r>
        <w:rPr>
          <w:lang w:val="fr-FR"/>
        </w:rPr>
        <w:tab/>
        <w:t>Informations sur la matière 5</w:t>
      </w:r>
    </w:p>
    <w:p w14:paraId="1ADB5668" w14:textId="77777777" w:rsidR="00C36E43" w:rsidRPr="001B1F0F" w:rsidRDefault="00C36E43" w:rsidP="004E5107">
      <w:pPr>
        <w:pStyle w:val="H23G"/>
        <w:rPr>
          <w:i/>
          <w:lang w:val="fr-FR"/>
        </w:rPr>
      </w:pPr>
      <w:r>
        <w:rPr>
          <w:lang w:val="fr-FR"/>
        </w:rPr>
        <w:tab/>
      </w:r>
      <w:r>
        <w:rPr>
          <w:lang w:val="fr-FR"/>
        </w:rPr>
        <w:tab/>
      </w:r>
      <w:r w:rsidRPr="001B1F0F">
        <w:rPr>
          <w:lang w:val="fr-FR"/>
        </w:rPr>
        <w:t>Données</w:t>
      </w:r>
    </w:p>
    <w:p w14:paraId="6B8E8322" w14:textId="77777777" w:rsidR="00C36E43" w:rsidRDefault="00C36E43" w:rsidP="004E5107">
      <w:pPr>
        <w:pStyle w:val="H4G"/>
        <w:rPr>
          <w:lang w:val="fr-FR"/>
        </w:rPr>
      </w:pPr>
      <w:r>
        <w:rPr>
          <w:lang w:val="fr-FR"/>
        </w:rPr>
        <w:tab/>
      </w:r>
      <w:r>
        <w:rPr>
          <w:lang w:val="fr-FR"/>
        </w:rPr>
        <w:tab/>
        <w:t>Données obtenues sur la base d</w:t>
      </w:r>
      <w:r w:rsidR="004F0AEA">
        <w:rPr>
          <w:lang w:val="fr-FR"/>
        </w:rPr>
        <w:t>’</w:t>
      </w:r>
      <w:r>
        <w:rPr>
          <w:lang w:val="fr-FR"/>
        </w:rPr>
        <w:t xml:space="preserve">expérimentations </w:t>
      </w:r>
      <w:r w:rsidR="004E5107">
        <w:rPr>
          <w:lang w:val="fr-FR"/>
        </w:rPr>
        <w:br/>
      </w:r>
      <w:r>
        <w:rPr>
          <w:lang w:val="fr-FR"/>
        </w:rPr>
        <w:t>sur des animaux concernant la toxicité aiguë</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905"/>
        <w:gridCol w:w="3244"/>
        <w:gridCol w:w="2935"/>
      </w:tblGrid>
      <w:tr w:rsidR="00C36E43" w:rsidRPr="00906597" w14:paraId="41D39574" w14:textId="77777777" w:rsidTr="006558AB">
        <w:tc>
          <w:tcPr>
            <w:tcW w:w="1058" w:type="dxa"/>
            <w:shd w:val="clear" w:color="auto" w:fill="auto"/>
          </w:tcPr>
          <w:p w14:paraId="5549A7C3" w14:textId="77777777" w:rsidR="00C36E43" w:rsidRPr="00906597" w:rsidRDefault="004E5107" w:rsidP="006558AB">
            <w:pPr>
              <w:spacing w:after="30" w:line="240" w:lineRule="auto"/>
              <w:jc w:val="center"/>
              <w:rPr>
                <w:rFonts w:eastAsia="Times New Roman"/>
                <w:b/>
                <w:color w:val="000000"/>
                <w:sz w:val="18"/>
                <w:szCs w:val="18"/>
                <w:shd w:val="clear" w:color="auto" w:fill="FFFFFF"/>
              </w:rPr>
            </w:pPr>
            <w:r w:rsidRPr="004E5107">
              <w:rPr>
                <w:rFonts w:eastAsia="Times New Roman"/>
                <w:b/>
                <w:bCs/>
                <w:color w:val="000000"/>
                <w:sz w:val="18"/>
                <w:szCs w:val="18"/>
                <w:shd w:val="clear" w:color="auto" w:fill="FFFFFF"/>
                <w:lang w:val="fr-FR"/>
              </w:rPr>
              <w:t>Voie d</w:t>
            </w:r>
            <w:r w:rsidR="004F0AEA">
              <w:rPr>
                <w:rFonts w:eastAsia="Times New Roman"/>
                <w:b/>
                <w:bCs/>
                <w:color w:val="000000"/>
                <w:sz w:val="18"/>
                <w:szCs w:val="18"/>
                <w:shd w:val="clear" w:color="auto" w:fill="FFFFFF"/>
                <w:lang w:val="fr-FR"/>
              </w:rPr>
              <w:t>’</w:t>
            </w:r>
            <w:r w:rsidRPr="004E5107">
              <w:rPr>
                <w:rFonts w:eastAsia="Times New Roman"/>
                <w:b/>
                <w:bCs/>
                <w:color w:val="000000"/>
                <w:sz w:val="18"/>
                <w:szCs w:val="18"/>
                <w:shd w:val="clear" w:color="auto" w:fill="FFFFFF"/>
                <w:lang w:val="fr-FR"/>
              </w:rPr>
              <w:t>exposition</w:t>
            </w:r>
          </w:p>
        </w:tc>
        <w:tc>
          <w:tcPr>
            <w:tcW w:w="927" w:type="dxa"/>
            <w:shd w:val="clear" w:color="auto" w:fill="auto"/>
          </w:tcPr>
          <w:p w14:paraId="05B5B9C9" w14:textId="77777777" w:rsidR="00C36E43" w:rsidRPr="00906597" w:rsidRDefault="004E5107" w:rsidP="006558AB">
            <w:pPr>
              <w:spacing w:after="30" w:line="240" w:lineRule="auto"/>
              <w:jc w:val="center"/>
              <w:rPr>
                <w:rFonts w:eastAsia="Times New Roman"/>
                <w:b/>
                <w:color w:val="000000"/>
                <w:sz w:val="18"/>
                <w:szCs w:val="18"/>
                <w:shd w:val="clear" w:color="auto" w:fill="FFFFFF"/>
              </w:rPr>
            </w:pPr>
            <w:r>
              <w:rPr>
                <w:rFonts w:eastAsia="Times New Roman"/>
                <w:b/>
                <w:color w:val="000000"/>
                <w:sz w:val="18"/>
                <w:szCs w:val="18"/>
                <w:shd w:val="clear" w:color="auto" w:fill="FFFFFF"/>
              </w:rPr>
              <w:t>Espèces</w:t>
            </w:r>
          </w:p>
        </w:tc>
        <w:tc>
          <w:tcPr>
            <w:tcW w:w="3685" w:type="dxa"/>
            <w:shd w:val="clear" w:color="auto" w:fill="auto"/>
          </w:tcPr>
          <w:p w14:paraId="27A5149C" w14:textId="77777777" w:rsidR="00C36E43" w:rsidRPr="00906597" w:rsidRDefault="004E5107" w:rsidP="006558AB">
            <w:pPr>
              <w:spacing w:after="30" w:line="240" w:lineRule="auto"/>
              <w:jc w:val="center"/>
              <w:rPr>
                <w:rFonts w:eastAsia="Times New Roman"/>
                <w:b/>
                <w:color w:val="000000"/>
                <w:sz w:val="18"/>
                <w:szCs w:val="18"/>
                <w:shd w:val="clear" w:color="auto" w:fill="FFFFFF"/>
              </w:rPr>
            </w:pPr>
            <w:r w:rsidRPr="004E5107">
              <w:rPr>
                <w:rFonts w:eastAsia="Times New Roman"/>
                <w:b/>
                <w:bCs/>
                <w:color w:val="000000"/>
                <w:sz w:val="18"/>
                <w:szCs w:val="18"/>
                <w:shd w:val="clear" w:color="auto" w:fill="FFFFFF"/>
                <w:lang w:val="fr-FR"/>
              </w:rPr>
              <w:t>Valeur de la DL</w:t>
            </w:r>
            <w:r w:rsidRPr="004E5107">
              <w:rPr>
                <w:rFonts w:eastAsia="Times New Roman"/>
                <w:b/>
                <w:bCs/>
                <w:color w:val="000000"/>
                <w:sz w:val="18"/>
                <w:szCs w:val="18"/>
                <w:shd w:val="clear" w:color="auto" w:fill="FFFFFF"/>
                <w:vertAlign w:val="subscript"/>
                <w:lang w:val="fr-FR"/>
              </w:rPr>
              <w:t>50</w:t>
            </w:r>
            <w:r w:rsidRPr="004E5107">
              <w:rPr>
                <w:rFonts w:eastAsia="Times New Roman"/>
                <w:b/>
                <w:bCs/>
                <w:color w:val="000000"/>
                <w:sz w:val="18"/>
                <w:szCs w:val="18"/>
                <w:shd w:val="clear" w:color="auto" w:fill="FFFFFF"/>
                <w:lang w:val="fr-FR"/>
              </w:rPr>
              <w:t>/CL</w:t>
            </w:r>
            <w:r w:rsidRPr="004E5107">
              <w:rPr>
                <w:rFonts w:eastAsia="Times New Roman"/>
                <w:b/>
                <w:bCs/>
                <w:color w:val="000000"/>
                <w:sz w:val="18"/>
                <w:szCs w:val="18"/>
                <w:shd w:val="clear" w:color="auto" w:fill="FFFFFF"/>
                <w:vertAlign w:val="subscript"/>
                <w:lang w:val="fr-FR"/>
              </w:rPr>
              <w:t>50</w:t>
            </w:r>
          </w:p>
        </w:tc>
        <w:tc>
          <w:tcPr>
            <w:tcW w:w="3260" w:type="dxa"/>
            <w:shd w:val="clear" w:color="auto" w:fill="auto"/>
          </w:tcPr>
          <w:p w14:paraId="03146E2E" w14:textId="77777777" w:rsidR="00C36E43" w:rsidRPr="00906597" w:rsidRDefault="00C36E43" w:rsidP="006558AB">
            <w:pPr>
              <w:spacing w:after="30" w:line="240" w:lineRule="auto"/>
              <w:jc w:val="center"/>
              <w:rPr>
                <w:sz w:val="18"/>
                <w:szCs w:val="18"/>
              </w:rPr>
            </w:pPr>
            <w:r w:rsidRPr="00906597">
              <w:rPr>
                <w:rFonts w:eastAsia="Times New Roman"/>
                <w:b/>
                <w:color w:val="000000"/>
                <w:sz w:val="18"/>
                <w:szCs w:val="18"/>
                <w:shd w:val="clear" w:color="auto" w:fill="FFFFFF"/>
              </w:rPr>
              <w:t>Observations</w:t>
            </w:r>
          </w:p>
        </w:tc>
      </w:tr>
      <w:tr w:rsidR="00C36E43" w:rsidRPr="00906597" w14:paraId="50CBC982" w14:textId="77777777" w:rsidTr="006558AB">
        <w:trPr>
          <w:trHeight w:val="256"/>
        </w:trPr>
        <w:tc>
          <w:tcPr>
            <w:tcW w:w="1058" w:type="dxa"/>
            <w:vMerge w:val="restart"/>
            <w:shd w:val="clear" w:color="auto" w:fill="auto"/>
            <w:vAlign w:val="center"/>
          </w:tcPr>
          <w:p w14:paraId="6D196C91" w14:textId="77777777" w:rsidR="00C36E43" w:rsidRPr="00906597" w:rsidRDefault="00C36E43" w:rsidP="001D4D19">
            <w:pPr>
              <w:spacing w:before="60" w:after="60" w:line="240" w:lineRule="auto"/>
              <w:jc w:val="center"/>
              <w:rPr>
                <w:rFonts w:eastAsia="Times New Roman"/>
                <w:color w:val="000000"/>
                <w:sz w:val="18"/>
                <w:szCs w:val="18"/>
                <w:shd w:val="clear" w:color="auto" w:fill="FFFFFF"/>
              </w:rPr>
            </w:pPr>
            <w:r w:rsidRPr="00906597">
              <w:rPr>
                <w:rFonts w:eastAsia="Times New Roman"/>
                <w:color w:val="000000"/>
                <w:sz w:val="18"/>
                <w:szCs w:val="18"/>
                <w:shd w:val="clear" w:color="auto" w:fill="FFFFFF"/>
              </w:rPr>
              <w:t>Oral</w:t>
            </w:r>
            <w:r w:rsidR="004E5107">
              <w:rPr>
                <w:rFonts w:eastAsia="Times New Roman"/>
                <w:color w:val="000000"/>
                <w:sz w:val="18"/>
                <w:szCs w:val="18"/>
                <w:shd w:val="clear" w:color="auto" w:fill="FFFFFF"/>
              </w:rPr>
              <w:t>e</w:t>
            </w:r>
          </w:p>
        </w:tc>
        <w:tc>
          <w:tcPr>
            <w:tcW w:w="927" w:type="dxa"/>
            <w:shd w:val="clear" w:color="auto" w:fill="auto"/>
          </w:tcPr>
          <w:p w14:paraId="0366D6F6" w14:textId="77777777" w:rsidR="00C36E43" w:rsidRPr="00906597" w:rsidRDefault="00C36E43" w:rsidP="001D4D19">
            <w:pPr>
              <w:spacing w:before="60" w:after="60" w:line="240" w:lineRule="auto"/>
              <w:jc w:val="center"/>
              <w:rPr>
                <w:rFonts w:eastAsia="Times New Roman"/>
                <w:color w:val="000000"/>
                <w:sz w:val="18"/>
                <w:szCs w:val="18"/>
                <w:shd w:val="clear" w:color="auto" w:fill="FFFFFF"/>
              </w:rPr>
            </w:pPr>
            <w:r w:rsidRPr="00906597">
              <w:rPr>
                <w:rFonts w:eastAsia="Times New Roman"/>
                <w:color w:val="000000"/>
                <w:sz w:val="18"/>
                <w:szCs w:val="18"/>
                <w:shd w:val="clear" w:color="auto" w:fill="FFFFFF"/>
              </w:rPr>
              <w:t>Rat</w:t>
            </w:r>
          </w:p>
        </w:tc>
        <w:tc>
          <w:tcPr>
            <w:tcW w:w="3685" w:type="dxa"/>
            <w:shd w:val="clear" w:color="auto" w:fill="auto"/>
          </w:tcPr>
          <w:p w14:paraId="1B515E95" w14:textId="77777777" w:rsidR="00C36E43" w:rsidRPr="004E5107" w:rsidRDefault="004E5107" w:rsidP="001D4D19">
            <w:pPr>
              <w:spacing w:before="60" w:after="60" w:line="240" w:lineRule="auto"/>
              <w:rPr>
                <w:rFonts w:eastAsia="Times New Roman"/>
                <w:color w:val="000000"/>
                <w:sz w:val="18"/>
                <w:szCs w:val="18"/>
                <w:shd w:val="clear" w:color="auto" w:fill="FFFFFF"/>
              </w:rPr>
            </w:pPr>
            <w:r w:rsidRPr="004E5107">
              <w:rPr>
                <w:rFonts w:eastAsia="Times New Roman"/>
                <w:color w:val="000000"/>
                <w:sz w:val="18"/>
                <w:szCs w:val="18"/>
                <w:shd w:val="clear" w:color="auto" w:fill="FFFFFF"/>
                <w:lang w:val="fr-FR"/>
              </w:rPr>
              <w:t>Étude 1 (ligne directrice</w:t>
            </w:r>
            <w:r w:rsidR="006806C4">
              <w:rPr>
                <w:rFonts w:eastAsia="Times New Roman"/>
                <w:color w:val="000000"/>
                <w:sz w:val="18"/>
                <w:szCs w:val="18"/>
                <w:shd w:val="clear" w:color="auto" w:fill="FFFFFF"/>
                <w:lang w:val="fr-FR"/>
              </w:rPr>
              <w:t xml:space="preserve"> </w:t>
            </w:r>
            <w:r w:rsidRPr="004E5107">
              <w:rPr>
                <w:rFonts w:eastAsia="Times New Roman"/>
                <w:color w:val="000000"/>
                <w:sz w:val="18"/>
                <w:szCs w:val="18"/>
                <w:shd w:val="clear" w:color="auto" w:fill="FFFFFF"/>
                <w:lang w:val="fr-FR"/>
              </w:rPr>
              <w:t>n</w:t>
            </w:r>
            <w:r w:rsidRPr="004E5107">
              <w:rPr>
                <w:rFonts w:eastAsia="Times New Roman"/>
                <w:color w:val="000000"/>
                <w:sz w:val="18"/>
                <w:szCs w:val="18"/>
                <w:shd w:val="clear" w:color="auto" w:fill="FFFFFF"/>
                <w:vertAlign w:val="superscript"/>
                <w:lang w:val="fr-FR"/>
              </w:rPr>
              <w:t>o</w:t>
            </w:r>
            <w:r w:rsidRPr="004E5107">
              <w:rPr>
                <w:rFonts w:eastAsia="Times New Roman"/>
                <w:color w:val="000000"/>
                <w:sz w:val="18"/>
                <w:szCs w:val="18"/>
                <w:shd w:val="clear" w:color="auto" w:fill="FFFFFF"/>
                <w:lang w:val="fr-FR"/>
              </w:rPr>
              <w:t> 401 de l</w:t>
            </w:r>
            <w:r w:rsidR="004F0AEA">
              <w:rPr>
                <w:rFonts w:eastAsia="Times New Roman"/>
                <w:color w:val="000000"/>
                <w:sz w:val="18"/>
                <w:szCs w:val="18"/>
                <w:shd w:val="clear" w:color="auto" w:fill="FFFFFF"/>
                <w:lang w:val="fr-FR"/>
              </w:rPr>
              <w:t>’</w:t>
            </w:r>
            <w:r w:rsidRPr="004E5107">
              <w:rPr>
                <w:rFonts w:eastAsia="Times New Roman"/>
                <w:color w:val="000000"/>
                <w:sz w:val="18"/>
                <w:szCs w:val="18"/>
                <w:shd w:val="clear" w:color="auto" w:fill="FFFFFF"/>
                <w:lang w:val="fr-FR"/>
              </w:rPr>
              <w:t>OCDE) : 10 % de mortalité pour une dose de matière non diluée de 2 000 mg/kg p.c.</w:t>
            </w:r>
          </w:p>
        </w:tc>
        <w:tc>
          <w:tcPr>
            <w:tcW w:w="3260" w:type="dxa"/>
            <w:shd w:val="clear" w:color="auto" w:fill="auto"/>
          </w:tcPr>
          <w:p w14:paraId="1BA62AFC" w14:textId="77777777" w:rsidR="00C36E43" w:rsidRPr="00906597" w:rsidRDefault="00C36E43" w:rsidP="001D4D19">
            <w:pPr>
              <w:pStyle w:val="Bullet1G"/>
              <w:numPr>
                <w:ilvl w:val="0"/>
                <w:numId w:val="0"/>
              </w:numPr>
              <w:spacing w:before="60" w:after="60" w:line="240" w:lineRule="auto"/>
              <w:ind w:left="193" w:right="172" w:hanging="193"/>
              <w:jc w:val="left"/>
              <w:rPr>
                <w:sz w:val="18"/>
                <w:szCs w:val="18"/>
                <w:shd w:val="clear" w:color="auto" w:fill="FFFFFF"/>
              </w:rPr>
            </w:pPr>
            <w:r w:rsidRPr="00906597">
              <w:rPr>
                <w:sz w:val="18"/>
                <w:szCs w:val="18"/>
              </w:rPr>
              <w:t>•</w:t>
            </w:r>
            <w:r w:rsidRPr="00906597">
              <w:rPr>
                <w:sz w:val="18"/>
                <w:szCs w:val="18"/>
              </w:rPr>
              <w:tab/>
            </w:r>
            <w:r w:rsidR="004E5107" w:rsidRPr="004E5107">
              <w:rPr>
                <w:sz w:val="18"/>
                <w:szCs w:val="18"/>
                <w:shd w:val="clear" w:color="auto" w:fill="FFFFFF"/>
                <w:lang w:val="fr-FR"/>
              </w:rPr>
              <w:t>Signes cliniques de neurotoxicité</w:t>
            </w:r>
          </w:p>
        </w:tc>
      </w:tr>
      <w:tr w:rsidR="00C36E43" w:rsidRPr="004E5107" w14:paraId="44001BF6" w14:textId="77777777" w:rsidTr="006558AB">
        <w:trPr>
          <w:trHeight w:val="440"/>
        </w:trPr>
        <w:tc>
          <w:tcPr>
            <w:tcW w:w="1058" w:type="dxa"/>
            <w:vMerge/>
            <w:shd w:val="clear" w:color="auto" w:fill="auto"/>
          </w:tcPr>
          <w:p w14:paraId="34FE5067" w14:textId="77777777" w:rsidR="00C36E43" w:rsidRPr="00906597" w:rsidRDefault="00C36E43" w:rsidP="001D4D19">
            <w:pPr>
              <w:spacing w:before="60" w:after="60" w:line="240" w:lineRule="auto"/>
              <w:jc w:val="center"/>
              <w:rPr>
                <w:rFonts w:eastAsia="Times New Roman"/>
                <w:color w:val="000000"/>
                <w:sz w:val="18"/>
                <w:szCs w:val="18"/>
                <w:shd w:val="clear" w:color="auto" w:fill="FFFFFF"/>
              </w:rPr>
            </w:pPr>
          </w:p>
        </w:tc>
        <w:tc>
          <w:tcPr>
            <w:tcW w:w="927" w:type="dxa"/>
            <w:shd w:val="clear" w:color="auto" w:fill="auto"/>
          </w:tcPr>
          <w:p w14:paraId="1B5F4089" w14:textId="77777777" w:rsidR="00C36E43" w:rsidRPr="00906597" w:rsidRDefault="00C36E43" w:rsidP="001D4D19">
            <w:pPr>
              <w:spacing w:before="60" w:after="60" w:line="240" w:lineRule="auto"/>
              <w:jc w:val="center"/>
              <w:rPr>
                <w:rFonts w:eastAsia="Times New Roman"/>
                <w:color w:val="000000"/>
                <w:sz w:val="18"/>
                <w:szCs w:val="18"/>
                <w:shd w:val="clear" w:color="auto" w:fill="FFFFFF"/>
              </w:rPr>
            </w:pPr>
            <w:r w:rsidRPr="00906597">
              <w:rPr>
                <w:rFonts w:eastAsia="Times New Roman"/>
                <w:color w:val="000000"/>
                <w:sz w:val="18"/>
                <w:szCs w:val="18"/>
                <w:shd w:val="clear" w:color="auto" w:fill="FFFFFF"/>
              </w:rPr>
              <w:t>Rat</w:t>
            </w:r>
          </w:p>
        </w:tc>
        <w:tc>
          <w:tcPr>
            <w:tcW w:w="3685" w:type="dxa"/>
            <w:shd w:val="clear" w:color="auto" w:fill="auto"/>
          </w:tcPr>
          <w:p w14:paraId="303B7554" w14:textId="77777777" w:rsidR="00C36E43" w:rsidRPr="004E5107" w:rsidRDefault="004E5107" w:rsidP="001D4D19">
            <w:pPr>
              <w:spacing w:before="60" w:after="60" w:line="240" w:lineRule="auto"/>
              <w:rPr>
                <w:rFonts w:eastAsia="Times New Roman"/>
                <w:color w:val="000000"/>
                <w:sz w:val="18"/>
                <w:szCs w:val="18"/>
                <w:shd w:val="clear" w:color="auto" w:fill="FFFFFF"/>
              </w:rPr>
            </w:pPr>
            <w:r w:rsidRPr="004E5107">
              <w:rPr>
                <w:rFonts w:eastAsia="Times New Roman"/>
                <w:color w:val="000000"/>
                <w:sz w:val="18"/>
                <w:szCs w:val="18"/>
                <w:shd w:val="clear" w:color="auto" w:fill="FFFFFF"/>
                <w:lang w:val="fr-FR"/>
              </w:rPr>
              <w:t>Étude 2 (ligne directrice n</w:t>
            </w:r>
            <w:r w:rsidRPr="004E5107">
              <w:rPr>
                <w:rFonts w:eastAsia="Times New Roman"/>
                <w:color w:val="000000"/>
                <w:sz w:val="18"/>
                <w:szCs w:val="18"/>
                <w:shd w:val="clear" w:color="auto" w:fill="FFFFFF"/>
                <w:vertAlign w:val="superscript"/>
                <w:lang w:val="fr-FR"/>
              </w:rPr>
              <w:t>o</w:t>
            </w:r>
            <w:r w:rsidRPr="004E5107">
              <w:rPr>
                <w:rFonts w:eastAsia="Times New Roman"/>
                <w:color w:val="000000"/>
                <w:sz w:val="18"/>
                <w:szCs w:val="18"/>
                <w:shd w:val="clear" w:color="auto" w:fill="FFFFFF"/>
                <w:lang w:val="fr-FR"/>
              </w:rPr>
              <w:t> 424 de l</w:t>
            </w:r>
            <w:r w:rsidR="004F0AEA">
              <w:rPr>
                <w:rFonts w:eastAsia="Times New Roman"/>
                <w:color w:val="000000"/>
                <w:sz w:val="18"/>
                <w:szCs w:val="18"/>
                <w:shd w:val="clear" w:color="auto" w:fill="FFFFFF"/>
                <w:lang w:val="fr-FR"/>
              </w:rPr>
              <w:t>’</w:t>
            </w:r>
            <w:r w:rsidRPr="004E5107">
              <w:rPr>
                <w:rFonts w:eastAsia="Times New Roman"/>
                <w:color w:val="000000"/>
                <w:sz w:val="18"/>
                <w:szCs w:val="18"/>
                <w:shd w:val="clear" w:color="auto" w:fill="FFFFFF"/>
                <w:lang w:val="fr-FR"/>
              </w:rPr>
              <w:t>OCDE sur la neurotoxicité aiguë)</w:t>
            </w:r>
            <w:r w:rsidR="0055086C">
              <w:rPr>
                <w:rFonts w:eastAsia="Times New Roman"/>
                <w:color w:val="000000"/>
                <w:sz w:val="18"/>
                <w:szCs w:val="18"/>
                <w:shd w:val="clear" w:color="auto" w:fill="FFFFFF"/>
                <w:lang w:val="fr-FR"/>
              </w:rPr>
              <w:t> </w:t>
            </w:r>
            <w:r w:rsidRPr="004E5107">
              <w:rPr>
                <w:rFonts w:eastAsia="Times New Roman"/>
                <w:color w:val="000000"/>
                <w:sz w:val="18"/>
                <w:szCs w:val="18"/>
                <w:shd w:val="clear" w:color="auto" w:fill="FFFFFF"/>
                <w:lang w:val="fr-FR"/>
              </w:rPr>
              <w:t>: 20</w:t>
            </w:r>
            <w:r w:rsidR="006806C4">
              <w:rPr>
                <w:rFonts w:eastAsia="Times New Roman"/>
                <w:color w:val="000000"/>
                <w:sz w:val="18"/>
                <w:szCs w:val="18"/>
                <w:shd w:val="clear" w:color="auto" w:fill="FFFFFF"/>
                <w:lang w:val="fr-FR"/>
              </w:rPr>
              <w:t> </w:t>
            </w:r>
            <w:r w:rsidRPr="004E5107">
              <w:rPr>
                <w:rFonts w:eastAsia="Times New Roman"/>
                <w:color w:val="000000"/>
                <w:sz w:val="18"/>
                <w:szCs w:val="18"/>
                <w:shd w:val="clear" w:color="auto" w:fill="FFFFFF"/>
                <w:lang w:val="fr-FR"/>
              </w:rPr>
              <w:t>% de mortalité pour une dose de 100 mg/kg p.c., l</w:t>
            </w:r>
            <w:r w:rsidR="004F0AEA">
              <w:rPr>
                <w:rFonts w:eastAsia="Times New Roman"/>
                <w:color w:val="000000"/>
                <w:sz w:val="18"/>
                <w:szCs w:val="18"/>
                <w:shd w:val="clear" w:color="auto" w:fill="FFFFFF"/>
                <w:lang w:val="fr-FR"/>
              </w:rPr>
              <w:t>’</w:t>
            </w:r>
            <w:r w:rsidRPr="004E5107">
              <w:rPr>
                <w:rFonts w:eastAsia="Times New Roman"/>
                <w:color w:val="000000"/>
                <w:sz w:val="18"/>
                <w:szCs w:val="18"/>
                <w:shd w:val="clear" w:color="auto" w:fill="FFFFFF"/>
                <w:lang w:val="fr-FR"/>
              </w:rPr>
              <w:t>huile de maïs servant de véhicule ; décès imputables à la neurotoxicité</w:t>
            </w:r>
          </w:p>
        </w:tc>
        <w:tc>
          <w:tcPr>
            <w:tcW w:w="3260" w:type="dxa"/>
            <w:shd w:val="clear" w:color="auto" w:fill="auto"/>
          </w:tcPr>
          <w:p w14:paraId="7410DBC6" w14:textId="77777777" w:rsidR="00C36E43" w:rsidRPr="004E5107" w:rsidRDefault="00C36E43" w:rsidP="001D4D19">
            <w:pPr>
              <w:pStyle w:val="Bullet1G"/>
              <w:numPr>
                <w:ilvl w:val="0"/>
                <w:numId w:val="0"/>
              </w:numPr>
              <w:spacing w:before="60" w:after="60" w:line="240" w:lineRule="auto"/>
              <w:ind w:left="193" w:right="172" w:hanging="193"/>
              <w:jc w:val="left"/>
              <w:rPr>
                <w:rFonts w:eastAsia="Times New Roman"/>
                <w:color w:val="000000"/>
                <w:sz w:val="18"/>
                <w:szCs w:val="18"/>
                <w:shd w:val="clear" w:color="auto" w:fill="FFFFFF"/>
              </w:rPr>
            </w:pPr>
            <w:r w:rsidRPr="004E5107">
              <w:rPr>
                <w:rFonts w:eastAsia="Times New Roman"/>
                <w:color w:val="000000"/>
                <w:sz w:val="18"/>
                <w:szCs w:val="18"/>
              </w:rPr>
              <w:t>•</w:t>
            </w:r>
            <w:r w:rsidRPr="004E5107">
              <w:rPr>
                <w:rFonts w:eastAsia="Times New Roman"/>
                <w:color w:val="000000"/>
                <w:sz w:val="18"/>
                <w:szCs w:val="18"/>
              </w:rPr>
              <w:tab/>
            </w:r>
            <w:r w:rsidR="004E5107" w:rsidRPr="004E5107">
              <w:rPr>
                <w:rFonts w:eastAsia="Times New Roman"/>
                <w:color w:val="000000"/>
                <w:sz w:val="18"/>
                <w:szCs w:val="18"/>
                <w:shd w:val="clear" w:color="auto" w:fill="FFFFFF"/>
                <w:lang w:val="fr-FR"/>
              </w:rPr>
              <w:t>100 mg/kg p.c.</w:t>
            </w:r>
            <w:r w:rsidR="0055086C">
              <w:rPr>
                <w:rFonts w:eastAsia="Times New Roman"/>
                <w:color w:val="000000"/>
                <w:sz w:val="18"/>
                <w:szCs w:val="18"/>
                <w:shd w:val="clear" w:color="auto" w:fill="FFFFFF"/>
                <w:lang w:val="fr-FR"/>
              </w:rPr>
              <w:t> </w:t>
            </w:r>
            <w:r w:rsidR="004E5107" w:rsidRPr="004E5107">
              <w:rPr>
                <w:rFonts w:eastAsia="Times New Roman"/>
                <w:color w:val="000000"/>
                <w:sz w:val="18"/>
                <w:szCs w:val="18"/>
                <w:shd w:val="clear" w:color="auto" w:fill="FFFFFF"/>
                <w:lang w:val="fr-FR"/>
              </w:rPr>
              <w:t>: signes cliniques de neurotoxicité</w:t>
            </w:r>
          </w:p>
          <w:p w14:paraId="45CC26FA" w14:textId="77777777" w:rsidR="00C36E43" w:rsidRPr="004E5107" w:rsidRDefault="00C36E43" w:rsidP="001D4D19">
            <w:pPr>
              <w:pStyle w:val="Bullet1G"/>
              <w:numPr>
                <w:ilvl w:val="0"/>
                <w:numId w:val="0"/>
              </w:numPr>
              <w:spacing w:before="60" w:after="60" w:line="240" w:lineRule="auto"/>
              <w:ind w:left="193" w:right="172" w:hanging="193"/>
              <w:jc w:val="left"/>
              <w:rPr>
                <w:rFonts w:eastAsia="Times New Roman"/>
                <w:color w:val="000000"/>
                <w:sz w:val="18"/>
                <w:szCs w:val="18"/>
                <w:shd w:val="clear" w:color="auto" w:fill="FFFFFF"/>
              </w:rPr>
            </w:pPr>
            <w:r w:rsidRPr="004E5107">
              <w:rPr>
                <w:rFonts w:eastAsia="Times New Roman"/>
                <w:color w:val="000000"/>
                <w:sz w:val="18"/>
                <w:szCs w:val="18"/>
              </w:rPr>
              <w:t>•</w:t>
            </w:r>
            <w:r w:rsidRPr="004E5107">
              <w:rPr>
                <w:rFonts w:eastAsia="Times New Roman"/>
                <w:color w:val="000000"/>
                <w:sz w:val="18"/>
                <w:szCs w:val="18"/>
              </w:rPr>
              <w:tab/>
            </w:r>
            <w:r w:rsidR="004E5107" w:rsidRPr="004E5107">
              <w:rPr>
                <w:rFonts w:eastAsia="Times New Roman"/>
                <w:color w:val="000000"/>
                <w:sz w:val="18"/>
                <w:szCs w:val="18"/>
                <w:shd w:val="clear" w:color="auto" w:fill="FFFFFF"/>
                <w:lang w:val="fr-FR"/>
              </w:rPr>
              <w:t>À la dose la plus faible (50 mg/kg p.c.), effets neurologiques moins graves observés, et ce seulement chez certains animaux ; aucun décès constaté</w:t>
            </w:r>
          </w:p>
        </w:tc>
      </w:tr>
      <w:tr w:rsidR="00C36E43" w:rsidRPr="004E5107" w14:paraId="33A43110" w14:textId="77777777" w:rsidTr="006558AB">
        <w:trPr>
          <w:trHeight w:val="440"/>
        </w:trPr>
        <w:tc>
          <w:tcPr>
            <w:tcW w:w="1058" w:type="dxa"/>
            <w:vMerge/>
            <w:shd w:val="clear" w:color="auto" w:fill="auto"/>
          </w:tcPr>
          <w:p w14:paraId="533D8FB9" w14:textId="77777777" w:rsidR="00C36E43" w:rsidRPr="004E5107" w:rsidRDefault="00C36E43" w:rsidP="001D4D19">
            <w:pPr>
              <w:spacing w:before="60" w:after="60" w:line="240" w:lineRule="auto"/>
              <w:jc w:val="center"/>
              <w:rPr>
                <w:rFonts w:eastAsia="Times New Roman"/>
                <w:color w:val="000000"/>
                <w:sz w:val="18"/>
                <w:szCs w:val="18"/>
                <w:shd w:val="clear" w:color="auto" w:fill="FFFFFF"/>
              </w:rPr>
            </w:pPr>
          </w:p>
        </w:tc>
        <w:tc>
          <w:tcPr>
            <w:tcW w:w="927" w:type="dxa"/>
            <w:shd w:val="clear" w:color="auto" w:fill="auto"/>
          </w:tcPr>
          <w:p w14:paraId="7BBF807F" w14:textId="77777777" w:rsidR="00C36E43" w:rsidRPr="00906597" w:rsidRDefault="004E5107" w:rsidP="001D4D19">
            <w:pPr>
              <w:spacing w:before="60" w:after="60" w:line="240" w:lineRule="auto"/>
              <w:jc w:val="center"/>
              <w:rPr>
                <w:rFonts w:eastAsia="Times New Roman"/>
                <w:color w:val="000000"/>
                <w:sz w:val="18"/>
                <w:szCs w:val="18"/>
                <w:shd w:val="clear" w:color="auto" w:fill="FFFFFF"/>
              </w:rPr>
            </w:pPr>
            <w:r>
              <w:rPr>
                <w:rFonts w:eastAsia="Times New Roman"/>
                <w:color w:val="000000"/>
                <w:sz w:val="18"/>
                <w:szCs w:val="18"/>
                <w:shd w:val="clear" w:color="auto" w:fill="FFFFFF"/>
              </w:rPr>
              <w:t>Souris</w:t>
            </w:r>
          </w:p>
        </w:tc>
        <w:tc>
          <w:tcPr>
            <w:tcW w:w="3685" w:type="dxa"/>
            <w:shd w:val="clear" w:color="auto" w:fill="auto"/>
          </w:tcPr>
          <w:p w14:paraId="7CB19599" w14:textId="77777777" w:rsidR="00C36E43" w:rsidRPr="004E5107" w:rsidRDefault="004E5107" w:rsidP="001D4D19">
            <w:pPr>
              <w:spacing w:before="60" w:after="60" w:line="240" w:lineRule="auto"/>
              <w:rPr>
                <w:rFonts w:eastAsia="Times New Roman"/>
                <w:color w:val="000000"/>
                <w:sz w:val="18"/>
                <w:szCs w:val="18"/>
                <w:shd w:val="clear" w:color="auto" w:fill="FFFFFF"/>
              </w:rPr>
            </w:pPr>
            <w:r w:rsidRPr="004E5107">
              <w:rPr>
                <w:rFonts w:eastAsia="Times New Roman"/>
                <w:color w:val="000000"/>
                <w:sz w:val="18"/>
                <w:szCs w:val="18"/>
                <w:shd w:val="clear" w:color="auto" w:fill="FFFFFF"/>
                <w:lang w:val="fr-FR"/>
              </w:rPr>
              <w:t>Étude 3 (étude d</w:t>
            </w:r>
            <w:r w:rsidR="004F0AEA">
              <w:rPr>
                <w:rFonts w:eastAsia="Times New Roman"/>
                <w:color w:val="000000"/>
                <w:sz w:val="18"/>
                <w:szCs w:val="18"/>
                <w:shd w:val="clear" w:color="auto" w:fill="FFFFFF"/>
                <w:lang w:val="fr-FR"/>
              </w:rPr>
              <w:t>’</w:t>
            </w:r>
            <w:r w:rsidRPr="004E5107">
              <w:rPr>
                <w:rFonts w:eastAsia="Times New Roman"/>
                <w:color w:val="000000"/>
                <w:sz w:val="18"/>
                <w:szCs w:val="18"/>
                <w:shd w:val="clear" w:color="auto" w:fill="FFFFFF"/>
                <w:lang w:val="fr-FR"/>
              </w:rPr>
              <w:t>orientation concernant le micronoyau)</w:t>
            </w:r>
            <w:r w:rsidR="0055086C">
              <w:rPr>
                <w:rFonts w:eastAsia="Times New Roman"/>
                <w:color w:val="000000"/>
                <w:sz w:val="18"/>
                <w:szCs w:val="18"/>
                <w:shd w:val="clear" w:color="auto" w:fill="FFFFFF"/>
                <w:lang w:val="fr-FR"/>
              </w:rPr>
              <w:t> </w:t>
            </w:r>
            <w:r w:rsidRPr="004E5107">
              <w:rPr>
                <w:rFonts w:eastAsia="Times New Roman"/>
                <w:color w:val="000000"/>
                <w:sz w:val="18"/>
                <w:szCs w:val="18"/>
                <w:shd w:val="clear" w:color="auto" w:fill="FFFFFF"/>
                <w:lang w:val="fr-FR"/>
              </w:rPr>
              <w:t>: 20</w:t>
            </w:r>
            <w:r w:rsidR="006806C4">
              <w:rPr>
                <w:rFonts w:eastAsia="Times New Roman"/>
                <w:color w:val="000000"/>
                <w:sz w:val="18"/>
                <w:szCs w:val="18"/>
                <w:shd w:val="clear" w:color="auto" w:fill="FFFFFF"/>
                <w:lang w:val="fr-FR"/>
              </w:rPr>
              <w:t> </w:t>
            </w:r>
            <w:r w:rsidRPr="004E5107">
              <w:rPr>
                <w:rFonts w:eastAsia="Times New Roman"/>
                <w:color w:val="000000"/>
                <w:sz w:val="18"/>
                <w:szCs w:val="18"/>
                <w:shd w:val="clear" w:color="auto" w:fill="FFFFFF"/>
                <w:lang w:val="fr-FR"/>
              </w:rPr>
              <w:t>% de mortalité pour une dose de 60 mg/kg p.c., l</w:t>
            </w:r>
            <w:r w:rsidR="004F0AEA">
              <w:rPr>
                <w:rFonts w:eastAsia="Times New Roman"/>
                <w:color w:val="000000"/>
                <w:sz w:val="18"/>
                <w:szCs w:val="18"/>
                <w:shd w:val="clear" w:color="auto" w:fill="FFFFFF"/>
                <w:lang w:val="fr-FR"/>
              </w:rPr>
              <w:t>’</w:t>
            </w:r>
            <w:r w:rsidRPr="004E5107">
              <w:rPr>
                <w:rFonts w:eastAsia="Times New Roman"/>
                <w:color w:val="000000"/>
                <w:sz w:val="18"/>
                <w:szCs w:val="18"/>
                <w:shd w:val="clear" w:color="auto" w:fill="FFFFFF"/>
                <w:lang w:val="fr-FR"/>
              </w:rPr>
              <w:t>huile de maïs servant de véhicule</w:t>
            </w:r>
          </w:p>
        </w:tc>
        <w:tc>
          <w:tcPr>
            <w:tcW w:w="3260" w:type="dxa"/>
            <w:shd w:val="clear" w:color="auto" w:fill="auto"/>
          </w:tcPr>
          <w:p w14:paraId="43C50C63" w14:textId="77777777" w:rsidR="00C36E43" w:rsidRPr="004E5107" w:rsidRDefault="00C36E43" w:rsidP="001D4D19">
            <w:pPr>
              <w:pStyle w:val="Bullet1G"/>
              <w:numPr>
                <w:ilvl w:val="0"/>
                <w:numId w:val="0"/>
              </w:numPr>
              <w:spacing w:before="60" w:after="60" w:line="240" w:lineRule="auto"/>
              <w:ind w:left="193" w:right="172" w:hanging="193"/>
              <w:jc w:val="left"/>
              <w:rPr>
                <w:rFonts w:eastAsia="Times New Roman"/>
                <w:color w:val="000000"/>
                <w:sz w:val="18"/>
                <w:szCs w:val="18"/>
                <w:shd w:val="clear" w:color="auto" w:fill="FFFFFF"/>
              </w:rPr>
            </w:pPr>
            <w:r w:rsidRPr="004E5107">
              <w:rPr>
                <w:rFonts w:eastAsia="Times New Roman"/>
                <w:color w:val="000000"/>
                <w:sz w:val="18"/>
                <w:szCs w:val="18"/>
              </w:rPr>
              <w:t>•</w:t>
            </w:r>
            <w:r w:rsidRPr="004E5107">
              <w:rPr>
                <w:rFonts w:eastAsia="Times New Roman"/>
                <w:color w:val="000000"/>
                <w:sz w:val="18"/>
                <w:szCs w:val="18"/>
              </w:rPr>
              <w:tab/>
            </w:r>
            <w:r w:rsidR="004E5107" w:rsidRPr="004E5107">
              <w:rPr>
                <w:rFonts w:eastAsia="Times New Roman"/>
                <w:color w:val="000000"/>
                <w:sz w:val="18"/>
                <w:szCs w:val="18"/>
                <w:shd w:val="clear" w:color="auto" w:fill="FFFFFF"/>
                <w:lang w:val="fr-FR"/>
              </w:rPr>
              <w:t>60 mg/kg p.c. : tremblements</w:t>
            </w:r>
          </w:p>
          <w:p w14:paraId="79790AE7" w14:textId="77777777" w:rsidR="00C36E43" w:rsidRPr="004E5107" w:rsidRDefault="00C36E43" w:rsidP="001D4D19">
            <w:pPr>
              <w:pStyle w:val="Bullet1G"/>
              <w:numPr>
                <w:ilvl w:val="0"/>
                <w:numId w:val="0"/>
              </w:numPr>
              <w:spacing w:before="60" w:after="60" w:line="240" w:lineRule="auto"/>
              <w:ind w:left="193" w:right="172" w:hanging="193"/>
              <w:jc w:val="left"/>
              <w:rPr>
                <w:rFonts w:eastAsia="Times New Roman"/>
                <w:color w:val="000000"/>
                <w:sz w:val="18"/>
                <w:szCs w:val="18"/>
                <w:shd w:val="clear" w:color="auto" w:fill="FFFFFF"/>
              </w:rPr>
            </w:pPr>
            <w:r w:rsidRPr="004E5107">
              <w:rPr>
                <w:rFonts w:eastAsia="Times New Roman"/>
                <w:color w:val="000000"/>
                <w:sz w:val="18"/>
                <w:szCs w:val="18"/>
              </w:rPr>
              <w:t>•</w:t>
            </w:r>
            <w:r w:rsidRPr="004E5107">
              <w:rPr>
                <w:rFonts w:eastAsia="Times New Roman"/>
                <w:color w:val="000000"/>
                <w:sz w:val="18"/>
                <w:szCs w:val="18"/>
              </w:rPr>
              <w:tab/>
            </w:r>
            <w:r w:rsidR="004E5107" w:rsidRPr="004E5107">
              <w:rPr>
                <w:rFonts w:eastAsia="Times New Roman"/>
                <w:color w:val="000000"/>
                <w:sz w:val="18"/>
                <w:szCs w:val="18"/>
                <w:shd w:val="clear" w:color="auto" w:fill="FFFFFF"/>
                <w:lang w:val="fr-FR"/>
              </w:rPr>
              <w:t>Doses plus faibles : aucun signe clinique</w:t>
            </w:r>
          </w:p>
        </w:tc>
      </w:tr>
      <w:tr w:rsidR="00C36E43" w:rsidRPr="00B803B0" w14:paraId="73EE3A85" w14:textId="77777777" w:rsidTr="006558AB">
        <w:trPr>
          <w:trHeight w:val="440"/>
        </w:trPr>
        <w:tc>
          <w:tcPr>
            <w:tcW w:w="1058" w:type="dxa"/>
            <w:shd w:val="clear" w:color="auto" w:fill="auto"/>
            <w:vAlign w:val="center"/>
          </w:tcPr>
          <w:p w14:paraId="3CFAF114" w14:textId="77777777" w:rsidR="00C36E43" w:rsidRPr="00906597" w:rsidRDefault="004E5107" w:rsidP="001D4D19">
            <w:pPr>
              <w:spacing w:before="60" w:after="60" w:line="240" w:lineRule="auto"/>
              <w:jc w:val="center"/>
              <w:rPr>
                <w:rFonts w:eastAsia="Times New Roman"/>
                <w:color w:val="000000"/>
                <w:sz w:val="18"/>
                <w:szCs w:val="18"/>
                <w:shd w:val="clear" w:color="auto" w:fill="FFFFFF"/>
              </w:rPr>
            </w:pPr>
            <w:r w:rsidRPr="004E5107">
              <w:rPr>
                <w:rFonts w:eastAsia="Times New Roman"/>
                <w:color w:val="000000"/>
                <w:sz w:val="18"/>
                <w:szCs w:val="18"/>
                <w:shd w:val="clear" w:color="auto" w:fill="FFFFFF"/>
                <w:lang w:val="fr-FR"/>
              </w:rPr>
              <w:t>Inhalation (poussières/brouillard)</w:t>
            </w:r>
          </w:p>
        </w:tc>
        <w:tc>
          <w:tcPr>
            <w:tcW w:w="927" w:type="dxa"/>
            <w:shd w:val="clear" w:color="auto" w:fill="auto"/>
          </w:tcPr>
          <w:p w14:paraId="01FF63F0" w14:textId="77777777" w:rsidR="00C36E43" w:rsidRPr="00906597" w:rsidRDefault="00C36E43" w:rsidP="001D4D19">
            <w:pPr>
              <w:spacing w:before="60" w:after="60" w:line="240" w:lineRule="auto"/>
              <w:jc w:val="center"/>
              <w:rPr>
                <w:rFonts w:eastAsia="Times New Roman"/>
                <w:color w:val="000000"/>
                <w:sz w:val="18"/>
                <w:szCs w:val="18"/>
                <w:shd w:val="clear" w:color="auto" w:fill="FFFFFF"/>
              </w:rPr>
            </w:pPr>
            <w:r w:rsidRPr="00906597">
              <w:rPr>
                <w:rFonts w:eastAsia="Times New Roman"/>
                <w:color w:val="000000"/>
                <w:sz w:val="18"/>
                <w:szCs w:val="18"/>
                <w:shd w:val="clear" w:color="auto" w:fill="FFFFFF"/>
              </w:rPr>
              <w:t>Rat</w:t>
            </w:r>
          </w:p>
        </w:tc>
        <w:tc>
          <w:tcPr>
            <w:tcW w:w="3685" w:type="dxa"/>
            <w:shd w:val="clear" w:color="auto" w:fill="auto"/>
          </w:tcPr>
          <w:p w14:paraId="3DA98F3B" w14:textId="77777777" w:rsidR="004E5107" w:rsidRPr="004E5107" w:rsidRDefault="004E5107" w:rsidP="001D4D19">
            <w:pPr>
              <w:spacing w:before="60" w:after="60" w:line="240" w:lineRule="auto"/>
              <w:rPr>
                <w:rFonts w:eastAsia="Times New Roman"/>
                <w:color w:val="000000"/>
                <w:sz w:val="18"/>
                <w:szCs w:val="18"/>
                <w:shd w:val="clear" w:color="auto" w:fill="FFFFFF"/>
                <w:lang w:val="fr-FR"/>
              </w:rPr>
            </w:pPr>
            <w:r w:rsidRPr="004E5107">
              <w:rPr>
                <w:rFonts w:eastAsia="Times New Roman"/>
                <w:color w:val="000000"/>
                <w:sz w:val="18"/>
                <w:szCs w:val="18"/>
                <w:shd w:val="clear" w:color="auto" w:fill="FFFFFF"/>
                <w:lang w:val="fr-FR"/>
              </w:rPr>
              <w:t>Essai conforme à la ligne directrice n</w:t>
            </w:r>
            <w:r w:rsidRPr="004E5107">
              <w:rPr>
                <w:rFonts w:eastAsia="Times New Roman"/>
                <w:color w:val="000000"/>
                <w:sz w:val="18"/>
                <w:szCs w:val="18"/>
                <w:shd w:val="clear" w:color="auto" w:fill="FFFFFF"/>
                <w:vertAlign w:val="superscript"/>
                <w:lang w:val="fr-FR"/>
              </w:rPr>
              <w:t>o</w:t>
            </w:r>
            <w:r w:rsidRPr="004E5107">
              <w:rPr>
                <w:rFonts w:eastAsia="Times New Roman"/>
                <w:color w:val="000000"/>
                <w:sz w:val="18"/>
                <w:szCs w:val="18"/>
                <w:shd w:val="clear" w:color="auto" w:fill="FFFFFF"/>
                <w:lang w:val="fr-FR"/>
              </w:rPr>
              <w:t> 402 de l</w:t>
            </w:r>
            <w:r w:rsidR="004F0AEA">
              <w:rPr>
                <w:rFonts w:eastAsia="Times New Roman"/>
                <w:color w:val="000000"/>
                <w:sz w:val="18"/>
                <w:szCs w:val="18"/>
                <w:shd w:val="clear" w:color="auto" w:fill="FFFFFF"/>
                <w:lang w:val="fr-FR"/>
              </w:rPr>
              <w:t>’</w:t>
            </w:r>
            <w:r w:rsidRPr="004E5107">
              <w:rPr>
                <w:rFonts w:eastAsia="Times New Roman"/>
                <w:color w:val="000000"/>
                <w:sz w:val="18"/>
                <w:szCs w:val="18"/>
                <w:shd w:val="clear" w:color="auto" w:fill="FFFFFF"/>
                <w:lang w:val="fr-FR"/>
              </w:rPr>
              <w:t>OCDE (quatre heures à l</w:t>
            </w:r>
            <w:r w:rsidR="004F0AEA">
              <w:rPr>
                <w:rFonts w:eastAsia="Times New Roman"/>
                <w:color w:val="000000"/>
                <w:sz w:val="18"/>
                <w:szCs w:val="18"/>
                <w:shd w:val="clear" w:color="auto" w:fill="FFFFFF"/>
                <w:lang w:val="fr-FR"/>
              </w:rPr>
              <w:t>’</w:t>
            </w:r>
            <w:r w:rsidRPr="004E5107">
              <w:rPr>
                <w:rFonts w:eastAsia="Times New Roman"/>
                <w:color w:val="000000"/>
                <w:sz w:val="18"/>
                <w:szCs w:val="18"/>
                <w:shd w:val="clear" w:color="auto" w:fill="FFFFFF"/>
                <w:lang w:val="fr-FR"/>
              </w:rPr>
              <w:t>aide d</w:t>
            </w:r>
            <w:r w:rsidR="004F0AEA">
              <w:rPr>
                <w:rFonts w:eastAsia="Times New Roman"/>
                <w:color w:val="000000"/>
                <w:sz w:val="18"/>
                <w:szCs w:val="18"/>
                <w:shd w:val="clear" w:color="auto" w:fill="FFFFFF"/>
                <w:lang w:val="fr-FR"/>
              </w:rPr>
              <w:t>’</w:t>
            </w:r>
            <w:r w:rsidRPr="004E5107">
              <w:rPr>
                <w:rFonts w:eastAsia="Times New Roman"/>
                <w:color w:val="000000"/>
                <w:sz w:val="18"/>
                <w:szCs w:val="18"/>
                <w:shd w:val="clear" w:color="auto" w:fill="FFFFFF"/>
                <w:lang w:val="fr-FR"/>
              </w:rPr>
              <w:t>un brouillard)</w:t>
            </w:r>
            <w:r w:rsidR="004633F2">
              <w:rPr>
                <w:rFonts w:eastAsia="Times New Roman"/>
                <w:color w:val="000000"/>
                <w:sz w:val="18"/>
                <w:szCs w:val="18"/>
                <w:shd w:val="clear" w:color="auto" w:fill="FFFFFF"/>
                <w:lang w:val="fr-FR"/>
              </w:rPr>
              <w:t> </w:t>
            </w:r>
            <w:r w:rsidRPr="004E5107">
              <w:rPr>
                <w:rFonts w:eastAsia="Times New Roman"/>
                <w:color w:val="000000"/>
                <w:sz w:val="18"/>
                <w:szCs w:val="18"/>
                <w:shd w:val="clear" w:color="auto" w:fill="FFFFFF"/>
                <w:lang w:val="fr-FR"/>
              </w:rPr>
              <w:t>:</w:t>
            </w:r>
          </w:p>
          <w:p w14:paraId="2CE8A83F" w14:textId="77777777" w:rsidR="004E5107" w:rsidRPr="004E5107" w:rsidRDefault="004E5107" w:rsidP="001D4D19">
            <w:pPr>
              <w:spacing w:before="60" w:after="60" w:line="240" w:lineRule="auto"/>
              <w:rPr>
                <w:rFonts w:eastAsia="Times New Roman"/>
                <w:color w:val="000000"/>
                <w:sz w:val="18"/>
                <w:szCs w:val="18"/>
                <w:shd w:val="clear" w:color="auto" w:fill="FFFFFF"/>
                <w:lang w:val="fr-FR"/>
              </w:rPr>
            </w:pPr>
            <w:r w:rsidRPr="004E5107">
              <w:rPr>
                <w:rFonts w:eastAsia="Times New Roman"/>
                <w:color w:val="000000"/>
                <w:sz w:val="18"/>
                <w:szCs w:val="18"/>
                <w:shd w:val="clear" w:color="auto" w:fill="FFFFFF"/>
                <w:lang w:val="fr-FR"/>
              </w:rPr>
              <w:t>0,5 mg/L</w:t>
            </w:r>
            <w:r w:rsidR="0055086C">
              <w:rPr>
                <w:rFonts w:eastAsia="Times New Roman"/>
                <w:color w:val="000000"/>
                <w:sz w:val="18"/>
                <w:szCs w:val="18"/>
                <w:shd w:val="clear" w:color="auto" w:fill="FFFFFF"/>
                <w:lang w:val="fr-FR"/>
              </w:rPr>
              <w:t> </w:t>
            </w:r>
            <w:r w:rsidRPr="004E5107">
              <w:rPr>
                <w:rFonts w:eastAsia="Times New Roman"/>
                <w:color w:val="000000"/>
                <w:sz w:val="18"/>
                <w:szCs w:val="18"/>
                <w:shd w:val="clear" w:color="auto" w:fill="FFFFFF"/>
                <w:lang w:val="fr-FR"/>
              </w:rPr>
              <w:t>: pas de décès</w:t>
            </w:r>
          </w:p>
          <w:p w14:paraId="748B533F" w14:textId="77777777" w:rsidR="004E5107" w:rsidRPr="004E5107" w:rsidRDefault="004E5107" w:rsidP="001D4D19">
            <w:pPr>
              <w:spacing w:before="60" w:after="60" w:line="240" w:lineRule="auto"/>
              <w:rPr>
                <w:rFonts w:eastAsia="Times New Roman"/>
                <w:color w:val="000000"/>
                <w:sz w:val="18"/>
                <w:szCs w:val="18"/>
                <w:shd w:val="clear" w:color="auto" w:fill="FFFFFF"/>
                <w:lang w:val="fr-FR"/>
              </w:rPr>
            </w:pPr>
            <w:r w:rsidRPr="004E5107">
              <w:rPr>
                <w:rFonts w:eastAsia="Times New Roman"/>
                <w:color w:val="000000"/>
                <w:sz w:val="18"/>
                <w:szCs w:val="18"/>
                <w:shd w:val="clear" w:color="auto" w:fill="FFFFFF"/>
                <w:lang w:val="fr-FR"/>
              </w:rPr>
              <w:t>1,0 mg/L</w:t>
            </w:r>
            <w:r w:rsidR="0055086C">
              <w:rPr>
                <w:rFonts w:eastAsia="Times New Roman"/>
                <w:color w:val="000000"/>
                <w:sz w:val="18"/>
                <w:szCs w:val="18"/>
                <w:shd w:val="clear" w:color="auto" w:fill="FFFFFF"/>
                <w:lang w:val="fr-FR"/>
              </w:rPr>
              <w:t> </w:t>
            </w:r>
            <w:r w:rsidRPr="004E5107">
              <w:rPr>
                <w:rFonts w:eastAsia="Times New Roman"/>
                <w:color w:val="000000"/>
                <w:sz w:val="18"/>
                <w:szCs w:val="18"/>
                <w:shd w:val="clear" w:color="auto" w:fill="FFFFFF"/>
                <w:lang w:val="fr-FR"/>
              </w:rPr>
              <w:t>: pas de décès</w:t>
            </w:r>
          </w:p>
          <w:p w14:paraId="20059A57" w14:textId="77777777" w:rsidR="00C36E43" w:rsidRPr="00906597" w:rsidRDefault="004E5107" w:rsidP="001D4D19">
            <w:pPr>
              <w:spacing w:before="60" w:after="60" w:line="240" w:lineRule="auto"/>
              <w:rPr>
                <w:rFonts w:eastAsia="Times New Roman"/>
                <w:color w:val="000000"/>
                <w:sz w:val="18"/>
                <w:szCs w:val="18"/>
                <w:shd w:val="clear" w:color="auto" w:fill="FFFFFF"/>
              </w:rPr>
            </w:pPr>
            <w:r w:rsidRPr="004E5107">
              <w:rPr>
                <w:rFonts w:eastAsia="Times New Roman"/>
                <w:color w:val="000000"/>
                <w:sz w:val="18"/>
                <w:szCs w:val="18"/>
                <w:shd w:val="clear" w:color="auto" w:fill="FFFFFF"/>
                <w:lang w:val="fr-FR"/>
              </w:rPr>
              <w:t>2,0 mg/L</w:t>
            </w:r>
            <w:r w:rsidR="0055086C">
              <w:rPr>
                <w:rFonts w:eastAsia="Times New Roman"/>
                <w:color w:val="000000"/>
                <w:sz w:val="18"/>
                <w:szCs w:val="18"/>
                <w:shd w:val="clear" w:color="auto" w:fill="FFFFFF"/>
                <w:lang w:val="fr-FR"/>
              </w:rPr>
              <w:t> </w:t>
            </w:r>
            <w:r w:rsidRPr="004E5107">
              <w:rPr>
                <w:rFonts w:eastAsia="Times New Roman"/>
                <w:color w:val="000000"/>
                <w:sz w:val="18"/>
                <w:szCs w:val="18"/>
                <w:shd w:val="clear" w:color="auto" w:fill="FFFFFF"/>
                <w:lang w:val="fr-FR"/>
              </w:rPr>
              <w:t>: 100 % de décès</w:t>
            </w:r>
          </w:p>
        </w:tc>
        <w:tc>
          <w:tcPr>
            <w:tcW w:w="3260" w:type="dxa"/>
            <w:shd w:val="clear" w:color="auto" w:fill="auto"/>
          </w:tcPr>
          <w:p w14:paraId="11FEB83A" w14:textId="77777777" w:rsidR="00C36E43" w:rsidRPr="00B803B0" w:rsidRDefault="00C36E43" w:rsidP="001D4D19">
            <w:pPr>
              <w:pStyle w:val="Bullet1G"/>
              <w:numPr>
                <w:ilvl w:val="0"/>
                <w:numId w:val="0"/>
              </w:numPr>
              <w:spacing w:before="60" w:after="60" w:line="240" w:lineRule="auto"/>
              <w:ind w:left="193" w:right="172" w:hanging="193"/>
              <w:jc w:val="left"/>
              <w:rPr>
                <w:rFonts w:eastAsia="Times New Roman"/>
                <w:color w:val="000000"/>
                <w:sz w:val="18"/>
                <w:szCs w:val="18"/>
                <w:shd w:val="clear" w:color="auto" w:fill="FFFFFF"/>
              </w:rPr>
            </w:pPr>
            <w:r w:rsidRPr="00B803B0">
              <w:rPr>
                <w:rFonts w:eastAsia="Times New Roman"/>
                <w:color w:val="000000"/>
                <w:sz w:val="18"/>
                <w:szCs w:val="18"/>
              </w:rPr>
              <w:t>•</w:t>
            </w:r>
            <w:r w:rsidRPr="00B803B0">
              <w:rPr>
                <w:rFonts w:eastAsia="Times New Roman"/>
                <w:color w:val="000000"/>
                <w:sz w:val="18"/>
                <w:szCs w:val="18"/>
              </w:rPr>
              <w:tab/>
            </w:r>
            <w:r w:rsidR="004E5107" w:rsidRPr="004E5107">
              <w:rPr>
                <w:rFonts w:eastAsia="Times New Roman"/>
                <w:color w:val="000000"/>
                <w:sz w:val="18"/>
                <w:szCs w:val="18"/>
                <w:shd w:val="clear" w:color="auto" w:fill="FFFFFF"/>
                <w:lang w:val="fr-FR"/>
              </w:rPr>
              <w:t>0,5 mg/L et plus : signes cliniques de neurotoxicité</w:t>
            </w:r>
          </w:p>
        </w:tc>
      </w:tr>
    </w:tbl>
    <w:p w14:paraId="1547FC07" w14:textId="77777777" w:rsidR="00C36E43" w:rsidRPr="001B1F0F" w:rsidRDefault="00C36E43" w:rsidP="00B803B0">
      <w:pPr>
        <w:pStyle w:val="H4G"/>
        <w:rPr>
          <w:shd w:val="clear" w:color="auto" w:fill="FFFFFF"/>
          <w:lang w:val="fr-FR"/>
        </w:rPr>
      </w:pPr>
      <w:r w:rsidRPr="004E5107">
        <w:tab/>
      </w:r>
      <w:r w:rsidRPr="004E5107">
        <w:tab/>
      </w:r>
      <w:r>
        <w:rPr>
          <w:lang w:val="fr-FR"/>
        </w:rPr>
        <w:t>Données obtenues sur la base d</w:t>
      </w:r>
      <w:r w:rsidR="004F0AEA">
        <w:rPr>
          <w:lang w:val="fr-FR"/>
        </w:rPr>
        <w:t>’</w:t>
      </w:r>
      <w:r>
        <w:rPr>
          <w:lang w:val="fr-FR"/>
        </w:rPr>
        <w:t xml:space="preserve">expérimentations sur des animaux </w:t>
      </w:r>
      <w:r w:rsidR="00B803B0">
        <w:rPr>
          <w:lang w:val="fr-FR"/>
        </w:rPr>
        <w:br/>
      </w:r>
      <w:r>
        <w:rPr>
          <w:lang w:val="fr-FR"/>
        </w:rPr>
        <w:t>concernant la toxicité à la suite d</w:t>
      </w:r>
      <w:r w:rsidR="004F0AEA">
        <w:rPr>
          <w:lang w:val="fr-FR"/>
        </w:rPr>
        <w:t>’</w:t>
      </w:r>
      <w:r>
        <w:rPr>
          <w:lang w:val="fr-FR"/>
        </w:rPr>
        <w:t>expositions répétées</w:t>
      </w:r>
    </w:p>
    <w:p w14:paraId="059C47D4" w14:textId="77777777" w:rsidR="00C36E43" w:rsidRPr="001B1F0F" w:rsidRDefault="00C36E43" w:rsidP="000F26E2">
      <w:pPr>
        <w:pStyle w:val="SingleTxtG"/>
        <w:rPr>
          <w:b/>
          <w:lang w:val="fr-FR"/>
        </w:rPr>
      </w:pPr>
      <w:r w:rsidRPr="001B1F0F">
        <w:rPr>
          <w:lang w:val="fr-FR"/>
        </w:rPr>
        <w:t>a)</w:t>
      </w:r>
      <w:r w:rsidRPr="001B1F0F">
        <w:rPr>
          <w:lang w:val="fr-FR"/>
        </w:rPr>
        <w:tab/>
        <w:t>Voie d</w:t>
      </w:r>
      <w:r w:rsidR="004F0AEA">
        <w:rPr>
          <w:lang w:val="fr-FR"/>
        </w:rPr>
        <w:t>’</w:t>
      </w:r>
      <w:r w:rsidRPr="001B1F0F">
        <w:rPr>
          <w:lang w:val="fr-FR"/>
        </w:rPr>
        <w:t>exposition orale</w:t>
      </w:r>
    </w:p>
    <w:p w14:paraId="577C34BB" w14:textId="77777777" w:rsidR="00C36E43" w:rsidRPr="001B1F0F" w:rsidRDefault="00C36E43" w:rsidP="000F26E2">
      <w:pPr>
        <w:pStyle w:val="SingleTxtG"/>
        <w:ind w:left="1701"/>
        <w:rPr>
          <w:lang w:val="fr-FR"/>
        </w:rPr>
      </w:pPr>
      <w:r>
        <w:rPr>
          <w:lang w:val="fr-FR"/>
        </w:rPr>
        <w:t>Plusieurs études alimentaires ont été menées sur des rats, des souris et des chiens avec des durées d</w:t>
      </w:r>
      <w:r w:rsidR="004F0AEA">
        <w:rPr>
          <w:lang w:val="fr-FR"/>
        </w:rPr>
        <w:t>’</w:t>
      </w:r>
      <w:r>
        <w:rPr>
          <w:lang w:val="fr-FR"/>
        </w:rPr>
        <w:t xml:space="preserve">exposition allant de </w:t>
      </w:r>
      <w:bookmarkStart w:id="1" w:name="_Hlk52371578"/>
      <w:r w:rsidR="006806C4">
        <w:rPr>
          <w:lang w:val="fr-FR"/>
        </w:rPr>
        <w:t xml:space="preserve">vingt-huit </w:t>
      </w:r>
      <w:bookmarkEnd w:id="1"/>
      <w:r>
        <w:rPr>
          <w:lang w:val="fr-FR"/>
        </w:rPr>
        <w:t>jours à deux années. Les principaux signes observés à des doses se situant dans les valeurs indicatives correspondant à la</w:t>
      </w:r>
      <w:r w:rsidRPr="000C26F8">
        <w:rPr>
          <w:lang w:val="fr-FR"/>
        </w:rPr>
        <w:t xml:space="preserve"> </w:t>
      </w:r>
      <w:r>
        <w:rPr>
          <w:lang w:val="fr-FR"/>
        </w:rPr>
        <w:t xml:space="preserve">catégorie 2 de la classe de danger « toxicité pour certains organes cibles </w:t>
      </w:r>
      <w:r w:rsidR="006806C4">
        <w:rPr>
          <w:lang w:val="fr-FR"/>
        </w:rPr>
        <w:t>− </w:t>
      </w:r>
      <w:r>
        <w:rPr>
          <w:lang w:val="fr-FR"/>
        </w:rPr>
        <w:t xml:space="preserve">expositions répétées » étaient des tremblements chez le rat (étude de </w:t>
      </w:r>
      <w:r w:rsidR="006806C4">
        <w:rPr>
          <w:lang w:val="fr-FR"/>
        </w:rPr>
        <w:t>vingt-huit</w:t>
      </w:r>
      <w:r>
        <w:rPr>
          <w:lang w:val="fr-FR"/>
        </w:rPr>
        <w:t xml:space="preserve"> jours, doses de 285/273 mg/kg p.c./jour) et le chien (étude de </w:t>
      </w:r>
      <w:r w:rsidR="006806C4">
        <w:rPr>
          <w:lang w:val="fr-FR"/>
        </w:rPr>
        <w:t xml:space="preserve">quatre-vingt-dix </w:t>
      </w:r>
      <w:r>
        <w:rPr>
          <w:lang w:val="fr-FR"/>
        </w:rPr>
        <w:t>jours, dose de 100 mg/kg p.c./jour). Néanmoins, bien qu</w:t>
      </w:r>
      <w:r w:rsidR="004F0AEA">
        <w:rPr>
          <w:lang w:val="fr-FR"/>
        </w:rPr>
        <w:t>’</w:t>
      </w:r>
      <w:r>
        <w:rPr>
          <w:lang w:val="fr-FR"/>
        </w:rPr>
        <w:t>on ne dispose pas de données détaillées sur le moment auquel ce symptôme a fait son apparition, il a été observé chez tous les animaux durant la première semaine de l</w:t>
      </w:r>
      <w:r w:rsidR="004F0AEA">
        <w:rPr>
          <w:lang w:val="fr-FR"/>
        </w:rPr>
        <w:t>’</w:t>
      </w:r>
      <w:r>
        <w:rPr>
          <w:lang w:val="fr-FR"/>
        </w:rPr>
        <w:t xml:space="preserve">étude de </w:t>
      </w:r>
      <w:r w:rsidR="006806C4">
        <w:rPr>
          <w:lang w:val="fr-FR"/>
        </w:rPr>
        <w:t xml:space="preserve">vingt-six </w:t>
      </w:r>
      <w:r>
        <w:rPr>
          <w:lang w:val="fr-FR"/>
        </w:rPr>
        <w:t>semaines, avant de s</w:t>
      </w:r>
      <w:r w:rsidR="004F0AEA">
        <w:rPr>
          <w:lang w:val="fr-FR"/>
        </w:rPr>
        <w:t>’</w:t>
      </w:r>
      <w:r>
        <w:rPr>
          <w:lang w:val="fr-FR"/>
        </w:rPr>
        <w:t>estomper jusqu</w:t>
      </w:r>
      <w:r w:rsidR="004F0AEA">
        <w:rPr>
          <w:lang w:val="fr-FR"/>
        </w:rPr>
        <w:t>’</w:t>
      </w:r>
      <w:r>
        <w:rPr>
          <w:lang w:val="fr-FR"/>
        </w:rPr>
        <w:t>à la quatrième</w:t>
      </w:r>
      <w:r w:rsidR="006806C4">
        <w:rPr>
          <w:lang w:val="fr-FR"/>
        </w:rPr>
        <w:t xml:space="preserve"> </w:t>
      </w:r>
      <w:r>
        <w:rPr>
          <w:lang w:val="fr-FR"/>
        </w:rPr>
        <w:t>semaine, après quoi aucun effet n</w:t>
      </w:r>
      <w:r w:rsidR="004F0AEA">
        <w:rPr>
          <w:lang w:val="fr-FR"/>
        </w:rPr>
        <w:t>’</w:t>
      </w:r>
      <w:r>
        <w:rPr>
          <w:lang w:val="fr-FR"/>
        </w:rPr>
        <w:t>a plus été observé. Un effet similaire a été observé dans l</w:t>
      </w:r>
      <w:r w:rsidR="004F0AEA">
        <w:rPr>
          <w:lang w:val="fr-FR"/>
        </w:rPr>
        <w:t>’</w:t>
      </w:r>
      <w:r>
        <w:rPr>
          <w:lang w:val="fr-FR"/>
        </w:rPr>
        <w:t>étude sur le chien deux à six heures après l</w:t>
      </w:r>
      <w:r w:rsidR="004F0AEA">
        <w:rPr>
          <w:lang w:val="fr-FR"/>
        </w:rPr>
        <w:t>’</w:t>
      </w:r>
      <w:r>
        <w:rPr>
          <w:lang w:val="fr-FR"/>
        </w:rPr>
        <w:t>exposition. En outre, aucun signe histopathologique n</w:t>
      </w:r>
      <w:r w:rsidR="004F0AEA">
        <w:rPr>
          <w:lang w:val="fr-FR"/>
        </w:rPr>
        <w:t>’</w:t>
      </w:r>
      <w:r>
        <w:rPr>
          <w:lang w:val="fr-FR"/>
        </w:rPr>
        <w:t>a été signalé dans le système nerveux après un examen détaillé, et aucun signe n</w:t>
      </w:r>
      <w:r w:rsidR="004F0AEA">
        <w:rPr>
          <w:lang w:val="fr-FR"/>
        </w:rPr>
        <w:t>’</w:t>
      </w:r>
      <w:r>
        <w:rPr>
          <w:lang w:val="fr-FR"/>
        </w:rPr>
        <w:t>a été signalé dans le cadre de la batterie d</w:t>
      </w:r>
      <w:r w:rsidR="004F0AEA">
        <w:rPr>
          <w:lang w:val="fr-FR"/>
        </w:rPr>
        <w:t>’</w:t>
      </w:r>
      <w:r>
        <w:rPr>
          <w:lang w:val="fr-FR"/>
        </w:rPr>
        <w:t>observations fonctionnelles.</w:t>
      </w:r>
    </w:p>
    <w:p w14:paraId="52FFC3EC" w14:textId="77777777" w:rsidR="00C36E43" w:rsidRPr="001B1F0F" w:rsidRDefault="00C36E43" w:rsidP="000F26E2">
      <w:pPr>
        <w:pStyle w:val="SingleTxtG"/>
        <w:keepNext/>
        <w:rPr>
          <w:b/>
          <w:bCs/>
          <w:lang w:val="fr-FR"/>
        </w:rPr>
      </w:pPr>
      <w:r w:rsidRPr="001B1F0F">
        <w:rPr>
          <w:bCs/>
          <w:lang w:val="fr-FR"/>
        </w:rPr>
        <w:lastRenderedPageBreak/>
        <w:t>b)</w:t>
      </w:r>
      <w:r w:rsidRPr="001B1F0F">
        <w:rPr>
          <w:bCs/>
          <w:lang w:val="fr-FR"/>
        </w:rPr>
        <w:tab/>
      </w:r>
      <w:r w:rsidRPr="000F26E2">
        <w:rPr>
          <w:lang w:val="fr-FR"/>
        </w:rPr>
        <w:t>Exposition</w:t>
      </w:r>
      <w:r w:rsidRPr="001B1F0F">
        <w:rPr>
          <w:bCs/>
          <w:lang w:val="fr-FR"/>
        </w:rPr>
        <w:t xml:space="preserve"> par inhalation</w:t>
      </w:r>
    </w:p>
    <w:p w14:paraId="390C1458" w14:textId="77777777" w:rsidR="00C36E43" w:rsidRPr="001B1F0F" w:rsidRDefault="00C36E43" w:rsidP="000F26E2">
      <w:pPr>
        <w:pStyle w:val="SingleTxtG"/>
        <w:keepNext/>
        <w:ind w:left="1701"/>
        <w:rPr>
          <w:lang w:val="fr-FR"/>
        </w:rPr>
      </w:pPr>
      <w:r>
        <w:rPr>
          <w:lang w:val="fr-FR"/>
        </w:rPr>
        <w:t xml:space="preserve">Étude de </w:t>
      </w:r>
      <w:r w:rsidR="006806C4">
        <w:rPr>
          <w:lang w:val="fr-FR"/>
        </w:rPr>
        <w:t>vingt-huit</w:t>
      </w:r>
      <w:r>
        <w:rPr>
          <w:lang w:val="fr-FR"/>
        </w:rPr>
        <w:t xml:space="preserve"> jours conforme à la ligne directrice 412 de l</w:t>
      </w:r>
      <w:r w:rsidR="004F0AEA">
        <w:rPr>
          <w:lang w:val="fr-FR"/>
        </w:rPr>
        <w:t>’</w:t>
      </w:r>
      <w:r>
        <w:rPr>
          <w:lang w:val="fr-FR"/>
        </w:rPr>
        <w:t>OCDE sur la toxicité (</w:t>
      </w:r>
      <w:r w:rsidR="004633F2" w:rsidRPr="00190C7E">
        <w:rPr>
          <w:lang w:val="fr-FR"/>
        </w:rPr>
        <w:t>subaiguë</w:t>
      </w:r>
      <w:r>
        <w:rPr>
          <w:lang w:val="fr-FR"/>
        </w:rPr>
        <w:t>) par inhalation</w:t>
      </w:r>
    </w:p>
    <w:p w14:paraId="1F75451E" w14:textId="77777777" w:rsidR="00C36E43" w:rsidRDefault="00C36E43" w:rsidP="000F26E2">
      <w:pPr>
        <w:pStyle w:val="SingleTxtG"/>
        <w:ind w:left="1701"/>
        <w:rPr>
          <w:lang w:val="fr-FR"/>
        </w:rPr>
      </w:pPr>
      <w:r>
        <w:rPr>
          <w:lang w:val="fr-FR"/>
        </w:rPr>
        <w:t>20 rats Sprague Dawley (10 mâles et 10 femelles) ; exposition à des concentrations de brume de 0, 0,01, 0,05, 0,1 et 0,2 mg/L pendant six heures par jour</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695"/>
      </w:tblGrid>
      <w:tr w:rsidR="00C36E43" w:rsidRPr="00906597" w14:paraId="09E866C4" w14:textId="77777777" w:rsidTr="006558AB">
        <w:tc>
          <w:tcPr>
            <w:tcW w:w="1526" w:type="dxa"/>
            <w:shd w:val="clear" w:color="auto" w:fill="auto"/>
          </w:tcPr>
          <w:p w14:paraId="70E95EDF" w14:textId="77777777" w:rsidR="00C36E43" w:rsidRPr="00906597" w:rsidRDefault="00C36E43" w:rsidP="006558AB">
            <w:pPr>
              <w:spacing w:after="30" w:line="240" w:lineRule="auto"/>
              <w:jc w:val="center"/>
              <w:rPr>
                <w:sz w:val="18"/>
                <w:szCs w:val="18"/>
              </w:rPr>
            </w:pPr>
            <w:r w:rsidRPr="00906597">
              <w:rPr>
                <w:sz w:val="18"/>
                <w:szCs w:val="18"/>
              </w:rPr>
              <w:t>Concentration</w:t>
            </w:r>
          </w:p>
          <w:p w14:paraId="43E97C16" w14:textId="77777777" w:rsidR="00C36E43" w:rsidRPr="00906597" w:rsidRDefault="00C36E43" w:rsidP="006558AB">
            <w:pPr>
              <w:spacing w:after="30" w:line="240" w:lineRule="auto"/>
              <w:jc w:val="center"/>
              <w:rPr>
                <w:sz w:val="18"/>
                <w:szCs w:val="18"/>
              </w:rPr>
            </w:pPr>
            <w:r w:rsidRPr="00906597">
              <w:rPr>
                <w:sz w:val="18"/>
                <w:szCs w:val="18"/>
              </w:rPr>
              <w:t>(</w:t>
            </w:r>
            <w:proofErr w:type="gramStart"/>
            <w:r w:rsidRPr="00906597">
              <w:rPr>
                <w:sz w:val="18"/>
                <w:szCs w:val="18"/>
              </w:rPr>
              <w:t>mg</w:t>
            </w:r>
            <w:proofErr w:type="gramEnd"/>
            <w:r w:rsidRPr="00906597">
              <w:rPr>
                <w:sz w:val="18"/>
                <w:szCs w:val="18"/>
              </w:rPr>
              <w:t>/L)</w:t>
            </w:r>
          </w:p>
        </w:tc>
        <w:tc>
          <w:tcPr>
            <w:tcW w:w="6695" w:type="dxa"/>
            <w:shd w:val="clear" w:color="auto" w:fill="auto"/>
          </w:tcPr>
          <w:p w14:paraId="6F4A2132" w14:textId="77777777" w:rsidR="00C36E43" w:rsidRPr="00906597" w:rsidRDefault="00923230" w:rsidP="006558AB">
            <w:pPr>
              <w:spacing w:after="30" w:line="240" w:lineRule="auto"/>
              <w:jc w:val="center"/>
              <w:rPr>
                <w:sz w:val="18"/>
                <w:szCs w:val="18"/>
              </w:rPr>
            </w:pPr>
            <w:r w:rsidRPr="00906597">
              <w:rPr>
                <w:sz w:val="18"/>
                <w:szCs w:val="18"/>
              </w:rPr>
              <w:t>Résulta</w:t>
            </w:r>
            <w:r>
              <w:rPr>
                <w:sz w:val="18"/>
                <w:szCs w:val="18"/>
              </w:rPr>
              <w:t>ts</w:t>
            </w:r>
          </w:p>
        </w:tc>
      </w:tr>
      <w:tr w:rsidR="00C36E43" w:rsidRPr="00923230" w14:paraId="0CBC7DF8" w14:textId="77777777" w:rsidTr="006558AB">
        <w:tc>
          <w:tcPr>
            <w:tcW w:w="1526" w:type="dxa"/>
            <w:shd w:val="clear" w:color="auto" w:fill="auto"/>
            <w:vAlign w:val="center"/>
          </w:tcPr>
          <w:p w14:paraId="33BB1A63" w14:textId="77777777" w:rsidR="00C36E43" w:rsidRPr="00906597" w:rsidRDefault="00C36E43" w:rsidP="001D4D19">
            <w:pPr>
              <w:spacing w:before="60" w:after="60" w:line="240" w:lineRule="auto"/>
              <w:jc w:val="center"/>
              <w:rPr>
                <w:sz w:val="18"/>
                <w:szCs w:val="18"/>
              </w:rPr>
            </w:pPr>
            <w:r w:rsidRPr="00906597">
              <w:rPr>
                <w:sz w:val="18"/>
                <w:szCs w:val="18"/>
              </w:rPr>
              <w:t>0</w:t>
            </w:r>
            <w:r w:rsidR="000F26E2">
              <w:rPr>
                <w:sz w:val="18"/>
                <w:szCs w:val="18"/>
              </w:rPr>
              <w:t>,</w:t>
            </w:r>
            <w:r w:rsidRPr="00906597">
              <w:rPr>
                <w:sz w:val="18"/>
                <w:szCs w:val="18"/>
              </w:rPr>
              <w:t>2</w:t>
            </w:r>
          </w:p>
        </w:tc>
        <w:tc>
          <w:tcPr>
            <w:tcW w:w="6695" w:type="dxa"/>
            <w:shd w:val="clear" w:color="auto" w:fill="auto"/>
          </w:tcPr>
          <w:p w14:paraId="2BF00FBF" w14:textId="77777777" w:rsidR="00C36E43" w:rsidRPr="00923230" w:rsidRDefault="00C36E43" w:rsidP="001D4D19">
            <w:pPr>
              <w:pStyle w:val="Bullet1G"/>
              <w:numPr>
                <w:ilvl w:val="0"/>
                <w:numId w:val="0"/>
              </w:numPr>
              <w:spacing w:before="60" w:after="60" w:line="240" w:lineRule="auto"/>
              <w:ind w:left="346" w:right="173" w:hanging="283"/>
              <w:rPr>
                <w:sz w:val="18"/>
                <w:szCs w:val="18"/>
              </w:rPr>
            </w:pPr>
            <w:r w:rsidRPr="00923230">
              <w:rPr>
                <w:sz w:val="18"/>
                <w:szCs w:val="18"/>
              </w:rPr>
              <w:t>•</w:t>
            </w:r>
            <w:r w:rsidRPr="00923230">
              <w:rPr>
                <w:sz w:val="18"/>
                <w:szCs w:val="18"/>
              </w:rPr>
              <w:tab/>
            </w:r>
            <w:r w:rsidR="00923230" w:rsidRPr="00923230">
              <w:rPr>
                <w:sz w:val="18"/>
                <w:szCs w:val="18"/>
                <w:lang w:val="fr-FR"/>
              </w:rPr>
              <w:t xml:space="preserve">Décès imputables au traitement administré (7 mâles sur 10, 3 femelles sur 10) ; les trois femelles sont décédées respectivement les troisième, </w:t>
            </w:r>
            <w:proofErr w:type="gramStart"/>
            <w:r w:rsidR="00923230" w:rsidRPr="00923230">
              <w:rPr>
                <w:sz w:val="18"/>
                <w:szCs w:val="18"/>
                <w:lang w:val="fr-FR"/>
              </w:rPr>
              <w:t>quatrième et cinquième jours</w:t>
            </w:r>
            <w:proofErr w:type="gramEnd"/>
            <w:r w:rsidR="00923230" w:rsidRPr="00923230">
              <w:rPr>
                <w:sz w:val="18"/>
                <w:szCs w:val="18"/>
                <w:lang w:val="fr-FR"/>
              </w:rPr>
              <w:t>. Les décès sont survenus chez les mâles à différents moments de l</w:t>
            </w:r>
            <w:r w:rsidR="004F0AEA">
              <w:rPr>
                <w:sz w:val="18"/>
                <w:szCs w:val="18"/>
                <w:lang w:val="fr-FR"/>
              </w:rPr>
              <w:t>’</w:t>
            </w:r>
            <w:r w:rsidR="00923230" w:rsidRPr="00923230">
              <w:rPr>
                <w:sz w:val="18"/>
                <w:szCs w:val="18"/>
                <w:lang w:val="fr-FR"/>
              </w:rPr>
              <w:t>étude, à raison de trois le quatrième jour et un les neuvième, dix-neuvième, vingt</w:t>
            </w:r>
            <w:r w:rsidR="001D4D19">
              <w:rPr>
                <w:sz w:val="18"/>
                <w:szCs w:val="18"/>
                <w:lang w:val="fr-FR"/>
              </w:rPr>
              <w:noBreakHyphen/>
            </w:r>
            <w:proofErr w:type="gramStart"/>
            <w:r w:rsidR="00923230" w:rsidRPr="00923230">
              <w:rPr>
                <w:sz w:val="18"/>
                <w:szCs w:val="18"/>
                <w:lang w:val="fr-FR"/>
              </w:rPr>
              <w:t>cinquième et vingt-septième jours</w:t>
            </w:r>
            <w:proofErr w:type="gramEnd"/>
            <w:r w:rsidR="00923230" w:rsidRPr="00923230">
              <w:rPr>
                <w:sz w:val="18"/>
                <w:szCs w:val="18"/>
                <w:lang w:val="fr-FR"/>
              </w:rPr>
              <w:t xml:space="preserve"> respectivement</w:t>
            </w:r>
            <w:r w:rsidR="001D4D19">
              <w:rPr>
                <w:sz w:val="18"/>
                <w:szCs w:val="18"/>
                <w:lang w:val="fr-FR"/>
              </w:rPr>
              <w:t>.</w:t>
            </w:r>
          </w:p>
          <w:p w14:paraId="3398ECAD" w14:textId="77777777" w:rsidR="00C36E43" w:rsidRPr="00923230" w:rsidRDefault="00C36E43" w:rsidP="001D4D19">
            <w:pPr>
              <w:pStyle w:val="Bullet1G"/>
              <w:numPr>
                <w:ilvl w:val="0"/>
                <w:numId w:val="0"/>
              </w:numPr>
              <w:spacing w:before="60" w:after="60" w:line="240" w:lineRule="auto"/>
              <w:ind w:left="346" w:right="173" w:hanging="283"/>
              <w:rPr>
                <w:sz w:val="18"/>
                <w:szCs w:val="18"/>
              </w:rPr>
            </w:pPr>
            <w:r w:rsidRPr="00923230">
              <w:rPr>
                <w:sz w:val="18"/>
                <w:szCs w:val="18"/>
              </w:rPr>
              <w:t>•</w:t>
            </w:r>
            <w:r w:rsidRPr="00923230">
              <w:rPr>
                <w:sz w:val="18"/>
                <w:szCs w:val="18"/>
              </w:rPr>
              <w:tab/>
            </w:r>
            <w:r w:rsidR="00923230" w:rsidRPr="00923230">
              <w:rPr>
                <w:sz w:val="18"/>
                <w:szCs w:val="18"/>
                <w:lang w:val="fr-FR"/>
              </w:rPr>
              <w:t>Tremblements observés pendant ou immédiatement après l</w:t>
            </w:r>
            <w:r w:rsidR="004F0AEA">
              <w:rPr>
                <w:sz w:val="18"/>
                <w:szCs w:val="18"/>
                <w:lang w:val="fr-FR"/>
              </w:rPr>
              <w:t>’</w:t>
            </w:r>
            <w:r w:rsidR="00923230" w:rsidRPr="00923230">
              <w:rPr>
                <w:sz w:val="18"/>
                <w:szCs w:val="18"/>
                <w:lang w:val="fr-FR"/>
              </w:rPr>
              <w:t>exposition (5 mâles sur 10, 5 femelles sur 10)</w:t>
            </w:r>
            <w:r w:rsidR="001D4D19">
              <w:rPr>
                <w:sz w:val="18"/>
                <w:szCs w:val="18"/>
                <w:lang w:val="fr-FR"/>
              </w:rPr>
              <w:t>.</w:t>
            </w:r>
          </w:p>
        </w:tc>
      </w:tr>
      <w:tr w:rsidR="00C36E43" w:rsidRPr="00906597" w14:paraId="033D8C44" w14:textId="77777777" w:rsidTr="006558AB">
        <w:tc>
          <w:tcPr>
            <w:tcW w:w="1526" w:type="dxa"/>
            <w:shd w:val="clear" w:color="auto" w:fill="auto"/>
            <w:vAlign w:val="center"/>
          </w:tcPr>
          <w:p w14:paraId="363953C2" w14:textId="77777777" w:rsidR="00C36E43" w:rsidRPr="00906597" w:rsidRDefault="00C36E43" w:rsidP="001D4D19">
            <w:pPr>
              <w:spacing w:before="60" w:after="60" w:line="240" w:lineRule="auto"/>
              <w:jc w:val="center"/>
              <w:rPr>
                <w:sz w:val="18"/>
                <w:szCs w:val="18"/>
              </w:rPr>
            </w:pPr>
            <w:r w:rsidRPr="00906597">
              <w:rPr>
                <w:sz w:val="18"/>
                <w:szCs w:val="18"/>
              </w:rPr>
              <w:t>0</w:t>
            </w:r>
            <w:r w:rsidR="000F26E2">
              <w:rPr>
                <w:sz w:val="18"/>
                <w:szCs w:val="18"/>
              </w:rPr>
              <w:t>,</w:t>
            </w:r>
            <w:r w:rsidRPr="00906597">
              <w:rPr>
                <w:sz w:val="18"/>
                <w:szCs w:val="18"/>
              </w:rPr>
              <w:t>1</w:t>
            </w:r>
          </w:p>
        </w:tc>
        <w:tc>
          <w:tcPr>
            <w:tcW w:w="6695" w:type="dxa"/>
            <w:shd w:val="clear" w:color="auto" w:fill="auto"/>
          </w:tcPr>
          <w:p w14:paraId="504F09F3" w14:textId="77777777" w:rsidR="00C36E43" w:rsidRPr="00906597" w:rsidRDefault="00C36E43" w:rsidP="001D4D19">
            <w:pPr>
              <w:pStyle w:val="Bullet1G"/>
              <w:numPr>
                <w:ilvl w:val="0"/>
                <w:numId w:val="0"/>
              </w:numPr>
              <w:spacing w:before="60" w:after="60" w:line="240" w:lineRule="auto"/>
              <w:ind w:left="346" w:right="173" w:hanging="283"/>
              <w:rPr>
                <w:sz w:val="18"/>
                <w:szCs w:val="18"/>
              </w:rPr>
            </w:pPr>
            <w:r w:rsidRPr="00906597">
              <w:rPr>
                <w:sz w:val="18"/>
                <w:szCs w:val="18"/>
              </w:rPr>
              <w:t>•</w:t>
            </w:r>
            <w:r w:rsidRPr="00906597">
              <w:rPr>
                <w:sz w:val="18"/>
                <w:szCs w:val="18"/>
              </w:rPr>
              <w:tab/>
            </w:r>
            <w:r w:rsidR="00923230" w:rsidRPr="00923230">
              <w:rPr>
                <w:sz w:val="18"/>
                <w:szCs w:val="18"/>
                <w:lang w:val="fr-FR"/>
              </w:rPr>
              <w:t>Aucun changement imputable au traitement</w:t>
            </w:r>
            <w:r w:rsidR="001D4D19">
              <w:rPr>
                <w:sz w:val="18"/>
                <w:szCs w:val="18"/>
                <w:lang w:val="fr-FR"/>
              </w:rPr>
              <w:t>.</w:t>
            </w:r>
          </w:p>
        </w:tc>
      </w:tr>
      <w:tr w:rsidR="00C36E43" w:rsidRPr="00906597" w14:paraId="6FBF98B4" w14:textId="77777777" w:rsidTr="006558AB">
        <w:tc>
          <w:tcPr>
            <w:tcW w:w="1526" w:type="dxa"/>
            <w:shd w:val="clear" w:color="auto" w:fill="auto"/>
            <w:vAlign w:val="center"/>
          </w:tcPr>
          <w:p w14:paraId="6B3AD023" w14:textId="77777777" w:rsidR="00C36E43" w:rsidRPr="00906597" w:rsidRDefault="00C36E43" w:rsidP="001D4D19">
            <w:pPr>
              <w:spacing w:before="60" w:after="60" w:line="240" w:lineRule="auto"/>
              <w:jc w:val="center"/>
              <w:rPr>
                <w:sz w:val="18"/>
                <w:szCs w:val="18"/>
              </w:rPr>
            </w:pPr>
            <w:r w:rsidRPr="00906597">
              <w:rPr>
                <w:sz w:val="18"/>
                <w:szCs w:val="18"/>
              </w:rPr>
              <w:t>0</w:t>
            </w:r>
            <w:r w:rsidR="000F26E2">
              <w:rPr>
                <w:sz w:val="18"/>
                <w:szCs w:val="18"/>
              </w:rPr>
              <w:t>,</w:t>
            </w:r>
            <w:r w:rsidRPr="00906597">
              <w:rPr>
                <w:sz w:val="18"/>
                <w:szCs w:val="18"/>
              </w:rPr>
              <w:t>05</w:t>
            </w:r>
          </w:p>
        </w:tc>
        <w:tc>
          <w:tcPr>
            <w:tcW w:w="6695" w:type="dxa"/>
            <w:shd w:val="clear" w:color="auto" w:fill="auto"/>
          </w:tcPr>
          <w:p w14:paraId="4A4FBAD7" w14:textId="77777777" w:rsidR="00C36E43" w:rsidRPr="00906597" w:rsidRDefault="00C36E43" w:rsidP="001D4D19">
            <w:pPr>
              <w:pStyle w:val="Bullet1G"/>
              <w:numPr>
                <w:ilvl w:val="0"/>
                <w:numId w:val="0"/>
              </w:numPr>
              <w:spacing w:before="60" w:after="60" w:line="240" w:lineRule="auto"/>
              <w:ind w:left="346" w:right="173" w:hanging="283"/>
              <w:rPr>
                <w:sz w:val="18"/>
                <w:szCs w:val="18"/>
              </w:rPr>
            </w:pPr>
            <w:r w:rsidRPr="00906597">
              <w:rPr>
                <w:sz w:val="18"/>
                <w:szCs w:val="18"/>
              </w:rPr>
              <w:t>•</w:t>
            </w:r>
            <w:r w:rsidRPr="00906597">
              <w:rPr>
                <w:sz w:val="18"/>
                <w:szCs w:val="18"/>
              </w:rPr>
              <w:tab/>
            </w:r>
            <w:r w:rsidR="00923230" w:rsidRPr="00923230">
              <w:rPr>
                <w:sz w:val="18"/>
                <w:szCs w:val="18"/>
                <w:lang w:val="fr-FR"/>
              </w:rPr>
              <w:t>Aucun changement imputable au traitement</w:t>
            </w:r>
            <w:r w:rsidR="001D4D19">
              <w:rPr>
                <w:sz w:val="18"/>
                <w:szCs w:val="18"/>
                <w:lang w:val="fr-FR"/>
              </w:rPr>
              <w:t>.</w:t>
            </w:r>
          </w:p>
        </w:tc>
      </w:tr>
      <w:tr w:rsidR="00C36E43" w:rsidRPr="00906597" w14:paraId="46BF80E9" w14:textId="77777777" w:rsidTr="006558AB">
        <w:tc>
          <w:tcPr>
            <w:tcW w:w="1526" w:type="dxa"/>
            <w:shd w:val="clear" w:color="auto" w:fill="auto"/>
            <w:vAlign w:val="center"/>
          </w:tcPr>
          <w:p w14:paraId="24521FFD" w14:textId="77777777" w:rsidR="00C36E43" w:rsidRPr="00906597" w:rsidRDefault="00C36E43" w:rsidP="001D4D19">
            <w:pPr>
              <w:spacing w:before="60" w:after="60" w:line="240" w:lineRule="auto"/>
              <w:jc w:val="center"/>
              <w:rPr>
                <w:sz w:val="18"/>
                <w:szCs w:val="18"/>
              </w:rPr>
            </w:pPr>
            <w:r w:rsidRPr="00906597">
              <w:rPr>
                <w:sz w:val="18"/>
                <w:szCs w:val="18"/>
              </w:rPr>
              <w:t>0</w:t>
            </w:r>
            <w:r w:rsidR="000F26E2">
              <w:rPr>
                <w:sz w:val="18"/>
                <w:szCs w:val="18"/>
              </w:rPr>
              <w:t>,</w:t>
            </w:r>
            <w:r w:rsidRPr="00906597">
              <w:rPr>
                <w:sz w:val="18"/>
                <w:szCs w:val="18"/>
              </w:rPr>
              <w:t>01</w:t>
            </w:r>
          </w:p>
        </w:tc>
        <w:tc>
          <w:tcPr>
            <w:tcW w:w="6695" w:type="dxa"/>
            <w:shd w:val="clear" w:color="auto" w:fill="auto"/>
          </w:tcPr>
          <w:p w14:paraId="7DA1E447" w14:textId="77777777" w:rsidR="00C36E43" w:rsidRPr="00906597" w:rsidRDefault="00C36E43" w:rsidP="001D4D19">
            <w:pPr>
              <w:pStyle w:val="Bullet1G"/>
              <w:numPr>
                <w:ilvl w:val="0"/>
                <w:numId w:val="0"/>
              </w:numPr>
              <w:spacing w:before="60" w:after="60" w:line="240" w:lineRule="auto"/>
              <w:ind w:left="346" w:right="173" w:hanging="283"/>
              <w:rPr>
                <w:sz w:val="18"/>
                <w:szCs w:val="18"/>
              </w:rPr>
            </w:pPr>
            <w:r w:rsidRPr="00906597">
              <w:rPr>
                <w:sz w:val="18"/>
                <w:szCs w:val="18"/>
              </w:rPr>
              <w:t>•</w:t>
            </w:r>
            <w:r w:rsidRPr="00906597">
              <w:rPr>
                <w:sz w:val="18"/>
                <w:szCs w:val="18"/>
              </w:rPr>
              <w:tab/>
            </w:r>
            <w:r w:rsidR="00923230" w:rsidRPr="00923230">
              <w:rPr>
                <w:sz w:val="18"/>
                <w:szCs w:val="18"/>
                <w:lang w:val="fr-FR"/>
              </w:rPr>
              <w:t>Aucun changement imputable au traitement</w:t>
            </w:r>
            <w:r w:rsidR="001D4D19">
              <w:rPr>
                <w:sz w:val="18"/>
                <w:szCs w:val="18"/>
                <w:lang w:val="fr-FR"/>
              </w:rPr>
              <w:t>.</w:t>
            </w:r>
          </w:p>
        </w:tc>
      </w:tr>
    </w:tbl>
    <w:p w14:paraId="3BC15412" w14:textId="77777777" w:rsidR="00C36E43" w:rsidRPr="001B1F0F" w:rsidRDefault="00C36E43" w:rsidP="00923230">
      <w:pPr>
        <w:pStyle w:val="H23G"/>
        <w:rPr>
          <w:lang w:val="fr-FR"/>
        </w:rPr>
      </w:pPr>
      <w:r>
        <w:rPr>
          <w:lang w:val="fr-FR"/>
        </w:rPr>
        <w:tab/>
      </w:r>
      <w:r>
        <w:rPr>
          <w:lang w:val="fr-FR"/>
        </w:rPr>
        <w:tab/>
        <w:t>Réponse</w:t>
      </w:r>
    </w:p>
    <w:p w14:paraId="02C2FFD3" w14:textId="77777777" w:rsidR="00C36E43" w:rsidRPr="001B1F0F" w:rsidRDefault="00C36E43" w:rsidP="00923230">
      <w:pPr>
        <w:pStyle w:val="SingleTxtG"/>
        <w:rPr>
          <w:lang w:val="fr-FR"/>
        </w:rPr>
      </w:pPr>
      <w:r>
        <w:rPr>
          <w:lang w:val="fr-FR"/>
        </w:rPr>
        <w:t>Toxicité orale aiguë, catégorie 3</w:t>
      </w:r>
    </w:p>
    <w:p w14:paraId="0DDCE77F" w14:textId="77777777" w:rsidR="00C36E43" w:rsidRPr="001B1F0F" w:rsidRDefault="00C36E43" w:rsidP="00923230">
      <w:pPr>
        <w:pStyle w:val="SingleTxtG"/>
        <w:rPr>
          <w:lang w:val="fr-FR"/>
        </w:rPr>
      </w:pPr>
      <w:r>
        <w:rPr>
          <w:lang w:val="fr-FR"/>
        </w:rPr>
        <w:t>Toxicité aiguë par inhalation, catégorie 4</w:t>
      </w:r>
    </w:p>
    <w:p w14:paraId="6EA99C32" w14:textId="77777777" w:rsidR="00C36E43" w:rsidRPr="001B1F0F" w:rsidRDefault="00C36E43" w:rsidP="00923230">
      <w:pPr>
        <w:pStyle w:val="SingleTxtG"/>
        <w:rPr>
          <w:lang w:val="fr-FR"/>
        </w:rPr>
      </w:pPr>
      <w:r>
        <w:rPr>
          <w:lang w:val="fr-FR"/>
        </w:rPr>
        <w:t xml:space="preserve">Toxicité pour certains organes cibles </w:t>
      </w:r>
      <w:r w:rsidR="001D4D19">
        <w:rPr>
          <w:lang w:val="fr-FR"/>
        </w:rPr>
        <w:t>−</w:t>
      </w:r>
      <w:r>
        <w:rPr>
          <w:lang w:val="fr-FR"/>
        </w:rPr>
        <w:t xml:space="preserve"> exposition unique, catégorie 1 </w:t>
      </w:r>
    </w:p>
    <w:p w14:paraId="7BDA2FAF" w14:textId="77777777" w:rsidR="00C36E43" w:rsidRPr="001B1F0F" w:rsidRDefault="00C36E43" w:rsidP="00923230">
      <w:pPr>
        <w:pStyle w:val="SingleTxtG"/>
        <w:rPr>
          <w:lang w:val="fr-FR"/>
        </w:rPr>
      </w:pPr>
      <w:r>
        <w:rPr>
          <w:lang w:val="fr-FR"/>
        </w:rPr>
        <w:t>(Organes cibles</w:t>
      </w:r>
      <w:r w:rsidR="0055086C">
        <w:rPr>
          <w:lang w:val="fr-FR"/>
        </w:rPr>
        <w:t> </w:t>
      </w:r>
      <w:r>
        <w:rPr>
          <w:lang w:val="fr-FR"/>
        </w:rPr>
        <w:t>: système nerveux)</w:t>
      </w:r>
    </w:p>
    <w:p w14:paraId="7C6440C9" w14:textId="77777777" w:rsidR="00C36E43" w:rsidRPr="001B1F0F" w:rsidRDefault="00C36E43" w:rsidP="00923230">
      <w:pPr>
        <w:pStyle w:val="SingleTxtG"/>
        <w:rPr>
          <w:lang w:val="fr-FR"/>
        </w:rPr>
      </w:pPr>
      <w:r>
        <w:rPr>
          <w:lang w:val="fr-FR"/>
        </w:rPr>
        <w:t xml:space="preserve">Toxicité pour certains organes cibles </w:t>
      </w:r>
      <w:r w:rsidR="001D4D19">
        <w:rPr>
          <w:lang w:val="fr-FR"/>
        </w:rPr>
        <w:t>−</w:t>
      </w:r>
      <w:r>
        <w:rPr>
          <w:lang w:val="fr-FR"/>
        </w:rPr>
        <w:t xml:space="preserve"> expositions répétées, catégorie 2 </w:t>
      </w:r>
    </w:p>
    <w:p w14:paraId="2D1654BC" w14:textId="77777777" w:rsidR="00C36E43" w:rsidRPr="001B1F0F" w:rsidRDefault="00C36E43" w:rsidP="00923230">
      <w:pPr>
        <w:pStyle w:val="SingleTxtG"/>
        <w:rPr>
          <w:lang w:val="fr-FR"/>
        </w:rPr>
      </w:pPr>
      <w:r>
        <w:rPr>
          <w:lang w:val="fr-FR"/>
        </w:rPr>
        <w:t>(Organes cibles</w:t>
      </w:r>
      <w:r w:rsidR="0055086C">
        <w:rPr>
          <w:lang w:val="fr-FR"/>
        </w:rPr>
        <w:t> </w:t>
      </w:r>
      <w:r>
        <w:rPr>
          <w:lang w:val="fr-FR"/>
        </w:rPr>
        <w:t>: non spécifiés)</w:t>
      </w:r>
    </w:p>
    <w:p w14:paraId="4CBD718F" w14:textId="77777777" w:rsidR="00C36E43" w:rsidRPr="001B1F0F" w:rsidRDefault="00C36E43" w:rsidP="00923230">
      <w:pPr>
        <w:pStyle w:val="H23G"/>
        <w:rPr>
          <w:lang w:val="fr-FR"/>
        </w:rPr>
      </w:pPr>
      <w:r>
        <w:rPr>
          <w:lang w:val="fr-FR"/>
        </w:rPr>
        <w:tab/>
      </w:r>
      <w:r>
        <w:rPr>
          <w:lang w:val="fr-FR"/>
        </w:rPr>
        <w:tab/>
        <w:t>Justifications</w:t>
      </w:r>
    </w:p>
    <w:p w14:paraId="1ABA5CCF" w14:textId="77777777" w:rsidR="00C36E43" w:rsidRPr="001B1F0F" w:rsidRDefault="00C36E43" w:rsidP="00923230">
      <w:pPr>
        <w:pStyle w:val="H4G"/>
        <w:rPr>
          <w:lang w:val="fr-FR"/>
        </w:rPr>
      </w:pPr>
      <w:r>
        <w:rPr>
          <w:lang w:val="fr-FR"/>
        </w:rPr>
        <w:tab/>
        <w:t>a)</w:t>
      </w:r>
      <w:r>
        <w:rPr>
          <w:lang w:val="fr-FR"/>
        </w:rPr>
        <w:tab/>
        <w:t>Toxicité orale aiguë</w:t>
      </w:r>
      <w:r w:rsidR="00923230">
        <w:rPr>
          <w:lang w:val="fr-FR"/>
        </w:rPr>
        <w:t> </w:t>
      </w:r>
      <w:r>
        <w:rPr>
          <w:lang w:val="fr-FR"/>
        </w:rPr>
        <w:t>:</w:t>
      </w:r>
    </w:p>
    <w:p w14:paraId="7A872D37" w14:textId="77777777" w:rsidR="00C36E43" w:rsidRPr="001B1F0F" w:rsidRDefault="00C36E43" w:rsidP="00923230">
      <w:pPr>
        <w:pStyle w:val="SingleTxtG"/>
        <w:rPr>
          <w:lang w:val="fr-FR"/>
        </w:rPr>
      </w:pPr>
      <w:r>
        <w:rPr>
          <w:lang w:val="fr-FR"/>
        </w:rPr>
        <w:t>Une classification sur la base des critères du tableau 3.1.1 du SGH est possible. Les</w:t>
      </w:r>
      <w:r w:rsidR="001D4D19">
        <w:rPr>
          <w:lang w:val="fr-FR"/>
        </w:rPr>
        <w:t> </w:t>
      </w:r>
      <w:r>
        <w:rPr>
          <w:lang w:val="fr-FR"/>
        </w:rPr>
        <w:t>résultats obtenus lorsque l</w:t>
      </w:r>
      <w:r w:rsidR="004F0AEA">
        <w:rPr>
          <w:lang w:val="fr-FR"/>
        </w:rPr>
        <w:t>’</w:t>
      </w:r>
      <w:r>
        <w:rPr>
          <w:lang w:val="fr-FR"/>
        </w:rPr>
        <w:t>huile de maïs est utilisée comme véhicule sont pris en compte, cette huile étant un véhicule adapté aux matières lipophiles. L</w:t>
      </w:r>
      <w:r w:rsidR="004F0AEA">
        <w:rPr>
          <w:lang w:val="fr-FR"/>
        </w:rPr>
        <w:t>’</w:t>
      </w:r>
      <w:r>
        <w:rPr>
          <w:lang w:val="fr-FR"/>
        </w:rPr>
        <w:t>étude a été réalisée sur l</w:t>
      </w:r>
      <w:r w:rsidR="004F0AEA">
        <w:rPr>
          <w:lang w:val="fr-FR"/>
        </w:rPr>
        <w:t>’</w:t>
      </w:r>
      <w:r>
        <w:rPr>
          <w:lang w:val="fr-FR"/>
        </w:rPr>
        <w:t>espèce animale préférée pour l</w:t>
      </w:r>
      <w:r w:rsidR="004F0AEA">
        <w:rPr>
          <w:lang w:val="fr-FR"/>
        </w:rPr>
        <w:t>’</w:t>
      </w:r>
      <w:r>
        <w:rPr>
          <w:lang w:val="fr-FR"/>
        </w:rPr>
        <w:t>évaluation de la toxicité aiguë par voie orale et par inhalation (à savoir le rat), conformément au 3.1.2.3 ; les données obtenues sur d</w:t>
      </w:r>
      <w:r w:rsidR="004F0AEA">
        <w:rPr>
          <w:lang w:val="fr-FR"/>
        </w:rPr>
        <w:t>’</w:t>
      </w:r>
      <w:r>
        <w:rPr>
          <w:lang w:val="fr-FR"/>
        </w:rPr>
        <w:t>autres espèces (souris) ne montrent pas un degré différent de toxicité aiguë. On estime que la DL</w:t>
      </w:r>
      <w:r>
        <w:rPr>
          <w:vertAlign w:val="subscript"/>
          <w:lang w:val="fr-FR"/>
        </w:rPr>
        <w:t>50</w:t>
      </w:r>
      <w:r>
        <w:rPr>
          <w:lang w:val="fr-FR"/>
        </w:rPr>
        <w:t xml:space="preserve"> administrée au rat par voie orale se situe dans l</w:t>
      </w:r>
      <w:r w:rsidR="004F0AEA">
        <w:rPr>
          <w:lang w:val="fr-FR"/>
        </w:rPr>
        <w:t>’</w:t>
      </w:r>
      <w:r>
        <w:rPr>
          <w:lang w:val="fr-FR"/>
        </w:rPr>
        <w:t>intervalle correspondant à la catégorie 3, à savoir 50 &lt; ETA ≤ 300, sur la base d</w:t>
      </w:r>
      <w:r w:rsidR="004F0AEA">
        <w:rPr>
          <w:lang w:val="fr-FR"/>
        </w:rPr>
        <w:t>’</w:t>
      </w:r>
      <w:r>
        <w:rPr>
          <w:lang w:val="fr-FR"/>
        </w:rPr>
        <w:t>un taux de décès de 20 % pour une dose de 100 mg/kg p.c. (étude 2). On peut extrapoler que la cause de mortalité par voie orale est analogue à celle par inhalation, et qu</w:t>
      </w:r>
      <w:r w:rsidR="004F0AEA">
        <w:rPr>
          <w:lang w:val="fr-FR"/>
        </w:rPr>
        <w:t>’</w:t>
      </w:r>
      <w:r>
        <w:rPr>
          <w:lang w:val="fr-FR"/>
        </w:rPr>
        <w:t>il est donc probable que la relation dose-réponse augmente subitement, comme celle de la toxicité aiguë par inhalation, pour laquelle on n</w:t>
      </w:r>
      <w:r w:rsidR="004F0AEA">
        <w:rPr>
          <w:lang w:val="fr-FR"/>
        </w:rPr>
        <w:t>’</w:t>
      </w:r>
      <w:r>
        <w:rPr>
          <w:lang w:val="fr-FR"/>
        </w:rPr>
        <w:t>observe aucun décès (dont on suppose qu</w:t>
      </w:r>
      <w:r w:rsidR="004F0AEA">
        <w:rPr>
          <w:lang w:val="fr-FR"/>
        </w:rPr>
        <w:t>’</w:t>
      </w:r>
      <w:r>
        <w:rPr>
          <w:lang w:val="fr-FR"/>
        </w:rPr>
        <w:t>ils sont imputables à des effets systémiques) à une dose de 1 mg/L, contre 100 % de décès à la dose suivante de 2 mg/L, ce qui justifie une classification dans la catégorie 3 pour l</w:t>
      </w:r>
      <w:r w:rsidR="004F0AEA">
        <w:rPr>
          <w:lang w:val="fr-FR"/>
        </w:rPr>
        <w:t>’</w:t>
      </w:r>
      <w:r>
        <w:rPr>
          <w:lang w:val="fr-FR"/>
        </w:rPr>
        <w:t>exposition par voie orale.</w:t>
      </w:r>
    </w:p>
    <w:p w14:paraId="2EDE83C7" w14:textId="77777777" w:rsidR="00C36E43" w:rsidRPr="001B1F0F" w:rsidRDefault="00923230" w:rsidP="00923230">
      <w:pPr>
        <w:pStyle w:val="H4G"/>
        <w:rPr>
          <w:lang w:val="fr-FR"/>
        </w:rPr>
      </w:pPr>
      <w:r>
        <w:rPr>
          <w:lang w:val="fr-FR"/>
        </w:rPr>
        <w:tab/>
      </w:r>
      <w:r w:rsidR="00C36E43">
        <w:rPr>
          <w:lang w:val="fr-FR"/>
        </w:rPr>
        <w:t>b)</w:t>
      </w:r>
      <w:r w:rsidR="00C36E43">
        <w:rPr>
          <w:lang w:val="fr-FR"/>
        </w:rPr>
        <w:tab/>
      </w:r>
      <w:r w:rsidR="00C36E43">
        <w:rPr>
          <w:iCs/>
          <w:lang w:val="fr-FR"/>
        </w:rPr>
        <w:t xml:space="preserve">Toxicité aiguë </w:t>
      </w:r>
      <w:r w:rsidR="00C36E43" w:rsidRPr="00923230">
        <w:rPr>
          <w:lang w:val="fr-FR"/>
        </w:rPr>
        <w:t>par</w:t>
      </w:r>
      <w:r w:rsidR="00C36E43">
        <w:rPr>
          <w:iCs/>
          <w:lang w:val="fr-FR"/>
        </w:rPr>
        <w:t xml:space="preserve"> inhalation</w:t>
      </w:r>
    </w:p>
    <w:p w14:paraId="2972393E" w14:textId="77777777" w:rsidR="00C36E43" w:rsidRPr="001B1F0F" w:rsidRDefault="00C36E43" w:rsidP="00923230">
      <w:pPr>
        <w:pStyle w:val="SingleTxtG"/>
        <w:rPr>
          <w:lang w:val="fr-FR"/>
        </w:rPr>
      </w:pPr>
      <w:r>
        <w:rPr>
          <w:lang w:val="fr-FR"/>
        </w:rPr>
        <w:t>Une classification sur la base des critères du tableau 3.1.1 du SGH est possible. L</w:t>
      </w:r>
      <w:r w:rsidR="004F0AEA">
        <w:rPr>
          <w:lang w:val="fr-FR"/>
        </w:rPr>
        <w:t>’</w:t>
      </w:r>
      <w:r>
        <w:rPr>
          <w:lang w:val="fr-FR"/>
        </w:rPr>
        <w:t>étude a été réalisée sur l</w:t>
      </w:r>
      <w:r w:rsidR="004F0AEA">
        <w:rPr>
          <w:lang w:val="fr-FR"/>
        </w:rPr>
        <w:t>’</w:t>
      </w:r>
      <w:r>
        <w:rPr>
          <w:lang w:val="fr-FR"/>
        </w:rPr>
        <w:t>espèce animale préférée pour l</w:t>
      </w:r>
      <w:r w:rsidR="004F0AEA">
        <w:rPr>
          <w:lang w:val="fr-FR"/>
        </w:rPr>
        <w:t>’</w:t>
      </w:r>
      <w:r>
        <w:rPr>
          <w:lang w:val="fr-FR"/>
        </w:rPr>
        <w:t>évaluation de la toxicité aiguë par voie orale et par inhalation (à savoir le rat), conformément au 3.1.2.3 ; la valeur de la DL</w:t>
      </w:r>
      <w:r>
        <w:rPr>
          <w:vertAlign w:val="subscript"/>
          <w:lang w:val="fr-FR"/>
        </w:rPr>
        <w:t>50</w:t>
      </w:r>
      <w:r>
        <w:rPr>
          <w:lang w:val="fr-FR"/>
        </w:rPr>
        <w:t xml:space="preserve"> administrée par inhalation de brume pendant quatre heures (allant de 1,0 à 2,0 mg/L) se situe dans l</w:t>
      </w:r>
      <w:r w:rsidR="004F0AEA">
        <w:rPr>
          <w:lang w:val="fr-FR"/>
        </w:rPr>
        <w:t>’</w:t>
      </w:r>
      <w:r>
        <w:rPr>
          <w:lang w:val="fr-FR"/>
        </w:rPr>
        <w:t xml:space="preserve">intervalle correspondant à la </w:t>
      </w:r>
      <w:r w:rsidRPr="00190C7E">
        <w:rPr>
          <w:lang w:val="fr-FR"/>
        </w:rPr>
        <w:t xml:space="preserve">catégorie </w:t>
      </w:r>
      <w:r w:rsidR="00190C7E">
        <w:rPr>
          <w:lang w:val="fr-FR"/>
        </w:rPr>
        <w:t>4</w:t>
      </w:r>
      <w:r>
        <w:rPr>
          <w:lang w:val="fr-FR"/>
        </w:rPr>
        <w:t>, à savoir 1,0 &lt; ETA ≤ 5,0, ce qui justifie une classification dans cette catégorie pour l</w:t>
      </w:r>
      <w:r w:rsidR="004F0AEA">
        <w:rPr>
          <w:lang w:val="fr-FR"/>
        </w:rPr>
        <w:t>’</w:t>
      </w:r>
      <w:r>
        <w:rPr>
          <w:lang w:val="fr-FR"/>
        </w:rPr>
        <w:t>exposition par inhalation.</w:t>
      </w:r>
    </w:p>
    <w:p w14:paraId="1E0AD219" w14:textId="77777777" w:rsidR="00C36E43" w:rsidRPr="001B1F0F" w:rsidRDefault="00923230" w:rsidP="00923230">
      <w:pPr>
        <w:pStyle w:val="H4G"/>
        <w:rPr>
          <w:lang w:val="fr-FR"/>
        </w:rPr>
      </w:pPr>
      <w:r>
        <w:rPr>
          <w:lang w:val="fr-FR"/>
        </w:rPr>
        <w:lastRenderedPageBreak/>
        <w:tab/>
      </w:r>
      <w:r w:rsidR="00C36E43">
        <w:rPr>
          <w:lang w:val="fr-FR"/>
        </w:rPr>
        <w:t>c)</w:t>
      </w:r>
      <w:r w:rsidR="00C36E43">
        <w:rPr>
          <w:lang w:val="fr-FR"/>
        </w:rPr>
        <w:tab/>
      </w:r>
      <w:r w:rsidR="00C36E43">
        <w:rPr>
          <w:iCs/>
          <w:lang w:val="fr-FR"/>
        </w:rPr>
        <w:t xml:space="preserve">Toxicité pour </w:t>
      </w:r>
      <w:r w:rsidR="00C36E43" w:rsidRPr="00923230">
        <w:rPr>
          <w:lang w:val="fr-FR"/>
        </w:rPr>
        <w:t>certains</w:t>
      </w:r>
      <w:r w:rsidR="00C36E43">
        <w:rPr>
          <w:iCs/>
          <w:lang w:val="fr-FR"/>
        </w:rPr>
        <w:t xml:space="preserve"> organes cibles </w:t>
      </w:r>
      <w:r>
        <w:rPr>
          <w:iCs/>
          <w:lang w:val="fr-FR"/>
        </w:rPr>
        <w:t>−</w:t>
      </w:r>
      <w:r w:rsidR="00C36E43">
        <w:rPr>
          <w:iCs/>
          <w:lang w:val="fr-FR"/>
        </w:rPr>
        <w:t xml:space="preserve"> exposition unique (voie orale)</w:t>
      </w:r>
    </w:p>
    <w:p w14:paraId="202AC301" w14:textId="77777777" w:rsidR="00C36E43" w:rsidRPr="001B1F0F" w:rsidRDefault="00C36E43" w:rsidP="00923230">
      <w:pPr>
        <w:pStyle w:val="SingleTxtG"/>
        <w:rPr>
          <w:lang w:val="fr-FR"/>
        </w:rPr>
      </w:pPr>
      <w:r>
        <w:rPr>
          <w:lang w:val="fr-FR"/>
        </w:rPr>
        <w:t>Une exposition orale aiguë induit des signes cliniques de neurotoxicité à des doses inférieures ou égales à 100 mg/kg p.c., ce qui justifie une classification dans la catégorie 1, conformément aux valeurs indicatives du tableau 3.8.2 du SGH. Néanmoins, ces effets neurologiques aigus ont généralement été observés à des doses qui ont également provoqué la mort par suite d</w:t>
      </w:r>
      <w:r w:rsidR="004F0AEA">
        <w:rPr>
          <w:lang w:val="fr-FR"/>
        </w:rPr>
        <w:t>’</w:t>
      </w:r>
      <w:r>
        <w:rPr>
          <w:lang w:val="fr-FR"/>
        </w:rPr>
        <w:t>une exposition unique à un niveau justifiant une affectation à la classe de danger « toxicité aiguë ». L</w:t>
      </w:r>
      <w:r w:rsidR="004F0AEA">
        <w:rPr>
          <w:lang w:val="fr-FR"/>
        </w:rPr>
        <w:t>’</w:t>
      </w:r>
      <w:r>
        <w:rPr>
          <w:lang w:val="fr-FR"/>
        </w:rPr>
        <w:t xml:space="preserve">affectation à la classe « toxicité pour certains organes cibles </w:t>
      </w:r>
      <w:r w:rsidR="00923230">
        <w:rPr>
          <w:lang w:val="fr-FR"/>
        </w:rPr>
        <w:t>−</w:t>
      </w:r>
      <w:r w:rsidR="001D4D19">
        <w:rPr>
          <w:lang w:val="fr-FR"/>
        </w:rPr>
        <w:t> </w:t>
      </w:r>
      <w:r>
        <w:rPr>
          <w:lang w:val="fr-FR"/>
        </w:rPr>
        <w:t>exposition unique » n</w:t>
      </w:r>
      <w:r w:rsidR="004F0AEA">
        <w:rPr>
          <w:lang w:val="fr-FR"/>
        </w:rPr>
        <w:t>’</w:t>
      </w:r>
      <w:r>
        <w:rPr>
          <w:lang w:val="fr-FR"/>
        </w:rPr>
        <w:t>est donc pas adaptée</w:t>
      </w:r>
      <w:r w:rsidRPr="00374847">
        <w:rPr>
          <w:lang w:val="fr-FR"/>
        </w:rPr>
        <w:t xml:space="preserve"> </w:t>
      </w:r>
      <w:r>
        <w:rPr>
          <w:lang w:val="fr-FR"/>
        </w:rPr>
        <w:t>pour l</w:t>
      </w:r>
      <w:r w:rsidR="004F0AEA">
        <w:rPr>
          <w:lang w:val="fr-FR"/>
        </w:rPr>
        <w:t>’</w:t>
      </w:r>
      <w:r>
        <w:rPr>
          <w:lang w:val="fr-FR"/>
        </w:rPr>
        <w:t>exposition par voie orale.</w:t>
      </w:r>
    </w:p>
    <w:p w14:paraId="2387C080" w14:textId="77777777" w:rsidR="00C36E43" w:rsidRPr="001B1F0F" w:rsidRDefault="00923230" w:rsidP="00923230">
      <w:pPr>
        <w:pStyle w:val="H4G"/>
        <w:rPr>
          <w:lang w:val="fr-FR"/>
        </w:rPr>
      </w:pPr>
      <w:r>
        <w:rPr>
          <w:lang w:val="fr-FR"/>
        </w:rPr>
        <w:tab/>
      </w:r>
      <w:r w:rsidR="00C36E43">
        <w:rPr>
          <w:lang w:val="fr-FR"/>
        </w:rPr>
        <w:t>d)</w:t>
      </w:r>
      <w:r w:rsidR="00C36E43">
        <w:rPr>
          <w:lang w:val="fr-FR"/>
        </w:rPr>
        <w:tab/>
      </w:r>
      <w:r w:rsidR="00C36E43">
        <w:rPr>
          <w:iCs/>
          <w:lang w:val="fr-FR"/>
        </w:rPr>
        <w:t xml:space="preserve">Toxicité pour certains organes </w:t>
      </w:r>
      <w:r w:rsidR="00C36E43" w:rsidRPr="00923230">
        <w:rPr>
          <w:lang w:val="fr-FR"/>
        </w:rPr>
        <w:t>cibles</w:t>
      </w:r>
      <w:r w:rsidR="00C36E43">
        <w:rPr>
          <w:iCs/>
          <w:lang w:val="fr-FR"/>
        </w:rPr>
        <w:t xml:space="preserve"> </w:t>
      </w:r>
      <w:r>
        <w:rPr>
          <w:iCs/>
          <w:lang w:val="fr-FR"/>
        </w:rPr>
        <w:t>−</w:t>
      </w:r>
      <w:r w:rsidR="00C36E43">
        <w:rPr>
          <w:iCs/>
          <w:lang w:val="fr-FR"/>
        </w:rPr>
        <w:t xml:space="preserve"> exposition unique (inhalation)</w:t>
      </w:r>
    </w:p>
    <w:p w14:paraId="29F0BEC0" w14:textId="77777777" w:rsidR="00C36E43" w:rsidRPr="001B1F0F" w:rsidRDefault="00C36E43" w:rsidP="00923230">
      <w:pPr>
        <w:pStyle w:val="SingleTxtG"/>
        <w:rPr>
          <w:lang w:val="fr-FR"/>
        </w:rPr>
      </w:pPr>
      <w:r>
        <w:rPr>
          <w:lang w:val="fr-FR"/>
        </w:rPr>
        <w:t>Une exposition aiguë par inhalation induit des signes cliniques de neurotoxicité à des concentrations supérieures ou égales à 0,5 mg/L, ce qui justifie une classification dans la catégorie 1, conformément aux valeurs indicatives du tableau 3.8.1 du SGH pour les brumes. Aucun décès n</w:t>
      </w:r>
      <w:r w:rsidR="004F0AEA">
        <w:rPr>
          <w:lang w:val="fr-FR"/>
        </w:rPr>
        <w:t>’</w:t>
      </w:r>
      <w:r>
        <w:rPr>
          <w:lang w:val="fr-FR"/>
        </w:rPr>
        <w:t>a été observé à la concentration de 0,5 mg/L qui induit des signes cliniques de neurotoxicité, et il a été estimé que la CL</w:t>
      </w:r>
      <w:r>
        <w:rPr>
          <w:vertAlign w:val="subscript"/>
          <w:lang w:val="fr-FR"/>
        </w:rPr>
        <w:t>50</w:t>
      </w:r>
      <w:r>
        <w:rPr>
          <w:lang w:val="fr-FR"/>
        </w:rPr>
        <w:t xml:space="preserve"> était largement supérieure à cette valeur. L</w:t>
      </w:r>
      <w:r w:rsidR="004F0AEA">
        <w:rPr>
          <w:lang w:val="fr-FR"/>
        </w:rPr>
        <w:t>’</w:t>
      </w:r>
      <w:r>
        <w:rPr>
          <w:lang w:val="fr-FR"/>
        </w:rPr>
        <w:t xml:space="preserve">affectation à la catégorie 1 de la classe « toxicité pour certains organes cibles </w:t>
      </w:r>
      <w:r w:rsidR="00226030">
        <w:rPr>
          <w:lang w:val="fr-FR"/>
        </w:rPr>
        <w:t>− </w:t>
      </w:r>
      <w:r>
        <w:rPr>
          <w:lang w:val="fr-FR"/>
        </w:rPr>
        <w:t>exposition unique » est donc justifiée</w:t>
      </w:r>
      <w:r w:rsidRPr="00374847">
        <w:rPr>
          <w:lang w:val="fr-FR"/>
        </w:rPr>
        <w:t xml:space="preserve"> </w:t>
      </w:r>
      <w:r>
        <w:rPr>
          <w:lang w:val="fr-FR"/>
        </w:rPr>
        <w:t>pour l</w:t>
      </w:r>
      <w:r w:rsidR="004F0AEA">
        <w:rPr>
          <w:lang w:val="fr-FR"/>
        </w:rPr>
        <w:t>’</w:t>
      </w:r>
      <w:r>
        <w:rPr>
          <w:lang w:val="fr-FR"/>
        </w:rPr>
        <w:t>exposition par</w:t>
      </w:r>
      <w:r w:rsidRPr="00374847">
        <w:rPr>
          <w:lang w:val="fr-FR"/>
        </w:rPr>
        <w:t xml:space="preserve"> </w:t>
      </w:r>
      <w:r>
        <w:rPr>
          <w:lang w:val="fr-FR"/>
        </w:rPr>
        <w:t>inhalation.</w:t>
      </w:r>
    </w:p>
    <w:p w14:paraId="13D293D6" w14:textId="77777777" w:rsidR="00C36E43" w:rsidRPr="001B1F0F" w:rsidRDefault="00923230" w:rsidP="00923230">
      <w:pPr>
        <w:pStyle w:val="H4G"/>
        <w:rPr>
          <w:lang w:val="fr-FR"/>
        </w:rPr>
      </w:pPr>
      <w:r>
        <w:rPr>
          <w:lang w:val="fr-FR"/>
        </w:rPr>
        <w:tab/>
      </w:r>
      <w:r w:rsidR="00C36E43">
        <w:rPr>
          <w:lang w:val="fr-FR"/>
        </w:rPr>
        <w:t>e)</w:t>
      </w:r>
      <w:r w:rsidR="00C36E43">
        <w:rPr>
          <w:lang w:val="fr-FR"/>
        </w:rPr>
        <w:tab/>
        <w:t xml:space="preserve">Toxicité pour certains organes cibles </w:t>
      </w:r>
      <w:r>
        <w:rPr>
          <w:lang w:val="fr-FR"/>
        </w:rPr>
        <w:t>−</w:t>
      </w:r>
      <w:r w:rsidR="00C36E43">
        <w:rPr>
          <w:lang w:val="fr-FR"/>
        </w:rPr>
        <w:t xml:space="preserve"> expositions répétées (par voie orale)</w:t>
      </w:r>
    </w:p>
    <w:p w14:paraId="107E222E" w14:textId="77777777" w:rsidR="00C36E43" w:rsidRPr="001B1F0F" w:rsidRDefault="00C36E43" w:rsidP="00923230">
      <w:pPr>
        <w:pStyle w:val="SingleTxtG"/>
        <w:rPr>
          <w:lang w:val="fr-FR"/>
        </w:rPr>
      </w:pPr>
      <w:r>
        <w:rPr>
          <w:lang w:val="fr-FR"/>
        </w:rPr>
        <w:t>Une exposition orale répétée induit des signes cliniques de neurotoxicité à une dose de 100 mg/kg p.c., ce qui correspond aux critères de la catégorie 2, conformément aux valeurs indicatives du tableau 3.9.1 du SGH. Néanmoins, ces effets neurologiques aigus ont été observés pendant ou tout de suite après l</w:t>
      </w:r>
      <w:r w:rsidR="004F0AEA">
        <w:rPr>
          <w:lang w:val="fr-FR"/>
        </w:rPr>
        <w:t>’</w:t>
      </w:r>
      <w:r>
        <w:rPr>
          <w:lang w:val="fr-FR"/>
        </w:rPr>
        <w:t>exposition. En outre, aucun signe histopathologique n</w:t>
      </w:r>
      <w:r w:rsidR="004F0AEA">
        <w:rPr>
          <w:lang w:val="fr-FR"/>
        </w:rPr>
        <w:t>’</w:t>
      </w:r>
      <w:r>
        <w:rPr>
          <w:lang w:val="fr-FR"/>
        </w:rPr>
        <w:t>a été signalé dans le système nerveux après un examen détaillé, et aucun signe n</w:t>
      </w:r>
      <w:r w:rsidR="004F0AEA">
        <w:rPr>
          <w:lang w:val="fr-FR"/>
        </w:rPr>
        <w:t>’</w:t>
      </w:r>
      <w:r>
        <w:rPr>
          <w:lang w:val="fr-FR"/>
        </w:rPr>
        <w:t>a été signalé dans le cadre de la batterie d</w:t>
      </w:r>
      <w:r w:rsidR="004F0AEA">
        <w:rPr>
          <w:lang w:val="fr-FR"/>
        </w:rPr>
        <w:t>’</w:t>
      </w:r>
      <w:r>
        <w:rPr>
          <w:lang w:val="fr-FR"/>
        </w:rPr>
        <w:t>observations fonctionnelles. Lorsqu</w:t>
      </w:r>
      <w:r w:rsidR="004F0AEA">
        <w:rPr>
          <w:lang w:val="fr-FR"/>
        </w:rPr>
        <w:t>’</w:t>
      </w:r>
      <w:r>
        <w:rPr>
          <w:lang w:val="fr-FR"/>
        </w:rPr>
        <w:t xml:space="preserve">on les analyse dans leur globalité, les données obtenues révèlent un effet neurotoxique aigu susceptible de justifier une affectation à la classe de danger « toxicité pour certains organes cibles </w:t>
      </w:r>
      <w:r w:rsidR="00923230">
        <w:rPr>
          <w:lang w:val="fr-FR"/>
        </w:rPr>
        <w:t>−</w:t>
      </w:r>
      <w:r>
        <w:rPr>
          <w:lang w:val="fr-FR"/>
        </w:rPr>
        <w:t xml:space="preserve"> exposition unique », mais pas à la classe « toxicité pour certains organes cibles </w:t>
      </w:r>
      <w:r w:rsidR="00923230">
        <w:rPr>
          <w:lang w:val="fr-FR"/>
        </w:rPr>
        <w:t>−</w:t>
      </w:r>
      <w:r>
        <w:rPr>
          <w:lang w:val="fr-FR"/>
        </w:rPr>
        <w:t xml:space="preserve"> expositions répétées ». L</w:t>
      </w:r>
      <w:r w:rsidR="004F0AEA">
        <w:rPr>
          <w:lang w:val="fr-FR"/>
        </w:rPr>
        <w:t>’</w:t>
      </w:r>
      <w:r>
        <w:rPr>
          <w:lang w:val="fr-FR"/>
        </w:rPr>
        <w:t>affectation à cette dernière classe n</w:t>
      </w:r>
      <w:r w:rsidR="004F0AEA">
        <w:rPr>
          <w:lang w:val="fr-FR"/>
        </w:rPr>
        <w:t>’</w:t>
      </w:r>
      <w:r>
        <w:rPr>
          <w:lang w:val="fr-FR"/>
        </w:rPr>
        <w:t>est donc pas adaptée</w:t>
      </w:r>
      <w:r w:rsidRPr="00374847">
        <w:rPr>
          <w:lang w:val="fr-FR"/>
        </w:rPr>
        <w:t xml:space="preserve"> </w:t>
      </w:r>
      <w:r>
        <w:rPr>
          <w:lang w:val="fr-FR"/>
        </w:rPr>
        <w:t>pour l</w:t>
      </w:r>
      <w:r w:rsidR="004F0AEA">
        <w:rPr>
          <w:lang w:val="fr-FR"/>
        </w:rPr>
        <w:t>’</w:t>
      </w:r>
      <w:r>
        <w:rPr>
          <w:lang w:val="fr-FR"/>
        </w:rPr>
        <w:t>exposition par voie orale.</w:t>
      </w:r>
    </w:p>
    <w:p w14:paraId="51F20358" w14:textId="77777777" w:rsidR="00C36E43" w:rsidRPr="001B1F0F" w:rsidRDefault="00923230" w:rsidP="00923230">
      <w:pPr>
        <w:pStyle w:val="H4G"/>
        <w:rPr>
          <w:lang w:val="fr-FR"/>
        </w:rPr>
      </w:pPr>
      <w:r>
        <w:rPr>
          <w:lang w:val="fr-FR"/>
        </w:rPr>
        <w:tab/>
      </w:r>
      <w:r w:rsidR="00C36E43">
        <w:rPr>
          <w:lang w:val="fr-FR"/>
        </w:rPr>
        <w:t>f)</w:t>
      </w:r>
      <w:r w:rsidR="00C36E43">
        <w:rPr>
          <w:lang w:val="fr-FR"/>
        </w:rPr>
        <w:tab/>
        <w:t xml:space="preserve">Toxicité pour certains organes cibles </w:t>
      </w:r>
      <w:r>
        <w:rPr>
          <w:lang w:val="fr-FR"/>
        </w:rPr>
        <w:t>−</w:t>
      </w:r>
      <w:r w:rsidR="00C36E43">
        <w:rPr>
          <w:lang w:val="fr-FR"/>
        </w:rPr>
        <w:t xml:space="preserve"> expositions répétées (inhalation)</w:t>
      </w:r>
    </w:p>
    <w:p w14:paraId="4C772F7E" w14:textId="77777777" w:rsidR="00C36E43" w:rsidRPr="001B1F0F" w:rsidRDefault="00C36E43" w:rsidP="00923230">
      <w:pPr>
        <w:pStyle w:val="SingleTxtG"/>
        <w:rPr>
          <w:lang w:val="fr-FR"/>
        </w:rPr>
      </w:pPr>
      <w:r>
        <w:rPr>
          <w:lang w:val="fr-FR"/>
        </w:rPr>
        <w:t>Une exposition répétée par inhalation induit chez le rat des signes cliniques de neurotoxicité à une concentration de 0,2 mg/L, ce qui justifie une classification dans la catégorie 2, conformément aux valeurs indicatives du tableau 3.9.2 du SGH, sous réserve de l</w:t>
      </w:r>
      <w:r w:rsidR="004F0AEA">
        <w:rPr>
          <w:lang w:val="fr-FR"/>
        </w:rPr>
        <w:t>’</w:t>
      </w:r>
      <w:r>
        <w:rPr>
          <w:lang w:val="fr-FR"/>
        </w:rPr>
        <w:t>ajustement nécessaire à la prise en compte de la durée d</w:t>
      </w:r>
      <w:r w:rsidR="004F0AEA">
        <w:rPr>
          <w:lang w:val="fr-FR"/>
        </w:rPr>
        <w:t>’</w:t>
      </w:r>
      <w:r>
        <w:rPr>
          <w:lang w:val="fr-FR"/>
        </w:rPr>
        <w:t xml:space="preserve">exposition de </w:t>
      </w:r>
      <w:r w:rsidR="00226030">
        <w:rPr>
          <w:lang w:val="fr-FR"/>
        </w:rPr>
        <w:t>vingt-huit</w:t>
      </w:r>
      <w:r>
        <w:rPr>
          <w:lang w:val="fr-FR"/>
        </w:rPr>
        <w:t xml:space="preserve"> jours. Néanmoins, dans la même étude, des décès de rats ont été enregistrés à une concentration de 0,2 mg/L sans que soient observés des altérations locales ou des changements histopathologiques systémiques. Cette dose efficace est aussi cohérente avec une affectation à la catégorie 2 de la classe « toxicité pour certains organes cibles </w:t>
      </w:r>
      <w:r w:rsidR="00226030">
        <w:rPr>
          <w:lang w:val="fr-FR"/>
        </w:rPr>
        <w:t>−</w:t>
      </w:r>
      <w:r>
        <w:rPr>
          <w:lang w:val="fr-FR"/>
        </w:rPr>
        <w:t xml:space="preserve"> expositions répétées » (intervalle de concentration compris entre 0,06 et 0,6 mg/L, à raison de six heures par jour pour une étude de </w:t>
      </w:r>
      <w:r w:rsidR="00226030">
        <w:rPr>
          <w:lang w:val="fr-FR"/>
        </w:rPr>
        <w:t xml:space="preserve">vingt-huit </w:t>
      </w:r>
      <w:r>
        <w:rPr>
          <w:lang w:val="fr-FR"/>
        </w:rPr>
        <w:t>jours). Après une exposition aiguë, la plus faible dose entraînant le décès du sujet a été de 2 mg/L, alors qu</w:t>
      </w:r>
      <w:r w:rsidR="004F0AEA">
        <w:rPr>
          <w:lang w:val="fr-FR"/>
        </w:rPr>
        <w:t>’</w:t>
      </w:r>
      <w:r>
        <w:rPr>
          <w:lang w:val="fr-FR"/>
        </w:rPr>
        <w:t>aucun décès n</w:t>
      </w:r>
      <w:r w:rsidR="004F0AEA">
        <w:rPr>
          <w:lang w:val="fr-FR"/>
        </w:rPr>
        <w:t>’</w:t>
      </w:r>
      <w:r>
        <w:rPr>
          <w:lang w:val="fr-FR"/>
        </w:rPr>
        <w:t>a été signalé à 0,5 mg/L. Les décès par suite d</w:t>
      </w:r>
      <w:r w:rsidR="004F0AEA">
        <w:rPr>
          <w:lang w:val="fr-FR"/>
        </w:rPr>
        <w:t>’</w:t>
      </w:r>
      <w:r>
        <w:rPr>
          <w:lang w:val="fr-FR"/>
        </w:rPr>
        <w:t>expositions répétées se sont donc produits à des concentrations</w:t>
      </w:r>
      <w:r w:rsidRPr="00374847">
        <w:rPr>
          <w:lang w:val="fr-FR"/>
        </w:rPr>
        <w:t xml:space="preserve"> </w:t>
      </w:r>
      <w:r>
        <w:rPr>
          <w:lang w:val="fr-FR"/>
        </w:rPr>
        <w:t>bien plus faibles. De plus, les décès sont survenus à différents moments de l</w:t>
      </w:r>
      <w:r w:rsidR="004F0AEA">
        <w:rPr>
          <w:lang w:val="fr-FR"/>
        </w:rPr>
        <w:t>’</w:t>
      </w:r>
      <w:r>
        <w:rPr>
          <w:lang w:val="fr-FR"/>
        </w:rPr>
        <w:t>étude ; ils sont donc considérés comme étant distincts des effets létaux aigus. L</w:t>
      </w:r>
      <w:r w:rsidR="004F0AEA">
        <w:rPr>
          <w:lang w:val="fr-FR"/>
        </w:rPr>
        <w:t>’</w:t>
      </w:r>
      <w:r>
        <w:rPr>
          <w:lang w:val="fr-FR"/>
        </w:rPr>
        <w:t xml:space="preserve">affectation à la catégorie 2 de la classe « toxicité pour certains organes cibles </w:t>
      </w:r>
      <w:r w:rsidR="00923230">
        <w:rPr>
          <w:lang w:val="fr-FR"/>
        </w:rPr>
        <w:t>−</w:t>
      </w:r>
      <w:r w:rsidR="00103992">
        <w:rPr>
          <w:lang w:val="fr-FR"/>
        </w:rPr>
        <w:t> </w:t>
      </w:r>
      <w:r>
        <w:rPr>
          <w:lang w:val="fr-FR"/>
        </w:rPr>
        <w:t>expositions répétées » est donc justifiée pour l</w:t>
      </w:r>
      <w:r w:rsidR="004F0AEA">
        <w:rPr>
          <w:lang w:val="fr-FR"/>
        </w:rPr>
        <w:t>’</w:t>
      </w:r>
      <w:r>
        <w:rPr>
          <w:lang w:val="fr-FR"/>
        </w:rPr>
        <w:t>exposition par inhalation, sans qu</w:t>
      </w:r>
      <w:r w:rsidR="004F0AEA">
        <w:rPr>
          <w:lang w:val="fr-FR"/>
        </w:rPr>
        <w:t>’</w:t>
      </w:r>
      <w:r>
        <w:rPr>
          <w:lang w:val="fr-FR"/>
        </w:rPr>
        <w:t>il soit nécessaire de préciser l</w:t>
      </w:r>
      <w:r w:rsidR="004F0AEA">
        <w:rPr>
          <w:lang w:val="fr-FR"/>
        </w:rPr>
        <w:t>’</w:t>
      </w:r>
      <w:r>
        <w:rPr>
          <w:lang w:val="fr-FR"/>
        </w:rPr>
        <w:t>organe cible.</w:t>
      </w:r>
    </w:p>
    <w:p w14:paraId="1365DD87" w14:textId="77777777" w:rsidR="00C36E43" w:rsidRDefault="00C36E43" w:rsidP="00923230">
      <w:pPr>
        <w:pStyle w:val="SingleTxtG"/>
        <w:jc w:val="center"/>
        <w:rPr>
          <w:lang w:val="fr-FR"/>
        </w:rPr>
      </w:pPr>
      <w:r>
        <w:rPr>
          <w:lang w:val="fr-FR"/>
        </w:rPr>
        <w:t>(Fin de l</w:t>
      </w:r>
      <w:r w:rsidR="004F0AEA">
        <w:rPr>
          <w:lang w:val="fr-FR"/>
        </w:rPr>
        <w:t>’</w:t>
      </w:r>
      <w:r>
        <w:rPr>
          <w:lang w:val="fr-FR"/>
        </w:rPr>
        <w:t>exemple 5)</w:t>
      </w:r>
    </w:p>
    <w:p w14:paraId="45F034F9" w14:textId="77777777" w:rsidR="00923230" w:rsidRPr="00923230" w:rsidRDefault="00923230" w:rsidP="00923230">
      <w:pPr>
        <w:pStyle w:val="SingleTxtG"/>
        <w:spacing w:before="240" w:after="0"/>
        <w:jc w:val="center"/>
        <w:rPr>
          <w:u w:val="single"/>
        </w:rPr>
      </w:pPr>
      <w:r>
        <w:rPr>
          <w:u w:val="single"/>
        </w:rPr>
        <w:tab/>
      </w:r>
      <w:r>
        <w:rPr>
          <w:u w:val="single"/>
        </w:rPr>
        <w:tab/>
      </w:r>
      <w:r>
        <w:rPr>
          <w:u w:val="single"/>
        </w:rPr>
        <w:tab/>
      </w:r>
    </w:p>
    <w:sectPr w:rsidR="00923230" w:rsidRPr="00923230" w:rsidSect="00625DC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14354" w14:textId="77777777" w:rsidR="0052051D" w:rsidRDefault="0052051D" w:rsidP="00F95C08">
      <w:pPr>
        <w:spacing w:line="240" w:lineRule="auto"/>
      </w:pPr>
    </w:p>
  </w:endnote>
  <w:endnote w:type="continuationSeparator" w:id="0">
    <w:p w14:paraId="4BBF4EBB" w14:textId="77777777" w:rsidR="0052051D" w:rsidRPr="00AC3823" w:rsidRDefault="0052051D" w:rsidP="00AC3823">
      <w:pPr>
        <w:pStyle w:val="Footer"/>
      </w:pPr>
    </w:p>
  </w:endnote>
  <w:endnote w:type="continuationNotice" w:id="1">
    <w:p w14:paraId="747CE0DB" w14:textId="77777777" w:rsidR="0052051D" w:rsidRDefault="005205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B3488" w14:textId="77777777" w:rsidR="0052051D" w:rsidRPr="00625DC0" w:rsidRDefault="0052051D" w:rsidP="00625DC0">
    <w:pPr>
      <w:pStyle w:val="Footer"/>
      <w:tabs>
        <w:tab w:val="right" w:pos="9638"/>
      </w:tabs>
    </w:pPr>
    <w:r w:rsidRPr="00625DC0">
      <w:rPr>
        <w:b/>
        <w:sz w:val="18"/>
      </w:rPr>
      <w:fldChar w:fldCharType="begin"/>
    </w:r>
    <w:r w:rsidRPr="00625DC0">
      <w:rPr>
        <w:b/>
        <w:sz w:val="18"/>
      </w:rPr>
      <w:instrText xml:space="preserve"> PAGE  \* MERGEFORMAT </w:instrText>
    </w:r>
    <w:r w:rsidRPr="00625DC0">
      <w:rPr>
        <w:b/>
        <w:sz w:val="18"/>
      </w:rPr>
      <w:fldChar w:fldCharType="separate"/>
    </w:r>
    <w:r w:rsidRPr="00625DC0">
      <w:rPr>
        <w:b/>
        <w:noProof/>
        <w:sz w:val="18"/>
      </w:rPr>
      <w:t>2</w:t>
    </w:r>
    <w:r w:rsidRPr="00625DC0">
      <w:rPr>
        <w:b/>
        <w:sz w:val="18"/>
      </w:rPr>
      <w:fldChar w:fldCharType="end"/>
    </w:r>
    <w:r>
      <w:rPr>
        <w:b/>
        <w:sz w:val="18"/>
      </w:rPr>
      <w:tab/>
    </w:r>
    <w:r>
      <w:t>GE.20-05598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8DED6" w14:textId="77777777" w:rsidR="0052051D" w:rsidRPr="00625DC0" w:rsidRDefault="0052051D" w:rsidP="00625DC0">
    <w:pPr>
      <w:pStyle w:val="Footer"/>
      <w:tabs>
        <w:tab w:val="right" w:pos="9638"/>
      </w:tabs>
      <w:rPr>
        <w:b/>
        <w:sz w:val="18"/>
      </w:rPr>
    </w:pPr>
    <w:r>
      <w:t>GE.20-05598</w:t>
    </w:r>
    <w:r>
      <w:tab/>
    </w:r>
    <w:r w:rsidRPr="00625DC0">
      <w:rPr>
        <w:b/>
        <w:sz w:val="18"/>
      </w:rPr>
      <w:fldChar w:fldCharType="begin"/>
    </w:r>
    <w:r w:rsidRPr="00625DC0">
      <w:rPr>
        <w:b/>
        <w:sz w:val="18"/>
      </w:rPr>
      <w:instrText xml:space="preserve"> PAGE  \* MERGEFORMAT </w:instrText>
    </w:r>
    <w:r w:rsidRPr="00625DC0">
      <w:rPr>
        <w:b/>
        <w:sz w:val="18"/>
      </w:rPr>
      <w:fldChar w:fldCharType="separate"/>
    </w:r>
    <w:r w:rsidRPr="00625DC0">
      <w:rPr>
        <w:b/>
        <w:noProof/>
        <w:sz w:val="18"/>
      </w:rPr>
      <w:t>3</w:t>
    </w:r>
    <w:r w:rsidRPr="00625DC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768C" w14:textId="77777777" w:rsidR="0052051D" w:rsidRPr="00625DC0" w:rsidRDefault="0052051D" w:rsidP="00625DC0">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3686C437" wp14:editId="6B22390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05598  (</w:t>
    </w:r>
    <w:proofErr w:type="gramEnd"/>
    <w:r>
      <w:rPr>
        <w:sz w:val="20"/>
      </w:rPr>
      <w:t>F)    300920    300920</w:t>
    </w:r>
    <w:r>
      <w:rPr>
        <w:sz w:val="20"/>
      </w:rPr>
      <w:br/>
    </w:r>
    <w:r w:rsidRPr="00625DC0">
      <w:rPr>
        <w:rFonts w:ascii="C39T30Lfz" w:hAnsi="C39T30Lfz"/>
        <w:sz w:val="56"/>
      </w:rPr>
      <w:t></w:t>
    </w:r>
    <w:r w:rsidRPr="00625DC0">
      <w:rPr>
        <w:rFonts w:ascii="C39T30Lfz" w:hAnsi="C39T30Lfz"/>
        <w:sz w:val="56"/>
      </w:rPr>
      <w:t></w:t>
    </w:r>
    <w:r w:rsidRPr="00625DC0">
      <w:rPr>
        <w:rFonts w:ascii="C39T30Lfz" w:hAnsi="C39T30Lfz"/>
        <w:sz w:val="56"/>
      </w:rPr>
      <w:t></w:t>
    </w:r>
    <w:r w:rsidRPr="00625DC0">
      <w:rPr>
        <w:rFonts w:ascii="C39T30Lfz" w:hAnsi="C39T30Lfz"/>
        <w:sz w:val="56"/>
      </w:rPr>
      <w:t></w:t>
    </w:r>
    <w:r w:rsidRPr="00625DC0">
      <w:rPr>
        <w:rFonts w:ascii="C39T30Lfz" w:hAnsi="C39T30Lfz"/>
        <w:sz w:val="56"/>
      </w:rPr>
      <w:t></w:t>
    </w:r>
    <w:r w:rsidRPr="00625DC0">
      <w:rPr>
        <w:rFonts w:ascii="C39T30Lfz" w:hAnsi="C39T30Lfz"/>
        <w:sz w:val="56"/>
      </w:rPr>
      <w:t></w:t>
    </w:r>
    <w:r w:rsidRPr="00625DC0">
      <w:rPr>
        <w:rFonts w:ascii="C39T30Lfz" w:hAnsi="C39T30Lfz"/>
        <w:sz w:val="56"/>
      </w:rPr>
      <w:t></w:t>
    </w:r>
    <w:r w:rsidRPr="00625DC0">
      <w:rPr>
        <w:rFonts w:ascii="C39T30Lfz" w:hAnsi="C39T30Lfz"/>
        <w:sz w:val="56"/>
      </w:rPr>
      <w:t></w:t>
    </w:r>
    <w:r w:rsidRPr="00625DC0">
      <w:rPr>
        <w:rFonts w:ascii="C39T30Lfz" w:hAnsi="C39T30Lfz"/>
        <w:sz w:val="56"/>
      </w:rPr>
      <w:t></w:t>
    </w:r>
    <w:r>
      <w:rPr>
        <w:noProof/>
        <w:sz w:val="20"/>
      </w:rPr>
      <w:drawing>
        <wp:anchor distT="0" distB="0" distL="114300" distR="114300" simplePos="0" relativeHeight="251658240" behindDoc="0" locked="0" layoutInCell="1" allowOverlap="1" wp14:anchorId="6BCA8B64" wp14:editId="545262B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81A63" w14:textId="77777777" w:rsidR="0052051D" w:rsidRPr="00AC3823" w:rsidRDefault="0052051D" w:rsidP="00AC3823">
      <w:pPr>
        <w:pStyle w:val="Footer"/>
        <w:tabs>
          <w:tab w:val="right" w:pos="2155"/>
        </w:tabs>
        <w:spacing w:after="80" w:line="240" w:lineRule="atLeast"/>
        <w:ind w:left="680"/>
        <w:rPr>
          <w:u w:val="single"/>
        </w:rPr>
      </w:pPr>
      <w:r>
        <w:rPr>
          <w:u w:val="single"/>
        </w:rPr>
        <w:tab/>
      </w:r>
    </w:p>
  </w:footnote>
  <w:footnote w:type="continuationSeparator" w:id="0">
    <w:p w14:paraId="5E4428CB" w14:textId="77777777" w:rsidR="0052051D" w:rsidRPr="00AC3823" w:rsidRDefault="0052051D" w:rsidP="00AC3823">
      <w:pPr>
        <w:pStyle w:val="Footer"/>
        <w:tabs>
          <w:tab w:val="right" w:pos="2155"/>
        </w:tabs>
        <w:spacing w:after="80" w:line="240" w:lineRule="atLeast"/>
        <w:ind w:left="680"/>
        <w:rPr>
          <w:u w:val="single"/>
        </w:rPr>
      </w:pPr>
      <w:r>
        <w:rPr>
          <w:u w:val="single"/>
        </w:rPr>
        <w:tab/>
      </w:r>
    </w:p>
  </w:footnote>
  <w:footnote w:type="continuationNotice" w:id="1">
    <w:p w14:paraId="16E7B9D8" w14:textId="77777777" w:rsidR="0052051D" w:rsidRPr="00AC3823" w:rsidRDefault="0052051D">
      <w:pPr>
        <w:spacing w:line="240" w:lineRule="auto"/>
        <w:rPr>
          <w:sz w:val="2"/>
          <w:szCs w:val="2"/>
        </w:rPr>
      </w:pPr>
    </w:p>
  </w:footnote>
  <w:footnote w:id="2">
    <w:p w14:paraId="77A26CE2" w14:textId="77777777" w:rsidR="0052051D" w:rsidRPr="004F0AEA" w:rsidRDefault="0052051D">
      <w:pPr>
        <w:pStyle w:val="FootnoteText"/>
      </w:pPr>
      <w:r>
        <w:rPr>
          <w:rStyle w:val="FootnoteReference"/>
        </w:rPr>
        <w:tab/>
      </w:r>
      <w:r w:rsidRPr="004F0AEA">
        <w:rPr>
          <w:rStyle w:val="FootnoteReference"/>
          <w:sz w:val="20"/>
          <w:vertAlign w:val="baseline"/>
        </w:rPr>
        <w:t>*</w:t>
      </w:r>
      <w:r>
        <w:rPr>
          <w:rStyle w:val="FootnoteReference"/>
          <w:sz w:val="20"/>
          <w:vertAlign w:val="baseline"/>
        </w:rPr>
        <w:tab/>
      </w:r>
      <w:r>
        <w:rPr>
          <w:lang w:val="fr-FR"/>
        </w:rPr>
        <w:t>Sous-programme 2 du budget-programme pour 2020 (A/74/6 (Sect.20)) et informations complémentaires.</w:t>
      </w:r>
    </w:p>
  </w:footnote>
  <w:footnote w:id="3">
    <w:p w14:paraId="2D3808D9" w14:textId="77777777" w:rsidR="0052051D" w:rsidRPr="001B1F0F" w:rsidRDefault="0052051D" w:rsidP="00625DC0">
      <w:pPr>
        <w:pStyle w:val="FootnoteText"/>
        <w:rPr>
          <w:lang w:val="fr-FR"/>
        </w:rPr>
      </w:pPr>
      <w:r>
        <w:rPr>
          <w:vertAlign w:val="superscript"/>
          <w:lang w:val="fr-FR"/>
        </w:rPr>
        <w:tab/>
      </w:r>
      <w:r w:rsidRPr="00E44311">
        <w:rPr>
          <w:vertAlign w:val="superscript"/>
          <w:lang w:val="fr-FR"/>
        </w:rPr>
        <w:t>1</w:t>
      </w:r>
      <w:r>
        <w:rPr>
          <w:lang w:val="fr-FR"/>
        </w:rPr>
        <w:tab/>
        <w:t>Conformément au programme de travail du Sous-Comité, approuvé à sa vingt-huitième session (document informel INF.32), puis à ses trente-deuxième (document informel INF.39) et trente</w:t>
      </w:r>
      <w:r>
        <w:rPr>
          <w:lang w:val="fr-FR"/>
        </w:rPr>
        <w:noBreakHyphen/>
        <w:t>sixième (document informel INF.39/Rev.1) sessions.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072F" w14:textId="44E4B0EC" w:rsidR="0052051D" w:rsidRPr="00625DC0" w:rsidRDefault="00BF0368">
    <w:pPr>
      <w:pStyle w:val="Header"/>
    </w:pPr>
    <w:r>
      <w:fldChar w:fldCharType="begin"/>
    </w:r>
    <w:r>
      <w:instrText xml:space="preserve"> TITLE  \* MERGEFORMAT </w:instrText>
    </w:r>
    <w:r>
      <w:fldChar w:fldCharType="separate"/>
    </w:r>
    <w:r>
      <w:t>ST/SG/AC.10/C.4/2020/14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48B8D" w14:textId="620F9B68" w:rsidR="0052051D" w:rsidRPr="00625DC0" w:rsidRDefault="00BF0368" w:rsidP="00625DC0">
    <w:pPr>
      <w:pStyle w:val="Header"/>
      <w:jc w:val="right"/>
    </w:pPr>
    <w:r>
      <w:fldChar w:fldCharType="begin"/>
    </w:r>
    <w:r>
      <w:instrText xml:space="preserve"> TITLE  \* MERGEFORMAT </w:instrText>
    </w:r>
    <w:r>
      <w:fldChar w:fldCharType="separate"/>
    </w:r>
    <w:r>
      <w:t>ST/SG/AC.10/C.4/2020/14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2C62CC"/>
    <w:multiLevelType w:val="hybridMultilevel"/>
    <w:tmpl w:val="DDFC9752"/>
    <w:lvl w:ilvl="0" w:tplc="08090003">
      <w:start w:val="1"/>
      <w:numFmt w:val="bullet"/>
      <w:lvlText w:val="o"/>
      <w:lvlJc w:val="left"/>
      <w:pPr>
        <w:ind w:left="1062" w:hanging="360"/>
      </w:pPr>
      <w:rPr>
        <w:rFonts w:ascii="Courier New" w:hAnsi="Courier New" w:cs="Courier New"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12"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2"/>
  </w:num>
  <w:num w:numId="17">
    <w:abstractNumId w:val="10"/>
  </w:num>
  <w:num w:numId="18">
    <w:abstractNumId w:val="11"/>
  </w:num>
  <w:num w:numId="19">
    <w:abstractNumId w:val="14"/>
  </w:num>
  <w:num w:numId="20">
    <w:abstractNumId w:val="14"/>
  </w:num>
  <w:num w:numId="21">
    <w:abstractNumId w:val="1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6D"/>
    <w:rsid w:val="00003E1F"/>
    <w:rsid w:val="00003F1C"/>
    <w:rsid w:val="00010544"/>
    <w:rsid w:val="00017F94"/>
    <w:rsid w:val="00023842"/>
    <w:rsid w:val="000305D3"/>
    <w:rsid w:val="000334F9"/>
    <w:rsid w:val="000529D8"/>
    <w:rsid w:val="0007796D"/>
    <w:rsid w:val="00082700"/>
    <w:rsid w:val="00095B7D"/>
    <w:rsid w:val="000B7790"/>
    <w:rsid w:val="000F26E2"/>
    <w:rsid w:val="00103992"/>
    <w:rsid w:val="00111F2F"/>
    <w:rsid w:val="00127FF5"/>
    <w:rsid w:val="00132EA9"/>
    <w:rsid w:val="0014365E"/>
    <w:rsid w:val="00176178"/>
    <w:rsid w:val="00190C7E"/>
    <w:rsid w:val="001D2FB9"/>
    <w:rsid w:val="001D4D19"/>
    <w:rsid w:val="001F525A"/>
    <w:rsid w:val="00223272"/>
    <w:rsid w:val="00226030"/>
    <w:rsid w:val="0024779E"/>
    <w:rsid w:val="00283190"/>
    <w:rsid w:val="002832AC"/>
    <w:rsid w:val="002C10E4"/>
    <w:rsid w:val="002D7C93"/>
    <w:rsid w:val="003505B8"/>
    <w:rsid w:val="00424092"/>
    <w:rsid w:val="00441C3B"/>
    <w:rsid w:val="00446FE5"/>
    <w:rsid w:val="00452396"/>
    <w:rsid w:val="004633AE"/>
    <w:rsid w:val="004633F2"/>
    <w:rsid w:val="004D7C2A"/>
    <w:rsid w:val="004E468C"/>
    <w:rsid w:val="004E5107"/>
    <w:rsid w:val="004F0AEA"/>
    <w:rsid w:val="0052051D"/>
    <w:rsid w:val="005505B7"/>
    <w:rsid w:val="0055086C"/>
    <w:rsid w:val="0056433B"/>
    <w:rsid w:val="00573BE5"/>
    <w:rsid w:val="00584DC4"/>
    <w:rsid w:val="00586ED3"/>
    <w:rsid w:val="00596AA9"/>
    <w:rsid w:val="005F0A39"/>
    <w:rsid w:val="00617A64"/>
    <w:rsid w:val="00625DC0"/>
    <w:rsid w:val="006558AB"/>
    <w:rsid w:val="006806C4"/>
    <w:rsid w:val="0068456F"/>
    <w:rsid w:val="006B6811"/>
    <w:rsid w:val="006B6A4E"/>
    <w:rsid w:val="0071601D"/>
    <w:rsid w:val="00775789"/>
    <w:rsid w:val="007A62E6"/>
    <w:rsid w:val="0080684C"/>
    <w:rsid w:val="00867252"/>
    <w:rsid w:val="00871C75"/>
    <w:rsid w:val="008776DC"/>
    <w:rsid w:val="008B40CD"/>
    <w:rsid w:val="00923230"/>
    <w:rsid w:val="009705C8"/>
    <w:rsid w:val="009C05C4"/>
    <w:rsid w:val="009C1CF4"/>
    <w:rsid w:val="00A200CD"/>
    <w:rsid w:val="00A30353"/>
    <w:rsid w:val="00A96E99"/>
    <w:rsid w:val="00AC3823"/>
    <w:rsid w:val="00AE323C"/>
    <w:rsid w:val="00B00181"/>
    <w:rsid w:val="00B00B0D"/>
    <w:rsid w:val="00B765F7"/>
    <w:rsid w:val="00B803B0"/>
    <w:rsid w:val="00BA0CA9"/>
    <w:rsid w:val="00BF0368"/>
    <w:rsid w:val="00C02897"/>
    <w:rsid w:val="00C3498F"/>
    <w:rsid w:val="00C36E43"/>
    <w:rsid w:val="00C6516D"/>
    <w:rsid w:val="00C82D49"/>
    <w:rsid w:val="00CA3B52"/>
    <w:rsid w:val="00CD5C88"/>
    <w:rsid w:val="00CF6E73"/>
    <w:rsid w:val="00D3439C"/>
    <w:rsid w:val="00DA7ADC"/>
    <w:rsid w:val="00DB1831"/>
    <w:rsid w:val="00DD3BFD"/>
    <w:rsid w:val="00DE3DD4"/>
    <w:rsid w:val="00DF6678"/>
    <w:rsid w:val="00E5585C"/>
    <w:rsid w:val="00EB7E08"/>
    <w:rsid w:val="00EF2E22"/>
    <w:rsid w:val="00F01738"/>
    <w:rsid w:val="00F17DE6"/>
    <w:rsid w:val="00F61671"/>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351AF"/>
  <w15:docId w15:val="{0AE67C9F-61EF-4D03-8FA1-E27FF63B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ListParagraph">
    <w:name w:val="List Paragraph"/>
    <w:basedOn w:val="Normal"/>
    <w:uiPriority w:val="34"/>
    <w:semiHidden/>
    <w:rsid w:val="00C36E43"/>
    <w:pPr>
      <w:ind w:left="720"/>
      <w:contextualSpacing/>
    </w:pPr>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4944</Words>
  <Characters>28185</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ST/SG/AC.10/C.4/2020/14</vt:lpstr>
    </vt:vector>
  </TitlesOfParts>
  <Company>DCM</Company>
  <LinksUpToDate>false</LinksUpToDate>
  <CharactersWithSpaces>33063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ST/SG/AC.10/C.4/2020/14</dc:title>
  <dc:subject/>
  <dc:creator>Julien OKRZESIK</dc:creator>
  <cp:keywords/>
  <cp:lastModifiedBy>Laurence Berthet</cp:lastModifiedBy>
  <cp:revision>3</cp:revision>
  <cp:lastPrinted>2020-10-02T10:13:00Z</cp:lastPrinted>
  <dcterms:created xsi:type="dcterms:W3CDTF">2020-10-02T10:13:00Z</dcterms:created>
  <dcterms:modified xsi:type="dcterms:W3CDTF">2020-10-02T10:13:00Z</dcterms:modified>
</cp:coreProperties>
</file>