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612C8F2" w14:textId="77777777" w:rsidTr="006476E1">
        <w:trPr>
          <w:trHeight w:val="851"/>
        </w:trPr>
        <w:tc>
          <w:tcPr>
            <w:tcW w:w="1259" w:type="dxa"/>
            <w:tcBorders>
              <w:top w:val="nil"/>
              <w:left w:val="nil"/>
              <w:bottom w:val="single" w:sz="4" w:space="0" w:color="auto"/>
              <w:right w:val="nil"/>
            </w:tcBorders>
          </w:tcPr>
          <w:p w14:paraId="334FC513" w14:textId="77777777" w:rsidR="00E52109" w:rsidRPr="002A32CB" w:rsidRDefault="00E52109" w:rsidP="004858F5"/>
        </w:tc>
        <w:tc>
          <w:tcPr>
            <w:tcW w:w="2236" w:type="dxa"/>
            <w:tcBorders>
              <w:top w:val="nil"/>
              <w:left w:val="nil"/>
              <w:bottom w:val="single" w:sz="4" w:space="0" w:color="auto"/>
              <w:right w:val="nil"/>
            </w:tcBorders>
            <w:vAlign w:val="bottom"/>
          </w:tcPr>
          <w:p w14:paraId="16482C84"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9E089C9" w14:textId="77777777" w:rsidR="00E52109" w:rsidRDefault="00916402" w:rsidP="00916402">
            <w:pPr>
              <w:suppressAutoHyphens w:val="0"/>
              <w:jc w:val="right"/>
            </w:pPr>
            <w:r w:rsidRPr="00916402">
              <w:rPr>
                <w:sz w:val="40"/>
              </w:rPr>
              <w:t>ST</w:t>
            </w:r>
            <w:r>
              <w:t>/SG/AC.10/C.4/2020/13</w:t>
            </w:r>
          </w:p>
        </w:tc>
      </w:tr>
      <w:tr w:rsidR="00E52109" w14:paraId="17C17472" w14:textId="77777777" w:rsidTr="006476E1">
        <w:trPr>
          <w:trHeight w:val="2835"/>
        </w:trPr>
        <w:tc>
          <w:tcPr>
            <w:tcW w:w="1259" w:type="dxa"/>
            <w:tcBorders>
              <w:top w:val="single" w:sz="4" w:space="0" w:color="auto"/>
              <w:left w:val="nil"/>
              <w:bottom w:val="single" w:sz="12" w:space="0" w:color="auto"/>
              <w:right w:val="nil"/>
            </w:tcBorders>
          </w:tcPr>
          <w:p w14:paraId="79B3DF73" w14:textId="77777777" w:rsidR="00E52109" w:rsidRDefault="00E52109" w:rsidP="006476E1">
            <w:pPr>
              <w:spacing w:before="120"/>
              <w:jc w:val="center"/>
            </w:pPr>
            <w:r>
              <w:rPr>
                <w:noProof/>
                <w:lang w:val="fr-CH" w:eastAsia="fr-CH"/>
              </w:rPr>
              <w:drawing>
                <wp:inline distT="0" distB="0" distL="0" distR="0" wp14:anchorId="7F4FEF4F" wp14:editId="389CAD3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490426E"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2D512EFC" w14:textId="77777777" w:rsidR="00D94B05" w:rsidRPr="0064322B" w:rsidRDefault="00916402" w:rsidP="00916402">
            <w:pPr>
              <w:suppressAutoHyphens w:val="0"/>
              <w:spacing w:before="240" w:line="240" w:lineRule="exact"/>
            </w:pPr>
            <w:r w:rsidRPr="0064322B">
              <w:t>Distr.: General</w:t>
            </w:r>
          </w:p>
          <w:p w14:paraId="1E8435CB" w14:textId="4CC4C646" w:rsidR="00916402" w:rsidRPr="0064322B" w:rsidRDefault="00F233AD" w:rsidP="00916402">
            <w:pPr>
              <w:suppressAutoHyphens w:val="0"/>
              <w:spacing w:line="240" w:lineRule="exact"/>
            </w:pPr>
            <w:r w:rsidRPr="0064322B">
              <w:t>1</w:t>
            </w:r>
            <w:r w:rsidR="006C43D6">
              <w:t>6</w:t>
            </w:r>
            <w:bookmarkStart w:id="0" w:name="_GoBack"/>
            <w:bookmarkEnd w:id="0"/>
            <w:r w:rsidR="00916402" w:rsidRPr="0064322B">
              <w:t xml:space="preserve"> April 2020</w:t>
            </w:r>
          </w:p>
          <w:p w14:paraId="511061B8" w14:textId="77777777" w:rsidR="00916402" w:rsidRPr="0064322B" w:rsidRDefault="00916402" w:rsidP="00916402">
            <w:pPr>
              <w:suppressAutoHyphens w:val="0"/>
              <w:spacing w:line="240" w:lineRule="exact"/>
            </w:pPr>
          </w:p>
          <w:p w14:paraId="7C81B9CA" w14:textId="77777777" w:rsidR="00916402" w:rsidRDefault="00916402" w:rsidP="00916402">
            <w:pPr>
              <w:suppressAutoHyphens w:val="0"/>
              <w:spacing w:line="240" w:lineRule="exact"/>
            </w:pPr>
            <w:r w:rsidRPr="0064322B">
              <w:t>Original: English</w:t>
            </w:r>
          </w:p>
        </w:tc>
      </w:tr>
    </w:tbl>
    <w:p w14:paraId="739CE8D7" w14:textId="77777777" w:rsidR="002B7228" w:rsidRPr="009F0F06" w:rsidRDefault="002B7228" w:rsidP="004858F5">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659D7F7B" w14:textId="77777777" w:rsidR="002B7228" w:rsidRPr="009F0F06" w:rsidRDefault="002B7228" w:rsidP="004858F5">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14:paraId="663089CB" w14:textId="77777777" w:rsidR="002B7228" w:rsidRDefault="002B7228" w:rsidP="002B7228">
      <w:pPr>
        <w:spacing w:before="120"/>
        <w:rPr>
          <w:b/>
        </w:rPr>
      </w:pPr>
      <w:r>
        <w:rPr>
          <w:b/>
        </w:rPr>
        <w:t>Thirty-ninth session</w:t>
      </w:r>
    </w:p>
    <w:p w14:paraId="6F23111A" w14:textId="77777777" w:rsidR="002B7228" w:rsidRDefault="002B7228" w:rsidP="002B7228">
      <w:r>
        <w:t xml:space="preserve">Geneva, 8-10 July 2020 </w:t>
      </w:r>
    </w:p>
    <w:p w14:paraId="2F5402EA" w14:textId="77777777" w:rsidR="002B7228" w:rsidRPr="00264848" w:rsidRDefault="002B7228" w:rsidP="002B7228">
      <w:r w:rsidRPr="00264848">
        <w:t xml:space="preserve">Item </w:t>
      </w:r>
      <w:r w:rsidR="00F233AD" w:rsidRPr="00264848">
        <w:t>2 (</w:t>
      </w:r>
      <w:proofErr w:type="spellStart"/>
      <w:r w:rsidR="00F233AD" w:rsidRPr="00264848">
        <w:t>i</w:t>
      </w:r>
      <w:proofErr w:type="spellEnd"/>
      <w:r w:rsidR="00F233AD" w:rsidRPr="00264848">
        <w:t xml:space="preserve">) </w:t>
      </w:r>
      <w:r w:rsidRPr="00264848">
        <w:t>of the provisional agenda</w:t>
      </w:r>
    </w:p>
    <w:p w14:paraId="45009736" w14:textId="77777777" w:rsidR="002B7228" w:rsidRDefault="00F233AD" w:rsidP="002B7228">
      <w:pPr>
        <w:rPr>
          <w:b/>
          <w:bCs/>
        </w:rPr>
      </w:pPr>
      <w:r>
        <w:rPr>
          <w:b/>
          <w:bCs/>
        </w:rPr>
        <w:t>Classification criteria and related hazard communication:</w:t>
      </w:r>
      <w:r>
        <w:rPr>
          <w:b/>
          <w:bCs/>
        </w:rPr>
        <w:br/>
        <w:t>Other issues</w:t>
      </w:r>
    </w:p>
    <w:p w14:paraId="42B5C20B" w14:textId="77777777" w:rsidR="002B7228" w:rsidRPr="00387A41" w:rsidRDefault="002B7228" w:rsidP="002B7228">
      <w:pPr>
        <w:pStyle w:val="HChG"/>
        <w:rPr>
          <w:lang w:val="en-US"/>
        </w:rPr>
      </w:pPr>
      <w:r>
        <w:tab/>
      </w:r>
      <w:r>
        <w:tab/>
      </w:r>
      <w:r w:rsidRPr="002B7228">
        <w:t>Clarification</w:t>
      </w:r>
      <w:r w:rsidRPr="00387A41">
        <w:rPr>
          <w:lang w:val="en-US"/>
        </w:rPr>
        <w:t xml:space="preserve"> of the criteria </w:t>
      </w:r>
      <w:r>
        <w:rPr>
          <w:lang w:val="en-US"/>
        </w:rPr>
        <w:t xml:space="preserve">for classification for </w:t>
      </w:r>
      <w:r w:rsidR="00F233AD">
        <w:rPr>
          <w:lang w:val="en-US"/>
        </w:rPr>
        <w:t xml:space="preserve">germ cell mutagenicity </w:t>
      </w:r>
      <w:r>
        <w:rPr>
          <w:lang w:val="en-US"/>
        </w:rPr>
        <w:t xml:space="preserve">in </w:t>
      </w:r>
      <w:r w:rsidR="00F233AD">
        <w:rPr>
          <w:lang w:val="en-US"/>
        </w:rPr>
        <w:t xml:space="preserve">category </w:t>
      </w:r>
      <w:r>
        <w:rPr>
          <w:lang w:val="en-US"/>
        </w:rPr>
        <w:t>1B</w:t>
      </w:r>
    </w:p>
    <w:p w14:paraId="51E1E827" w14:textId="77777777" w:rsidR="002B7228" w:rsidRPr="00387A41" w:rsidRDefault="002B7228" w:rsidP="002B7228">
      <w:pPr>
        <w:pStyle w:val="H1G"/>
        <w:rPr>
          <w:lang w:val="en-US"/>
        </w:rPr>
      </w:pPr>
      <w:r>
        <w:rPr>
          <w:lang w:val="en-US"/>
        </w:rPr>
        <w:tab/>
      </w:r>
      <w:r>
        <w:rPr>
          <w:lang w:val="en-US"/>
        </w:rPr>
        <w:tab/>
      </w:r>
      <w:r w:rsidRPr="00387A41">
        <w:rPr>
          <w:lang w:val="en-US"/>
        </w:rPr>
        <w:t>Transmitted by the European Union</w:t>
      </w:r>
      <w:r w:rsidR="00B300B2" w:rsidRPr="00B300B2">
        <w:rPr>
          <w:rStyle w:val="FootnoteReference"/>
          <w:sz w:val="20"/>
          <w:vertAlign w:val="baseline"/>
          <w:lang w:val="en-US"/>
        </w:rPr>
        <w:footnoteReference w:customMarkFollows="1" w:id="2"/>
        <w:t>*</w:t>
      </w:r>
    </w:p>
    <w:p w14:paraId="6293F6EF" w14:textId="77777777" w:rsidR="002B7228" w:rsidRPr="00387A41" w:rsidRDefault="002B7228" w:rsidP="002B7228">
      <w:pPr>
        <w:pStyle w:val="HChG"/>
        <w:tabs>
          <w:tab w:val="clear" w:pos="851"/>
          <w:tab w:val="right" w:pos="567"/>
        </w:tabs>
        <w:ind w:left="0" w:firstLine="0"/>
        <w:rPr>
          <w:bCs/>
          <w:lang w:val="en-US"/>
        </w:rPr>
      </w:pPr>
      <w:r w:rsidRPr="00387A41">
        <w:rPr>
          <w:lang w:val="en-US"/>
        </w:rPr>
        <w:tab/>
      </w:r>
      <w:r w:rsidRPr="00387A41">
        <w:rPr>
          <w:lang w:val="en-US"/>
        </w:rPr>
        <w:tab/>
        <w:t>Introduction</w:t>
      </w:r>
    </w:p>
    <w:p w14:paraId="617515B3" w14:textId="77777777" w:rsidR="002B7228" w:rsidRPr="002B7228" w:rsidRDefault="002B7228" w:rsidP="002B7228">
      <w:pPr>
        <w:pStyle w:val="SingleTxtG"/>
      </w:pPr>
      <w:r>
        <w:tab/>
        <w:t>1.</w:t>
      </w:r>
      <w:r>
        <w:tab/>
      </w:r>
      <w:r w:rsidRPr="002B7228">
        <w:t xml:space="preserve">The European Commission wishes to thank the </w:t>
      </w:r>
      <w:r w:rsidR="00F233AD">
        <w:t>s</w:t>
      </w:r>
      <w:r w:rsidR="00F233AD" w:rsidRPr="002B7228">
        <w:t xml:space="preserve">ecretariat </w:t>
      </w:r>
      <w:r w:rsidRPr="002B7228">
        <w:t xml:space="preserve">and all </w:t>
      </w:r>
      <w:r w:rsidR="00F233AD">
        <w:t>d</w:t>
      </w:r>
      <w:r w:rsidR="00F233AD" w:rsidRPr="002B7228">
        <w:t xml:space="preserve">elegates </w:t>
      </w:r>
      <w:r w:rsidRPr="002B7228">
        <w:t>for agreeing to consider and discuss this proposal aimed at clarifying the criteria for classification for germ cell mutagenicity in category 1B.</w:t>
      </w:r>
    </w:p>
    <w:p w14:paraId="63CE5CED" w14:textId="77777777" w:rsidR="002B7228" w:rsidRPr="002B7228" w:rsidRDefault="002B7228" w:rsidP="002B7228">
      <w:pPr>
        <w:pStyle w:val="SingleTxtG"/>
      </w:pPr>
      <w:r>
        <w:tab/>
      </w:r>
      <w:r w:rsidR="00264848">
        <w:t>2</w:t>
      </w:r>
      <w:r>
        <w:t>.</w:t>
      </w:r>
      <w:r>
        <w:tab/>
      </w:r>
      <w:r w:rsidRPr="002B7228">
        <w:t>The current criteria have led to diverging opinions between experts when implementing the current GHS.</w:t>
      </w:r>
      <w:r w:rsidRPr="002B7228" w:rsidDel="00D1477B">
        <w:t xml:space="preserve"> </w:t>
      </w:r>
      <w:proofErr w:type="gramStart"/>
      <w:r w:rsidRPr="002B7228">
        <w:t>In particular, the</w:t>
      </w:r>
      <w:proofErr w:type="gramEnd"/>
      <w:r w:rsidRPr="002B7228">
        <w:t xml:space="preserve"> requirement for “demonstrating the ability of the substance or its metabolite(s) to interact with the genetic material of germ cells” has caused difficulties in being able to classify for 1B. In our understanding, this requirement was never intended to allow for classification in category 1B only when a substance’s molecular interaction with germ cell genetic material had been proven explicitly, as such data in practice are rarely available. We consider and have evidence that this wording is prone to different interpretations and thus suggest amending it. </w:t>
      </w:r>
    </w:p>
    <w:p w14:paraId="7ECFD553" w14:textId="77777777" w:rsidR="002B7228" w:rsidRDefault="002B7228" w:rsidP="002B7228">
      <w:pPr>
        <w:pStyle w:val="SingleTxtG"/>
      </w:pPr>
      <w:r>
        <w:tab/>
        <w:t>3.</w:t>
      </w:r>
      <w:r>
        <w:tab/>
        <w:t xml:space="preserve">We consider that indirect information that would demonstrate the ability of a substance or its metabolite(s) to </w:t>
      </w:r>
      <w:r w:rsidRPr="004C5A01">
        <w:t>interact</w:t>
      </w:r>
      <w:r>
        <w:t xml:space="preserve"> with germ cell genetic material should be </w:t>
      </w:r>
      <w:proofErr w:type="gramStart"/>
      <w:r>
        <w:t>sufficient</w:t>
      </w:r>
      <w:proofErr w:type="gramEnd"/>
      <w:r>
        <w:t xml:space="preserve"> to justify classification in category 1B if substances </w:t>
      </w:r>
      <w:r w:rsidRPr="002B7228">
        <w:t>elicit</w:t>
      </w:r>
      <w:r>
        <w:t xml:space="preserve"> positive results in</w:t>
      </w:r>
      <w:r w:rsidRPr="001D6814">
        <w:t xml:space="preserve"> </w:t>
      </w:r>
      <w:r w:rsidRPr="001D6814">
        <w:rPr>
          <w:i/>
          <w:iCs/>
        </w:rPr>
        <w:t>in vivo</w:t>
      </w:r>
      <w:r w:rsidRPr="001D6814">
        <w:t xml:space="preserve"> somatic cell mutagenicity tests in mammals</w:t>
      </w:r>
      <w:r>
        <w:t xml:space="preserve">. This could involve </w:t>
      </w:r>
      <w:r w:rsidRPr="00CB4ED5">
        <w:t>a weight of evidence</w:t>
      </w:r>
      <w:r>
        <w:t>-</w:t>
      </w:r>
      <w:r w:rsidRPr="00CB4ED5">
        <w:t>bas</w:t>
      </w:r>
      <w:r>
        <w:t xml:space="preserve">ed assessment, </w:t>
      </w:r>
      <w:r w:rsidRPr="00DC7574">
        <w:t>considering all available data, including toxicokinetic data</w:t>
      </w:r>
      <w:r w:rsidRPr="001760DE">
        <w:t xml:space="preserve"> from </w:t>
      </w:r>
      <w:r w:rsidRPr="001760DE">
        <w:rPr>
          <w:i/>
        </w:rPr>
        <w:t>in vivo</w:t>
      </w:r>
      <w:r w:rsidRPr="001760DE">
        <w:t xml:space="preserve"> studies or supporting evidence from other available studies that the substance or its metabolite(s) reach</w:t>
      </w:r>
      <w:r>
        <w:t>es</w:t>
      </w:r>
      <w:r w:rsidRPr="001760DE">
        <w:t xml:space="preserve"> the germ cells.</w:t>
      </w:r>
    </w:p>
    <w:p w14:paraId="0637BA35" w14:textId="77777777" w:rsidR="002B7228" w:rsidRPr="00DE3AC2" w:rsidRDefault="002B7228" w:rsidP="002B7228">
      <w:pPr>
        <w:pStyle w:val="SingleTxtG"/>
        <w:rPr>
          <w:b/>
          <w:bCs/>
          <w:lang w:val="en-US"/>
        </w:rPr>
      </w:pPr>
      <w:r>
        <w:rPr>
          <w:lang w:val="en-US"/>
        </w:rPr>
        <w:tab/>
        <w:t>4.</w:t>
      </w:r>
      <w:r>
        <w:rPr>
          <w:lang w:val="en-US"/>
        </w:rPr>
        <w:tab/>
      </w:r>
      <w:r w:rsidRPr="00DE3AC2">
        <w:rPr>
          <w:lang w:val="en-US"/>
        </w:rPr>
        <w:t>The</w:t>
      </w:r>
      <w:r>
        <w:rPr>
          <w:lang w:val="en-US"/>
        </w:rPr>
        <w:t xml:space="preserve"> smooth</w:t>
      </w:r>
      <w:r w:rsidRPr="00DE3AC2">
        <w:rPr>
          <w:lang w:val="en-US"/>
        </w:rPr>
        <w:t xml:space="preserve"> </w:t>
      </w:r>
      <w:r>
        <w:rPr>
          <w:lang w:val="en-US"/>
        </w:rPr>
        <w:t xml:space="preserve">implementation of the </w:t>
      </w:r>
      <w:r w:rsidRPr="00DE3AC2">
        <w:rPr>
          <w:lang w:val="en-US"/>
        </w:rPr>
        <w:t xml:space="preserve">current criteria </w:t>
      </w:r>
      <w:r>
        <w:rPr>
          <w:lang w:val="en-US"/>
        </w:rPr>
        <w:t>has so far been hindered by</w:t>
      </w:r>
      <w:r w:rsidRPr="00DE3AC2">
        <w:rPr>
          <w:lang w:val="en-US"/>
        </w:rPr>
        <w:t xml:space="preserve"> the lack of </w:t>
      </w:r>
      <w:r w:rsidRPr="00DE3AC2">
        <w:rPr>
          <w:lang w:val="en-US" w:eastAsia="en-GB"/>
        </w:rPr>
        <w:t xml:space="preserve">accurate test methods for assessment of germ cell mutagenicity, thus the studies have rarely been conducted and </w:t>
      </w:r>
      <w:r>
        <w:rPr>
          <w:lang w:val="en-US" w:eastAsia="en-GB"/>
        </w:rPr>
        <w:t xml:space="preserve">only </w:t>
      </w:r>
      <w:r w:rsidRPr="00DE3AC2">
        <w:rPr>
          <w:lang w:val="en-US" w:eastAsia="en-GB"/>
        </w:rPr>
        <w:t xml:space="preserve">limited data and experience in </w:t>
      </w:r>
      <w:r w:rsidRPr="002B7228">
        <w:t>evaluating</w:t>
      </w:r>
      <w:r w:rsidRPr="00DE3AC2">
        <w:rPr>
          <w:lang w:val="en-US" w:eastAsia="en-GB"/>
        </w:rPr>
        <w:t xml:space="preserve"> these studies has been acquired. </w:t>
      </w:r>
      <w:r>
        <w:rPr>
          <w:lang w:val="en-US" w:eastAsia="en-GB"/>
        </w:rPr>
        <w:t>Moreover,</w:t>
      </w:r>
      <w:r w:rsidRPr="00DE3AC2">
        <w:rPr>
          <w:rFonts w:cstheme="minorHAnsi"/>
        </w:rPr>
        <w:t xml:space="preserve"> </w:t>
      </w:r>
      <w:r>
        <w:rPr>
          <w:rFonts w:cstheme="minorHAnsi"/>
        </w:rPr>
        <w:t xml:space="preserve">there are no </w:t>
      </w:r>
      <w:r w:rsidRPr="00DE3AC2">
        <w:rPr>
          <w:rFonts w:cstheme="minorHAnsi"/>
        </w:rPr>
        <w:t>fully validated tests</w:t>
      </w:r>
      <w:r w:rsidRPr="00035317">
        <w:t xml:space="preserve"> methods to </w:t>
      </w:r>
      <w:r w:rsidRPr="00F753A1">
        <w:t xml:space="preserve">cover </w:t>
      </w:r>
      <w:r>
        <w:t>all</w:t>
      </w:r>
      <w:r w:rsidRPr="00F753A1">
        <w:t xml:space="preserve"> genotoxicity </w:t>
      </w:r>
      <w:r w:rsidRPr="00F753A1">
        <w:lastRenderedPageBreak/>
        <w:t>endpoints (i.e.</w:t>
      </w:r>
      <w:r>
        <w:t xml:space="preserve"> </w:t>
      </w:r>
      <w:r w:rsidRPr="00F753A1">
        <w:t xml:space="preserve">gene mutation, </w:t>
      </w:r>
      <w:proofErr w:type="spellStart"/>
      <w:r w:rsidRPr="00F753A1">
        <w:t>clastogenicity</w:t>
      </w:r>
      <w:proofErr w:type="spellEnd"/>
      <w:r w:rsidRPr="00F753A1">
        <w:t xml:space="preserve"> and </w:t>
      </w:r>
      <w:proofErr w:type="spellStart"/>
      <w:r w:rsidRPr="00F753A1">
        <w:t>aneugenicity</w:t>
      </w:r>
      <w:proofErr w:type="spellEnd"/>
      <w:r w:rsidRPr="00F753A1">
        <w:t>) in all stages of germ cell maturation</w:t>
      </w:r>
      <w:r w:rsidR="00706FEC">
        <w:rPr>
          <w:rStyle w:val="FootnoteReference"/>
        </w:rPr>
        <w:footnoteReference w:id="3"/>
      </w:r>
      <w:r>
        <w:t>. Another gap is the lack of test methods to analyse the induction of genotoxic alterations in female germ cells</w:t>
      </w:r>
      <w:r w:rsidRPr="00DE3AC2">
        <w:rPr>
          <w:rFonts w:cstheme="minorHAnsi"/>
        </w:rPr>
        <w:t xml:space="preserve">. </w:t>
      </w:r>
    </w:p>
    <w:p w14:paraId="22EF29D8" w14:textId="77777777" w:rsidR="002B7228" w:rsidRPr="002B7228" w:rsidRDefault="002B7228" w:rsidP="002B7228">
      <w:pPr>
        <w:pStyle w:val="SingleTxtG"/>
      </w:pPr>
      <w:r>
        <w:tab/>
        <w:t>5.</w:t>
      </w:r>
      <w:r>
        <w:tab/>
      </w:r>
      <w:r w:rsidRPr="002B7228">
        <w:t>In addition, under the GHS it is preferred to avoid the use of live animals, especially when not necessarily leading to improved safety for workers, consumers and the general public</w:t>
      </w:r>
      <w:r w:rsidR="00B300B2">
        <w:rPr>
          <w:rStyle w:val="FootnoteReference"/>
        </w:rPr>
        <w:footnoteReference w:id="4"/>
      </w:r>
      <w:r w:rsidRPr="002B7228">
        <w:t>. Therefore, the classification criteria should be set up to avoid additional animal testing, if not expected to lead to a conclusive result.</w:t>
      </w:r>
    </w:p>
    <w:p w14:paraId="4C250BD9" w14:textId="77777777" w:rsidR="002B7228" w:rsidRPr="002B7228" w:rsidRDefault="002B7228" w:rsidP="002B7228">
      <w:pPr>
        <w:pStyle w:val="SingleTxtG"/>
      </w:pPr>
      <w:r>
        <w:tab/>
        <w:t>6.</w:t>
      </w:r>
      <w:r>
        <w:tab/>
      </w:r>
      <w:r w:rsidRPr="002B7228">
        <w:t>We propose to revise the wording defining the criteria for classification in category 1B in order to permit the use of other types of data as indirect evidence of interaction with germ cells; such as toxicokinetic data from currently accepted in vivo studies and/or supporting evidence from other available studies, e.g. effects in gonads in reproductive toxicity studies may demonstrate that the substance has reached the germ cells. Considerable experience already exists in using these types of data in the assessment of pesticides and pharmaceutical products. This approach would then enable classification in category 1B without requiring additional in vivo germ cell mutagenicity study(</w:t>
      </w:r>
      <w:proofErr w:type="spellStart"/>
      <w:r w:rsidRPr="002B7228">
        <w:t>ies</w:t>
      </w:r>
      <w:proofErr w:type="spellEnd"/>
      <w:proofErr w:type="gramStart"/>
      <w:r w:rsidRPr="002B7228">
        <w:t>),</w:t>
      </w:r>
      <w:r w:rsidR="005370CF">
        <w:t xml:space="preserve"> </w:t>
      </w:r>
      <w:r w:rsidRPr="002B7228">
        <w:t>and</w:t>
      </w:r>
      <w:proofErr w:type="gramEnd"/>
      <w:r w:rsidRPr="002B7228">
        <w:t xml:space="preserve"> avoiding classification in category 2 based on possible false negatives from such studies.</w:t>
      </w:r>
    </w:p>
    <w:p w14:paraId="44446F81" w14:textId="77777777" w:rsidR="002B7228" w:rsidRPr="002B7228" w:rsidRDefault="002B7228" w:rsidP="002B7228">
      <w:pPr>
        <w:pStyle w:val="SingleTxtG"/>
      </w:pPr>
      <w:r>
        <w:tab/>
        <w:t>7.</w:t>
      </w:r>
      <w:r>
        <w:tab/>
      </w:r>
      <w:r w:rsidRPr="002B7228">
        <w:t xml:space="preserve">In addition, we also suggest the following revisions under: </w:t>
      </w:r>
    </w:p>
    <w:p w14:paraId="10768261" w14:textId="77777777" w:rsidR="002B7228" w:rsidRPr="0064322B" w:rsidRDefault="002B7228" w:rsidP="00264848">
      <w:pPr>
        <w:pStyle w:val="SingleTxtG"/>
        <w:ind w:left="2268" w:hanging="567"/>
      </w:pPr>
      <w:r>
        <w:t>(</w:t>
      </w:r>
      <w:r w:rsidR="00B300B2">
        <w:t>a</w:t>
      </w:r>
      <w:r>
        <w:t>)</w:t>
      </w:r>
      <w:r>
        <w:tab/>
      </w:r>
      <w:r w:rsidRPr="002B7228">
        <w:t>category 1B (a)</w:t>
      </w:r>
      <w:r w:rsidR="005370CF">
        <w:t>:</w:t>
      </w:r>
      <w:r w:rsidRPr="002B7228">
        <w:t xml:space="preserve"> delete the word “heritable”, so that the statement would allow </w:t>
      </w:r>
      <w:r w:rsidRPr="0064322B">
        <w:t>the use of any germ cell tests (e.g. OECD TG 488 on Transgenic rodent somatic and germ cell gene mutation assays);</w:t>
      </w:r>
    </w:p>
    <w:p w14:paraId="2D7486E6" w14:textId="77777777" w:rsidR="002B7228" w:rsidRPr="0064322B" w:rsidRDefault="002B7228" w:rsidP="00264848">
      <w:pPr>
        <w:pStyle w:val="SingleTxtG"/>
        <w:ind w:left="2268" w:hanging="567"/>
      </w:pPr>
      <w:r w:rsidRPr="0064322B">
        <w:t>(</w:t>
      </w:r>
      <w:r w:rsidR="00B300B2" w:rsidRPr="0064322B">
        <w:t>b</w:t>
      </w:r>
      <w:r w:rsidRPr="0064322B">
        <w:t>)</w:t>
      </w:r>
      <w:r w:rsidRPr="0064322B">
        <w:tab/>
        <w:t>category 1B (b)</w:t>
      </w:r>
      <w:r w:rsidR="005370CF">
        <w:t>:</w:t>
      </w:r>
      <w:r w:rsidRPr="0064322B">
        <w:t xml:space="preserve"> to avoid the inconsistent use of the word “mutagenicity” between category 1B and category 2, we suggest </w:t>
      </w:r>
      <w:proofErr w:type="gramStart"/>
      <w:r w:rsidRPr="0064322B">
        <w:t>to</w:t>
      </w:r>
      <w:r w:rsidR="005370CF">
        <w:t xml:space="preserve"> </w:t>
      </w:r>
      <w:r w:rsidRPr="0064322B">
        <w:t>add</w:t>
      </w:r>
      <w:proofErr w:type="gramEnd"/>
      <w:r w:rsidRPr="0064322B">
        <w:t xml:space="preserve"> “or other in vivo somatic cell genotoxicity tests </w:t>
      </w:r>
      <w:r w:rsidR="00264848" w:rsidRPr="0064322B">
        <w:t xml:space="preserve">in mammals </w:t>
      </w:r>
      <w:r w:rsidRPr="0064322B">
        <w:t xml:space="preserve">which are supported by positive results from </w:t>
      </w:r>
      <w:r w:rsidRPr="0064322B">
        <w:rPr>
          <w:i/>
          <w:iCs/>
        </w:rPr>
        <w:t>in vitro</w:t>
      </w:r>
      <w:r w:rsidRPr="0064322B">
        <w:t xml:space="preserve"> mutagenicity assays”;</w:t>
      </w:r>
    </w:p>
    <w:p w14:paraId="6A680037" w14:textId="77777777" w:rsidR="002B7228" w:rsidRPr="0064322B" w:rsidRDefault="002B7228" w:rsidP="00264848">
      <w:pPr>
        <w:pStyle w:val="SingleTxtG"/>
        <w:ind w:left="2268" w:hanging="567"/>
      </w:pPr>
      <w:r w:rsidRPr="0064322B">
        <w:t>(</w:t>
      </w:r>
      <w:r w:rsidR="00B300B2" w:rsidRPr="0064322B">
        <w:t>c</w:t>
      </w:r>
      <w:r w:rsidRPr="0064322B">
        <w:t>)</w:t>
      </w:r>
      <w:r w:rsidRPr="0064322B">
        <w:tab/>
        <w:t>category 1B (b)</w:t>
      </w:r>
      <w:r w:rsidR="005370CF">
        <w:t>:</w:t>
      </w:r>
      <w:r w:rsidRPr="0064322B">
        <w:t xml:space="preserve"> replace </w:t>
      </w:r>
      <w:r w:rsidR="00264848" w:rsidRPr="0064322B">
        <w:t xml:space="preserve">“genotoxic” with “genotoxicity” and </w:t>
      </w:r>
      <w:r w:rsidRPr="0064322B">
        <w:t xml:space="preserve">“germ cells” with “gonads” as it may be technically challenging to detect a substance or its metabolite(s) in germ cells, especially in the case of female germ cells. </w:t>
      </w:r>
    </w:p>
    <w:p w14:paraId="32DD35F1" w14:textId="77777777" w:rsidR="002B7228" w:rsidRPr="002B7228" w:rsidRDefault="002B7228" w:rsidP="00264848">
      <w:pPr>
        <w:pStyle w:val="SingleTxtG"/>
        <w:ind w:left="2268" w:hanging="567"/>
      </w:pPr>
      <w:r w:rsidRPr="0064322B">
        <w:t>(</w:t>
      </w:r>
      <w:r w:rsidR="00B300B2" w:rsidRPr="0064322B">
        <w:t>d</w:t>
      </w:r>
      <w:r w:rsidRPr="0064322B">
        <w:t>)</w:t>
      </w:r>
      <w:r w:rsidRPr="0064322B">
        <w:tab/>
      </w:r>
      <w:r w:rsidR="00264848" w:rsidRPr="0064322B">
        <w:t>Note</w:t>
      </w:r>
      <w:r w:rsidR="005370CF">
        <w:t>:</w:t>
      </w:r>
      <w:r w:rsidRPr="0064322B">
        <w:t xml:space="preserve"> add “; similarly, substances for which read-across to substances classified in category 1B is applicable, classification in 1B should be considered</w:t>
      </w:r>
      <w:r w:rsidR="00264848" w:rsidRPr="0064322B">
        <w:t>”,</w:t>
      </w:r>
      <w:r w:rsidR="0064322B">
        <w:t xml:space="preserve"> </w:t>
      </w:r>
      <w:r w:rsidRPr="0064322B">
        <w:t>to allow a read-across approach, in line with GHS paragraph</w:t>
      </w:r>
      <w:r w:rsidR="00264848" w:rsidRPr="0064322B">
        <w:t> </w:t>
      </w:r>
      <w:r w:rsidRPr="0064322B">
        <w:t>3.2.2.6.2.</w:t>
      </w:r>
      <w:r w:rsidRPr="002B7228">
        <w:t xml:space="preserve"> </w:t>
      </w:r>
    </w:p>
    <w:p w14:paraId="6B6B30F8" w14:textId="77777777" w:rsidR="00264848" w:rsidRDefault="002C7594" w:rsidP="002C7594">
      <w:pPr>
        <w:pStyle w:val="HChG"/>
        <w:rPr>
          <w:lang w:val="en-US"/>
        </w:rPr>
      </w:pPr>
      <w:r>
        <w:rPr>
          <w:lang w:val="en-US"/>
        </w:rPr>
        <w:tab/>
      </w:r>
      <w:r>
        <w:rPr>
          <w:lang w:val="en-US"/>
        </w:rPr>
        <w:tab/>
      </w:r>
    </w:p>
    <w:p w14:paraId="0A4292CF" w14:textId="77777777" w:rsidR="00264848" w:rsidRDefault="00264848">
      <w:pPr>
        <w:suppressAutoHyphens w:val="0"/>
        <w:kinsoku/>
        <w:overflowPunct/>
        <w:autoSpaceDE/>
        <w:autoSpaceDN/>
        <w:adjustRightInd/>
        <w:snapToGrid/>
        <w:spacing w:after="200" w:line="276" w:lineRule="auto"/>
        <w:rPr>
          <w:b/>
          <w:sz w:val="28"/>
          <w:lang w:val="en-US"/>
        </w:rPr>
      </w:pPr>
      <w:r>
        <w:rPr>
          <w:lang w:val="en-US"/>
        </w:rPr>
        <w:br w:type="page"/>
      </w:r>
    </w:p>
    <w:p w14:paraId="3706B44A" w14:textId="77777777" w:rsidR="002B7228" w:rsidRPr="00387A41" w:rsidRDefault="00264848" w:rsidP="002C7594">
      <w:pPr>
        <w:pStyle w:val="HChG"/>
        <w:rPr>
          <w:lang w:val="en-US"/>
        </w:rPr>
      </w:pPr>
      <w:r>
        <w:rPr>
          <w:lang w:val="en-US"/>
        </w:rPr>
        <w:lastRenderedPageBreak/>
        <w:tab/>
      </w:r>
      <w:r>
        <w:rPr>
          <w:lang w:val="en-US"/>
        </w:rPr>
        <w:tab/>
      </w:r>
      <w:r w:rsidR="002B7228" w:rsidRPr="00387A41">
        <w:rPr>
          <w:lang w:val="en-US"/>
        </w:rPr>
        <w:t>Proposal</w:t>
      </w:r>
      <w:r w:rsidR="002B7228">
        <w:rPr>
          <w:lang w:val="en-US"/>
        </w:rPr>
        <w:t xml:space="preserve"> </w:t>
      </w:r>
    </w:p>
    <w:p w14:paraId="173F515A" w14:textId="255A07BF" w:rsidR="002B7228" w:rsidRDefault="002C7594" w:rsidP="002C7594">
      <w:pPr>
        <w:pStyle w:val="SingleTxtG"/>
        <w:rPr>
          <w:lang w:val="en-US" w:eastAsia="en-GB"/>
        </w:rPr>
      </w:pPr>
      <w:r>
        <w:rPr>
          <w:lang w:val="en-US"/>
        </w:rPr>
        <w:tab/>
        <w:t>8.</w:t>
      </w:r>
      <w:r>
        <w:rPr>
          <w:lang w:val="en-US"/>
        </w:rPr>
        <w:tab/>
      </w:r>
      <w:r w:rsidR="002B7228" w:rsidRPr="00387A41">
        <w:rPr>
          <w:lang w:val="en-US"/>
        </w:rPr>
        <w:t xml:space="preserve">We suggest </w:t>
      </w:r>
      <w:r w:rsidR="00B300B2">
        <w:rPr>
          <w:lang w:val="en-US"/>
        </w:rPr>
        <w:t>amending</w:t>
      </w:r>
      <w:r w:rsidR="002B7228">
        <w:rPr>
          <w:lang w:val="en-US"/>
        </w:rPr>
        <w:t xml:space="preserve"> Table 3.5</w:t>
      </w:r>
      <w:r w:rsidR="002B7228" w:rsidRPr="00387A41">
        <w:rPr>
          <w:lang w:val="en-US"/>
        </w:rPr>
        <w:t>.1</w:t>
      </w:r>
      <w:r w:rsidR="00B300B2">
        <w:rPr>
          <w:lang w:val="en-US"/>
        </w:rPr>
        <w:t xml:space="preserve"> as follows:</w:t>
      </w:r>
      <w:r w:rsidR="002B7228">
        <w:rPr>
          <w:lang w:val="en-US"/>
        </w:rPr>
        <w:t xml:space="preserve"> </w:t>
      </w:r>
      <w:r w:rsidR="002B7228" w:rsidRPr="0067443E">
        <w:t>(</w:t>
      </w:r>
      <w:r w:rsidR="001943E2" w:rsidRPr="001943E2">
        <w:rPr>
          <w:strike/>
          <w:color w:val="FF0000"/>
        </w:rPr>
        <w:t xml:space="preserve">red </w:t>
      </w:r>
      <w:r w:rsidR="002B7228" w:rsidRPr="001943E2">
        <w:rPr>
          <w:strike/>
          <w:color w:val="FF0000"/>
        </w:rPr>
        <w:t>stricken out</w:t>
      </w:r>
      <w:r w:rsidR="002B7228" w:rsidRPr="0067443E">
        <w:t xml:space="preserve"> text is </w:t>
      </w:r>
      <w:proofErr w:type="gramStart"/>
      <w:r w:rsidR="002B7228" w:rsidRPr="0067443E">
        <w:t>deleted,</w:t>
      </w:r>
      <w:proofErr w:type="gramEnd"/>
      <w:r w:rsidR="002B7228" w:rsidRPr="0067443E">
        <w:t xml:space="preserve"> </w:t>
      </w:r>
      <w:r w:rsidR="002B7228" w:rsidRPr="001943E2">
        <w:rPr>
          <w:color w:val="1F497D" w:themeColor="text2"/>
          <w:u w:val="single"/>
        </w:rPr>
        <w:t>underlined</w:t>
      </w:r>
      <w:r w:rsidR="002B7228" w:rsidRPr="001943E2">
        <w:rPr>
          <w:color w:val="1F497D" w:themeColor="text2"/>
        </w:rPr>
        <w:t xml:space="preserve"> </w:t>
      </w:r>
      <w:r w:rsidR="002B7228" w:rsidRPr="0067443E">
        <w:t>text is added)</w:t>
      </w:r>
      <w:r w:rsidR="002B7228" w:rsidRPr="00387A41">
        <w:rPr>
          <w:lang w:val="en-US"/>
        </w:rPr>
        <w:t>:</w:t>
      </w:r>
    </w:p>
    <w:p w14:paraId="7320B4B2" w14:textId="77777777" w:rsidR="002B7228" w:rsidRDefault="002B7228" w:rsidP="002C7594">
      <w:pPr>
        <w:keepNext/>
        <w:keepLines/>
        <w:spacing w:after="120"/>
        <w:jc w:val="center"/>
        <w:rPr>
          <w:b/>
        </w:rPr>
      </w:pPr>
      <w:r w:rsidRPr="00F61416">
        <w:rPr>
          <w:b/>
        </w:rPr>
        <w:t>Figure 3.5.1:</w:t>
      </w:r>
      <w:r w:rsidRPr="00F61416">
        <w:rPr>
          <w:b/>
        </w:rPr>
        <w:tab/>
        <w:t>Hazard categories for germ cell mutagens</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2B7228" w:rsidRPr="002C7594" w14:paraId="30AB5217" w14:textId="77777777" w:rsidTr="00C81269">
        <w:tc>
          <w:tcPr>
            <w:tcW w:w="8789" w:type="dxa"/>
            <w:tcBorders>
              <w:bottom w:val="nil"/>
            </w:tcBorders>
          </w:tcPr>
          <w:p w14:paraId="48C10A0C" w14:textId="77777777" w:rsidR="002B7228" w:rsidRPr="002C7594" w:rsidRDefault="002B7228" w:rsidP="001B192B">
            <w:pPr>
              <w:tabs>
                <w:tab w:val="left" w:pos="1701"/>
              </w:tabs>
              <w:spacing w:before="40" w:after="40"/>
              <w:ind w:left="1695" w:hanging="1695"/>
              <w:rPr>
                <w:sz w:val="18"/>
                <w:szCs w:val="18"/>
              </w:rPr>
            </w:pPr>
            <w:r w:rsidRPr="002C7594">
              <w:rPr>
                <w:b/>
                <w:sz w:val="18"/>
                <w:szCs w:val="18"/>
                <w:u w:val="single"/>
              </w:rPr>
              <w:t>CATEGORY 1:</w:t>
            </w:r>
            <w:r w:rsidRPr="002C7594">
              <w:rPr>
                <w:sz w:val="18"/>
                <w:szCs w:val="18"/>
              </w:rPr>
              <w:t xml:space="preserve"> </w:t>
            </w:r>
            <w:r w:rsidRPr="002C7594">
              <w:rPr>
                <w:sz w:val="18"/>
                <w:szCs w:val="18"/>
              </w:rPr>
              <w:tab/>
            </w:r>
            <w:r w:rsidRPr="002C7594">
              <w:rPr>
                <w:b/>
                <w:sz w:val="18"/>
                <w:szCs w:val="18"/>
              </w:rPr>
              <w:t>Substances known to induce heritable mutations or to be regarded as if they induce heritable</w:t>
            </w:r>
            <w:r w:rsidRPr="002C7594">
              <w:rPr>
                <w:sz w:val="18"/>
                <w:szCs w:val="18"/>
              </w:rPr>
              <w:t xml:space="preserve"> </w:t>
            </w:r>
            <w:r w:rsidRPr="002C7594">
              <w:rPr>
                <w:b/>
                <w:sz w:val="18"/>
                <w:szCs w:val="18"/>
              </w:rPr>
              <w:t>mutations in the germ cells of humans</w:t>
            </w:r>
          </w:p>
        </w:tc>
      </w:tr>
      <w:tr w:rsidR="002B7228" w:rsidRPr="002C7594" w14:paraId="39F97D7C" w14:textId="77777777" w:rsidTr="00C81269">
        <w:tc>
          <w:tcPr>
            <w:tcW w:w="8789" w:type="dxa"/>
            <w:tcBorders>
              <w:top w:val="nil"/>
              <w:bottom w:val="nil"/>
            </w:tcBorders>
          </w:tcPr>
          <w:p w14:paraId="37790D21" w14:textId="77777777" w:rsidR="002B7228" w:rsidRPr="002C7594" w:rsidRDefault="002B7228" w:rsidP="001B192B">
            <w:pPr>
              <w:tabs>
                <w:tab w:val="left" w:pos="1701"/>
              </w:tabs>
              <w:spacing w:before="40" w:after="40"/>
              <w:ind w:left="1695" w:hanging="1695"/>
              <w:rPr>
                <w:sz w:val="18"/>
                <w:szCs w:val="18"/>
              </w:rPr>
            </w:pPr>
            <w:r w:rsidRPr="002C7594">
              <w:rPr>
                <w:b/>
                <w:sz w:val="18"/>
                <w:szCs w:val="18"/>
              </w:rPr>
              <w:t>Category 1A:</w:t>
            </w:r>
            <w:r w:rsidRPr="002C7594">
              <w:rPr>
                <w:b/>
                <w:sz w:val="18"/>
                <w:szCs w:val="18"/>
              </w:rPr>
              <w:tab/>
              <w:t>Substances known to induce heritable mutations in germ cells of humans</w:t>
            </w:r>
          </w:p>
        </w:tc>
      </w:tr>
      <w:tr w:rsidR="002B7228" w:rsidRPr="002C7594" w14:paraId="1905D20B" w14:textId="77777777" w:rsidTr="00C81269">
        <w:tc>
          <w:tcPr>
            <w:tcW w:w="8789" w:type="dxa"/>
            <w:tcBorders>
              <w:top w:val="nil"/>
              <w:bottom w:val="nil"/>
            </w:tcBorders>
          </w:tcPr>
          <w:p w14:paraId="334FD75D" w14:textId="77777777" w:rsidR="002B7228" w:rsidRPr="002C7594" w:rsidRDefault="002B7228" w:rsidP="001B192B">
            <w:pPr>
              <w:tabs>
                <w:tab w:val="left" w:pos="1695"/>
              </w:tabs>
              <w:spacing w:before="40" w:after="40"/>
              <w:ind w:left="1695" w:hanging="1695"/>
              <w:rPr>
                <w:b/>
                <w:sz w:val="18"/>
                <w:szCs w:val="18"/>
              </w:rPr>
            </w:pPr>
            <w:r w:rsidRPr="002C7594">
              <w:rPr>
                <w:sz w:val="18"/>
                <w:szCs w:val="18"/>
              </w:rPr>
              <w:tab/>
              <w:t>Positive evidence from human epidemiological studies</w:t>
            </w:r>
            <w:r w:rsidRPr="002C7594">
              <w:rPr>
                <w:bCs/>
                <w:sz w:val="18"/>
                <w:szCs w:val="18"/>
              </w:rPr>
              <w:t>.</w:t>
            </w:r>
          </w:p>
        </w:tc>
      </w:tr>
      <w:tr w:rsidR="002B7228" w:rsidRPr="002C7594" w14:paraId="3468999E" w14:textId="77777777" w:rsidTr="00C81269">
        <w:tc>
          <w:tcPr>
            <w:tcW w:w="8789" w:type="dxa"/>
            <w:tcBorders>
              <w:top w:val="nil"/>
              <w:bottom w:val="nil"/>
            </w:tcBorders>
          </w:tcPr>
          <w:p w14:paraId="0F57BFDF" w14:textId="77777777" w:rsidR="002B7228" w:rsidRPr="002C7594" w:rsidRDefault="002B7228" w:rsidP="001B192B">
            <w:pPr>
              <w:tabs>
                <w:tab w:val="left" w:pos="1701"/>
              </w:tabs>
              <w:spacing w:before="40" w:after="40"/>
              <w:ind w:left="1695" w:hanging="1695"/>
              <w:rPr>
                <w:sz w:val="18"/>
                <w:szCs w:val="18"/>
              </w:rPr>
            </w:pPr>
            <w:r w:rsidRPr="002C7594">
              <w:rPr>
                <w:b/>
                <w:sz w:val="18"/>
                <w:szCs w:val="18"/>
              </w:rPr>
              <w:t>Category 1B:</w:t>
            </w:r>
            <w:r w:rsidRPr="002C7594">
              <w:rPr>
                <w:b/>
                <w:sz w:val="18"/>
                <w:szCs w:val="18"/>
              </w:rPr>
              <w:tab/>
              <w:t>Substances which should be regarded as if they induce heritable mutations in the germ cells of humans</w:t>
            </w:r>
          </w:p>
        </w:tc>
      </w:tr>
      <w:tr w:rsidR="002B7228" w:rsidRPr="002C7594" w14:paraId="654FB1CF" w14:textId="77777777" w:rsidTr="00C81269">
        <w:tc>
          <w:tcPr>
            <w:tcW w:w="8789" w:type="dxa"/>
            <w:tcBorders>
              <w:top w:val="nil"/>
              <w:bottom w:val="nil"/>
            </w:tcBorders>
          </w:tcPr>
          <w:p w14:paraId="2BDA0071" w14:textId="77777777" w:rsidR="002B7228" w:rsidRPr="00B300B2" w:rsidRDefault="002B7228" w:rsidP="001B192B">
            <w:pPr>
              <w:tabs>
                <w:tab w:val="left" w:pos="1701"/>
                <w:tab w:val="left" w:pos="2155"/>
              </w:tabs>
              <w:spacing w:before="40" w:after="40"/>
              <w:ind w:left="2268" w:hanging="2268"/>
              <w:rPr>
                <w:b/>
                <w:sz w:val="18"/>
                <w:szCs w:val="18"/>
                <w:u w:val="single"/>
              </w:rPr>
            </w:pPr>
            <w:r w:rsidRPr="00B300B2">
              <w:rPr>
                <w:sz w:val="18"/>
                <w:szCs w:val="18"/>
              </w:rPr>
              <w:tab/>
              <w:t>(a)</w:t>
            </w:r>
            <w:r w:rsidRPr="00B300B2">
              <w:rPr>
                <w:sz w:val="18"/>
                <w:szCs w:val="18"/>
              </w:rPr>
              <w:tab/>
            </w:r>
            <w:r w:rsidRPr="00B300B2">
              <w:rPr>
                <w:spacing w:val="-2"/>
                <w:sz w:val="18"/>
                <w:szCs w:val="18"/>
              </w:rPr>
              <w:t xml:space="preserve">Positive result(s) from </w:t>
            </w:r>
            <w:r w:rsidRPr="00B300B2">
              <w:rPr>
                <w:i/>
                <w:spacing w:val="-2"/>
                <w:sz w:val="18"/>
                <w:szCs w:val="18"/>
              </w:rPr>
              <w:t>in vivo</w:t>
            </w:r>
            <w:r w:rsidRPr="00B300B2">
              <w:rPr>
                <w:spacing w:val="-2"/>
                <w:sz w:val="18"/>
                <w:szCs w:val="18"/>
              </w:rPr>
              <w:t xml:space="preserve"> </w:t>
            </w:r>
            <w:r w:rsidRPr="001943E2">
              <w:rPr>
                <w:strike/>
                <w:color w:val="FF0000"/>
                <w:spacing w:val="-2"/>
                <w:sz w:val="18"/>
                <w:szCs w:val="18"/>
              </w:rPr>
              <w:t>heritable</w:t>
            </w:r>
            <w:r w:rsidRPr="00B300B2">
              <w:rPr>
                <w:spacing w:val="-2"/>
                <w:sz w:val="18"/>
                <w:szCs w:val="18"/>
              </w:rPr>
              <w:t xml:space="preserve"> germ cell mutagenicity tests in mammals; or</w:t>
            </w:r>
          </w:p>
        </w:tc>
      </w:tr>
      <w:tr w:rsidR="002B7228" w:rsidRPr="002C7594" w14:paraId="722E3590" w14:textId="77777777" w:rsidTr="00C81269">
        <w:tc>
          <w:tcPr>
            <w:tcW w:w="8789" w:type="dxa"/>
            <w:tcBorders>
              <w:top w:val="nil"/>
              <w:bottom w:val="nil"/>
            </w:tcBorders>
          </w:tcPr>
          <w:p w14:paraId="3D654C55" w14:textId="77777777" w:rsidR="002B7228" w:rsidRPr="00B300B2" w:rsidRDefault="002B7228" w:rsidP="001B192B">
            <w:pPr>
              <w:tabs>
                <w:tab w:val="left" w:pos="1701"/>
                <w:tab w:val="left" w:pos="2155"/>
              </w:tabs>
              <w:spacing w:before="40" w:after="40"/>
              <w:ind w:left="2155" w:hanging="2155"/>
              <w:rPr>
                <w:b/>
                <w:sz w:val="18"/>
                <w:szCs w:val="18"/>
                <w:u w:val="single"/>
              </w:rPr>
            </w:pPr>
            <w:r w:rsidRPr="00B300B2">
              <w:rPr>
                <w:sz w:val="18"/>
                <w:szCs w:val="18"/>
              </w:rPr>
              <w:tab/>
              <w:t>(b)</w:t>
            </w:r>
            <w:r w:rsidRPr="00B300B2">
              <w:rPr>
                <w:sz w:val="18"/>
                <w:szCs w:val="18"/>
              </w:rPr>
              <w:tab/>
              <w:t xml:space="preserve">Positive result(s) from </w:t>
            </w:r>
            <w:r w:rsidRPr="00B300B2">
              <w:rPr>
                <w:i/>
                <w:iCs/>
                <w:sz w:val="18"/>
                <w:szCs w:val="18"/>
              </w:rPr>
              <w:t>in vivo</w:t>
            </w:r>
            <w:r w:rsidRPr="00B300B2">
              <w:rPr>
                <w:sz w:val="18"/>
                <w:szCs w:val="18"/>
              </w:rPr>
              <w:t xml:space="preserve"> somatic cell mutagenicity tests in mammals </w:t>
            </w:r>
            <w:r w:rsidRPr="001943E2">
              <w:rPr>
                <w:color w:val="1F497D" w:themeColor="text2"/>
                <w:sz w:val="18"/>
                <w:szCs w:val="18"/>
                <w:u w:val="single"/>
              </w:rPr>
              <w:t xml:space="preserve">or other </w:t>
            </w:r>
            <w:r w:rsidRPr="001943E2">
              <w:rPr>
                <w:i/>
                <w:color w:val="1F497D" w:themeColor="text2"/>
                <w:sz w:val="18"/>
                <w:szCs w:val="18"/>
                <w:u w:val="single"/>
              </w:rPr>
              <w:t>in vivo</w:t>
            </w:r>
            <w:r w:rsidRPr="001943E2">
              <w:rPr>
                <w:color w:val="1F497D" w:themeColor="text2"/>
                <w:sz w:val="18"/>
                <w:szCs w:val="18"/>
                <w:u w:val="single"/>
              </w:rPr>
              <w:t xml:space="preserve"> somatic cell genotoxicity tests in mammals which are supported by positive results from </w:t>
            </w:r>
            <w:r w:rsidRPr="001943E2">
              <w:rPr>
                <w:i/>
                <w:color w:val="1F497D" w:themeColor="text2"/>
                <w:sz w:val="18"/>
                <w:szCs w:val="18"/>
                <w:u w:val="single"/>
              </w:rPr>
              <w:t>in vitro</w:t>
            </w:r>
            <w:r w:rsidRPr="001943E2">
              <w:rPr>
                <w:color w:val="1F497D" w:themeColor="text2"/>
                <w:sz w:val="18"/>
                <w:szCs w:val="18"/>
                <w:u w:val="single"/>
              </w:rPr>
              <w:t xml:space="preserve"> mutagenicity assays</w:t>
            </w:r>
            <w:r w:rsidRPr="00B300B2">
              <w:rPr>
                <w:sz w:val="18"/>
                <w:szCs w:val="18"/>
              </w:rPr>
              <w:t>, in combination with some evidence that the substance has potential to cause mutations to germ cells. This supporting evidence may, for example, be derived from mutagenicity/genotoxic</w:t>
            </w:r>
            <w:r w:rsidRPr="001943E2">
              <w:rPr>
                <w:color w:val="1F497D" w:themeColor="text2"/>
                <w:sz w:val="18"/>
                <w:szCs w:val="18"/>
                <w:u w:val="single"/>
              </w:rPr>
              <w:t>ity</w:t>
            </w:r>
            <w:r w:rsidRPr="00B300B2">
              <w:rPr>
                <w:sz w:val="18"/>
                <w:szCs w:val="18"/>
              </w:rPr>
              <w:t xml:space="preserve"> tests in germ cells </w:t>
            </w:r>
            <w:r w:rsidRPr="00B300B2">
              <w:rPr>
                <w:i/>
                <w:iCs/>
                <w:sz w:val="18"/>
                <w:szCs w:val="18"/>
              </w:rPr>
              <w:t>in vivo</w:t>
            </w:r>
            <w:r w:rsidRPr="00B300B2">
              <w:rPr>
                <w:sz w:val="18"/>
                <w:szCs w:val="18"/>
              </w:rPr>
              <w:t xml:space="preserve">, or by demonstrating the ability of the substance or its metabolite(s) to </w:t>
            </w:r>
            <w:r w:rsidRPr="001943E2">
              <w:rPr>
                <w:strike/>
                <w:color w:val="FF0000"/>
                <w:sz w:val="18"/>
                <w:szCs w:val="18"/>
              </w:rPr>
              <w:t>interact with</w:t>
            </w:r>
            <w:r w:rsidRPr="001943E2">
              <w:rPr>
                <w:color w:val="FF0000"/>
                <w:sz w:val="18"/>
                <w:szCs w:val="18"/>
              </w:rPr>
              <w:t xml:space="preserve"> </w:t>
            </w:r>
            <w:r w:rsidRPr="001943E2">
              <w:rPr>
                <w:color w:val="1F497D" w:themeColor="text2"/>
                <w:sz w:val="18"/>
                <w:szCs w:val="18"/>
                <w:u w:val="single"/>
              </w:rPr>
              <w:t xml:space="preserve">reach the </w:t>
            </w:r>
            <w:r w:rsidRPr="001943E2">
              <w:rPr>
                <w:strike/>
                <w:color w:val="FF0000"/>
                <w:sz w:val="18"/>
                <w:szCs w:val="18"/>
              </w:rPr>
              <w:t>genetic material of</w:t>
            </w:r>
            <w:r w:rsidRPr="001943E2">
              <w:rPr>
                <w:color w:val="FF0000"/>
                <w:sz w:val="18"/>
                <w:szCs w:val="18"/>
              </w:rPr>
              <w:t xml:space="preserve"> </w:t>
            </w:r>
            <w:r w:rsidRPr="001943E2">
              <w:rPr>
                <w:strike/>
                <w:color w:val="FF0000"/>
                <w:sz w:val="18"/>
                <w:szCs w:val="18"/>
              </w:rPr>
              <w:t xml:space="preserve">germ </w:t>
            </w:r>
            <w:proofErr w:type="spellStart"/>
            <w:r w:rsidRPr="001943E2">
              <w:rPr>
                <w:strike/>
                <w:color w:val="FF0000"/>
                <w:sz w:val="18"/>
                <w:szCs w:val="18"/>
              </w:rPr>
              <w:t>cells</w:t>
            </w:r>
            <w:r w:rsidRPr="001943E2">
              <w:rPr>
                <w:sz w:val="18"/>
                <w:szCs w:val="18"/>
                <w:u w:val="single"/>
              </w:rPr>
              <w:t>gonads</w:t>
            </w:r>
            <w:proofErr w:type="spellEnd"/>
            <w:r w:rsidRPr="001943E2">
              <w:rPr>
                <w:sz w:val="18"/>
                <w:szCs w:val="18"/>
              </w:rPr>
              <w:t>; or</w:t>
            </w:r>
          </w:p>
        </w:tc>
      </w:tr>
      <w:tr w:rsidR="002B7228" w:rsidRPr="002C7594" w14:paraId="6547EF30" w14:textId="77777777" w:rsidTr="00C81269">
        <w:tc>
          <w:tcPr>
            <w:tcW w:w="8789" w:type="dxa"/>
            <w:tcBorders>
              <w:top w:val="nil"/>
              <w:bottom w:val="nil"/>
            </w:tcBorders>
          </w:tcPr>
          <w:p w14:paraId="71C9C999" w14:textId="77777777" w:rsidR="002B7228" w:rsidRPr="00B300B2" w:rsidRDefault="002B7228" w:rsidP="001B192B">
            <w:pPr>
              <w:tabs>
                <w:tab w:val="left" w:pos="1695"/>
                <w:tab w:val="left" w:pos="2268"/>
              </w:tabs>
              <w:spacing w:before="40" w:after="40"/>
              <w:ind w:left="2155" w:hanging="2155"/>
              <w:rPr>
                <w:b/>
                <w:sz w:val="18"/>
                <w:szCs w:val="18"/>
                <w:u w:val="single"/>
              </w:rPr>
            </w:pPr>
            <w:r w:rsidRPr="00B300B2">
              <w:rPr>
                <w:sz w:val="18"/>
                <w:szCs w:val="18"/>
              </w:rPr>
              <w:tab/>
              <w:t>(c)</w:t>
            </w:r>
            <w:r w:rsidRPr="00B300B2">
              <w:rPr>
                <w:sz w:val="18"/>
                <w:szCs w:val="18"/>
              </w:rPr>
              <w:tab/>
              <w:t>Positive results from tests showing mutagenic effects in the germ cells of humans, without demonstration of transmission to progeny; for example, an increase in the frequency of aneuploidy in sperm cells of exposed people.</w:t>
            </w:r>
          </w:p>
        </w:tc>
      </w:tr>
      <w:tr w:rsidR="002B7228" w:rsidRPr="002C7594" w14:paraId="5D5696CF" w14:textId="77777777" w:rsidTr="00C81269">
        <w:tc>
          <w:tcPr>
            <w:tcW w:w="8789" w:type="dxa"/>
            <w:tcBorders>
              <w:top w:val="nil"/>
              <w:bottom w:val="nil"/>
            </w:tcBorders>
          </w:tcPr>
          <w:p w14:paraId="13AFE0FA" w14:textId="77777777" w:rsidR="002B7228" w:rsidRPr="002C7594" w:rsidRDefault="002B7228" w:rsidP="001B192B">
            <w:pPr>
              <w:tabs>
                <w:tab w:val="left" w:pos="1701"/>
                <w:tab w:val="left" w:pos="2155"/>
              </w:tabs>
              <w:spacing w:before="40" w:after="40"/>
              <w:ind w:left="1695" w:hanging="1695"/>
              <w:rPr>
                <w:bCs/>
                <w:sz w:val="18"/>
                <w:szCs w:val="18"/>
              </w:rPr>
            </w:pPr>
            <w:r w:rsidRPr="002C7594">
              <w:rPr>
                <w:b/>
                <w:sz w:val="18"/>
                <w:szCs w:val="18"/>
                <w:u w:val="single"/>
              </w:rPr>
              <w:t>CATEGORY 2</w:t>
            </w:r>
            <w:r w:rsidRPr="002C7594">
              <w:rPr>
                <w:b/>
                <w:sz w:val="18"/>
                <w:szCs w:val="18"/>
              </w:rPr>
              <w:t>:</w:t>
            </w:r>
            <w:r w:rsidRPr="002C7594">
              <w:rPr>
                <w:b/>
                <w:sz w:val="18"/>
                <w:szCs w:val="18"/>
              </w:rPr>
              <w:tab/>
              <w:t>Substances which cause concern for humans owing to the possibility that they may induce heritable mutations in the germ cells of humans</w:t>
            </w:r>
          </w:p>
        </w:tc>
      </w:tr>
      <w:tr w:rsidR="002B7228" w:rsidRPr="002C7594" w14:paraId="1D84524A" w14:textId="77777777" w:rsidTr="00C81269">
        <w:tc>
          <w:tcPr>
            <w:tcW w:w="8789" w:type="dxa"/>
            <w:tcBorders>
              <w:top w:val="nil"/>
              <w:bottom w:val="nil"/>
            </w:tcBorders>
          </w:tcPr>
          <w:p w14:paraId="5DE461AF" w14:textId="77777777" w:rsidR="002B7228" w:rsidRPr="002C7594" w:rsidRDefault="002B7228" w:rsidP="001B192B">
            <w:pPr>
              <w:tabs>
                <w:tab w:val="left" w:pos="1701"/>
                <w:tab w:val="left" w:pos="2155"/>
              </w:tabs>
              <w:spacing w:before="40" w:after="40"/>
              <w:ind w:left="1695" w:hanging="1695"/>
              <w:rPr>
                <w:sz w:val="18"/>
                <w:szCs w:val="18"/>
              </w:rPr>
            </w:pPr>
            <w:r w:rsidRPr="002C7594">
              <w:rPr>
                <w:bCs/>
                <w:sz w:val="18"/>
                <w:szCs w:val="18"/>
              </w:rPr>
              <w:tab/>
              <w:t>Positive</w:t>
            </w:r>
            <w:r w:rsidRPr="002C7594">
              <w:rPr>
                <w:sz w:val="18"/>
                <w:szCs w:val="18"/>
              </w:rPr>
              <w:t xml:space="preserve"> evidence obtained from experiments in mammals and/or in some cases from </w:t>
            </w:r>
            <w:r w:rsidRPr="002C7594">
              <w:rPr>
                <w:i/>
                <w:sz w:val="18"/>
                <w:szCs w:val="18"/>
              </w:rPr>
              <w:t>in vitro</w:t>
            </w:r>
            <w:r w:rsidRPr="002C7594">
              <w:rPr>
                <w:sz w:val="18"/>
                <w:szCs w:val="18"/>
              </w:rPr>
              <w:t xml:space="preserve"> experiments, obtained from:</w:t>
            </w:r>
          </w:p>
        </w:tc>
      </w:tr>
      <w:tr w:rsidR="002B7228" w:rsidRPr="002C7594" w14:paraId="080C495F" w14:textId="77777777" w:rsidTr="00C81269">
        <w:tc>
          <w:tcPr>
            <w:tcW w:w="8789" w:type="dxa"/>
            <w:tcBorders>
              <w:top w:val="nil"/>
              <w:bottom w:val="nil"/>
            </w:tcBorders>
          </w:tcPr>
          <w:p w14:paraId="7855A0F2" w14:textId="77777777" w:rsidR="002B7228" w:rsidRPr="002C7594" w:rsidRDefault="002B7228" w:rsidP="001B192B">
            <w:pPr>
              <w:tabs>
                <w:tab w:val="left" w:pos="1701"/>
                <w:tab w:val="left" w:pos="2155"/>
              </w:tabs>
              <w:spacing w:before="40" w:after="40"/>
              <w:ind w:left="1695" w:hanging="1695"/>
              <w:rPr>
                <w:sz w:val="18"/>
                <w:szCs w:val="18"/>
              </w:rPr>
            </w:pPr>
            <w:r w:rsidRPr="002C7594">
              <w:rPr>
                <w:sz w:val="18"/>
                <w:szCs w:val="18"/>
              </w:rPr>
              <w:tab/>
              <w:t>(a)</w:t>
            </w:r>
            <w:r w:rsidRPr="002C7594">
              <w:rPr>
                <w:sz w:val="18"/>
                <w:szCs w:val="18"/>
              </w:rPr>
              <w:tab/>
              <w:t xml:space="preserve">Somatic cell mutagenicity tests </w:t>
            </w:r>
            <w:r w:rsidRPr="002C7594">
              <w:rPr>
                <w:i/>
                <w:iCs/>
                <w:sz w:val="18"/>
                <w:szCs w:val="18"/>
              </w:rPr>
              <w:t>in vivo</w:t>
            </w:r>
            <w:r w:rsidRPr="002C7594">
              <w:rPr>
                <w:sz w:val="18"/>
                <w:szCs w:val="18"/>
              </w:rPr>
              <w:t>, in mammals; or</w:t>
            </w:r>
          </w:p>
        </w:tc>
      </w:tr>
      <w:tr w:rsidR="002B7228" w:rsidRPr="002C7594" w14:paraId="4DAF6334" w14:textId="77777777" w:rsidTr="00C81269">
        <w:tc>
          <w:tcPr>
            <w:tcW w:w="8789" w:type="dxa"/>
            <w:tcBorders>
              <w:top w:val="nil"/>
              <w:bottom w:val="nil"/>
            </w:tcBorders>
          </w:tcPr>
          <w:p w14:paraId="5A6772E3" w14:textId="77777777" w:rsidR="002B7228" w:rsidRPr="002C7594" w:rsidRDefault="002B7228" w:rsidP="001B192B">
            <w:pPr>
              <w:tabs>
                <w:tab w:val="left" w:pos="1675"/>
                <w:tab w:val="left" w:pos="2155"/>
              </w:tabs>
              <w:spacing w:before="40" w:after="40"/>
              <w:ind w:left="2163" w:hanging="2163"/>
              <w:rPr>
                <w:b/>
                <w:bCs/>
                <w:i/>
                <w:sz w:val="18"/>
                <w:szCs w:val="18"/>
              </w:rPr>
            </w:pPr>
            <w:r w:rsidRPr="002C7594">
              <w:rPr>
                <w:sz w:val="18"/>
                <w:szCs w:val="18"/>
              </w:rPr>
              <w:tab/>
              <w:t>(b)</w:t>
            </w:r>
            <w:r w:rsidRPr="002C7594">
              <w:rPr>
                <w:sz w:val="18"/>
                <w:szCs w:val="18"/>
              </w:rPr>
              <w:tab/>
              <w:t xml:space="preserve">Other in vivo somatic cell genotoxicity tests which are supported by positive results from </w:t>
            </w:r>
            <w:r w:rsidRPr="002C7594">
              <w:rPr>
                <w:i/>
                <w:iCs/>
                <w:sz w:val="18"/>
                <w:szCs w:val="18"/>
              </w:rPr>
              <w:t>in vitro</w:t>
            </w:r>
            <w:r w:rsidRPr="002C7594">
              <w:rPr>
                <w:sz w:val="18"/>
                <w:szCs w:val="18"/>
              </w:rPr>
              <w:t xml:space="preserve"> mutagenicity assays.</w:t>
            </w:r>
          </w:p>
        </w:tc>
      </w:tr>
      <w:tr w:rsidR="002B7228" w:rsidRPr="002C7594" w14:paraId="59C666DD" w14:textId="77777777" w:rsidTr="00C81269">
        <w:tc>
          <w:tcPr>
            <w:tcW w:w="8789" w:type="dxa"/>
            <w:tcBorders>
              <w:top w:val="nil"/>
            </w:tcBorders>
          </w:tcPr>
          <w:p w14:paraId="5C7D9B94" w14:textId="77777777" w:rsidR="002B7228" w:rsidRPr="002C7594" w:rsidRDefault="002B7228" w:rsidP="001B192B">
            <w:pPr>
              <w:tabs>
                <w:tab w:val="left" w:pos="1701"/>
              </w:tabs>
              <w:spacing w:before="40" w:after="40"/>
              <w:ind w:left="1701" w:hanging="1701"/>
              <w:rPr>
                <w:b/>
                <w:sz w:val="18"/>
                <w:szCs w:val="18"/>
                <w:u w:val="single"/>
              </w:rPr>
            </w:pPr>
            <w:r w:rsidRPr="002C7594">
              <w:rPr>
                <w:b/>
                <w:bCs/>
                <w:i/>
                <w:sz w:val="18"/>
                <w:szCs w:val="18"/>
              </w:rPr>
              <w:tab/>
              <w:t>NOTE</w:t>
            </w:r>
            <w:r w:rsidRPr="002C7594">
              <w:rPr>
                <w:b/>
                <w:bCs/>
                <w:sz w:val="18"/>
                <w:szCs w:val="18"/>
              </w:rPr>
              <w:t xml:space="preserve">: </w:t>
            </w:r>
            <w:r w:rsidRPr="002C7594">
              <w:rPr>
                <w:sz w:val="18"/>
                <w:szCs w:val="18"/>
              </w:rPr>
              <w:tab/>
            </w:r>
            <w:r w:rsidRPr="002C7594">
              <w:rPr>
                <w:i/>
                <w:sz w:val="18"/>
                <w:szCs w:val="18"/>
              </w:rPr>
              <w:t>Substances</w:t>
            </w:r>
            <w:r w:rsidRPr="002C7594">
              <w:rPr>
                <w:i/>
                <w:iCs/>
                <w:sz w:val="18"/>
                <w:szCs w:val="18"/>
              </w:rPr>
              <w:t xml:space="preserve"> which are positive in in vitro mammalian mutagenicity assays, and which also show structure activity relationship to known germ cell mutagens, should be considered for classification as Category 2 mutagens</w:t>
            </w:r>
            <w:r w:rsidRPr="001943E2">
              <w:rPr>
                <w:i/>
                <w:iCs/>
                <w:color w:val="1F497D" w:themeColor="text2"/>
                <w:sz w:val="18"/>
                <w:szCs w:val="18"/>
                <w:u w:val="single"/>
              </w:rPr>
              <w:t xml:space="preserve">; </w:t>
            </w:r>
            <w:r w:rsidRPr="001943E2">
              <w:rPr>
                <w:i/>
                <w:color w:val="1F497D" w:themeColor="text2"/>
                <w:sz w:val="18"/>
                <w:szCs w:val="18"/>
                <w:u w:val="single"/>
              </w:rPr>
              <w:t>similarly, substances for which read-across to substances classified in category 1B is applicable, classification in 1B should be considered</w:t>
            </w:r>
            <w:r w:rsidRPr="001943E2">
              <w:rPr>
                <w:i/>
                <w:iCs/>
                <w:color w:val="1F497D" w:themeColor="text2"/>
                <w:sz w:val="18"/>
                <w:szCs w:val="18"/>
              </w:rPr>
              <w:t>.</w:t>
            </w:r>
          </w:p>
        </w:tc>
      </w:tr>
    </w:tbl>
    <w:p w14:paraId="2B650DEB" w14:textId="77777777" w:rsidR="002B7228" w:rsidRPr="002C7594" w:rsidRDefault="002C7594" w:rsidP="002C7594">
      <w:pPr>
        <w:spacing w:before="240"/>
        <w:jc w:val="center"/>
        <w:rPr>
          <w:u w:val="single"/>
        </w:rPr>
      </w:pPr>
      <w:r>
        <w:rPr>
          <w:u w:val="single"/>
        </w:rPr>
        <w:tab/>
      </w:r>
      <w:r>
        <w:rPr>
          <w:u w:val="single"/>
        </w:rPr>
        <w:tab/>
      </w:r>
      <w:r>
        <w:rPr>
          <w:u w:val="single"/>
        </w:rPr>
        <w:tab/>
      </w:r>
    </w:p>
    <w:p w14:paraId="5ED3BDD8" w14:textId="77777777" w:rsidR="002B7228" w:rsidRDefault="002B7228" w:rsidP="004858F5"/>
    <w:p w14:paraId="7C2700A0" w14:textId="77777777" w:rsidR="002B7228" w:rsidRPr="00916402" w:rsidRDefault="002B7228" w:rsidP="004858F5"/>
    <w:sectPr w:rsidR="002B7228" w:rsidRPr="00916402" w:rsidSect="0091640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8FD7F" w14:textId="77777777" w:rsidR="00916402" w:rsidRPr="00C47B2E" w:rsidRDefault="00916402" w:rsidP="00C47B2E">
      <w:pPr>
        <w:pStyle w:val="Footer"/>
      </w:pPr>
    </w:p>
  </w:endnote>
  <w:endnote w:type="continuationSeparator" w:id="0">
    <w:p w14:paraId="7EBD354C" w14:textId="77777777" w:rsidR="00916402" w:rsidRPr="00C47B2E" w:rsidRDefault="00916402" w:rsidP="00C47B2E">
      <w:pPr>
        <w:pStyle w:val="Footer"/>
      </w:pPr>
    </w:p>
  </w:endnote>
  <w:endnote w:type="continuationNotice" w:id="1">
    <w:p w14:paraId="4CCBCF84" w14:textId="77777777" w:rsidR="00916402" w:rsidRPr="00C47B2E" w:rsidRDefault="0091640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8FFB2" w14:textId="77777777" w:rsidR="00D94B05" w:rsidRPr="00916402" w:rsidRDefault="00916402" w:rsidP="00916402">
    <w:pPr>
      <w:pStyle w:val="Footer"/>
      <w:tabs>
        <w:tab w:val="right" w:pos="9598"/>
        <w:tab w:val="right" w:pos="9638"/>
      </w:tabs>
      <w:rPr>
        <w:sz w:val="18"/>
      </w:rPr>
    </w:pPr>
    <w:r w:rsidRPr="00916402">
      <w:rPr>
        <w:b/>
        <w:sz w:val="18"/>
      </w:rPr>
      <w:fldChar w:fldCharType="begin"/>
    </w:r>
    <w:r w:rsidRPr="00916402">
      <w:rPr>
        <w:b/>
        <w:sz w:val="18"/>
      </w:rPr>
      <w:instrText xml:space="preserve"> PAGE  \* MERGEFORMAT </w:instrText>
    </w:r>
    <w:r w:rsidRPr="00916402">
      <w:rPr>
        <w:b/>
        <w:sz w:val="18"/>
      </w:rPr>
      <w:fldChar w:fldCharType="separate"/>
    </w:r>
    <w:r w:rsidRPr="00916402">
      <w:rPr>
        <w:b/>
        <w:noProof/>
        <w:sz w:val="18"/>
      </w:rPr>
      <w:t>2</w:t>
    </w:r>
    <w:r w:rsidRPr="0091640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0FF0F" w14:textId="77777777" w:rsidR="00D94B05" w:rsidRPr="009C4AC3" w:rsidRDefault="00916402" w:rsidP="009C4AC3">
    <w:pPr>
      <w:pStyle w:val="Footer"/>
      <w:tabs>
        <w:tab w:val="left" w:pos="5775"/>
        <w:tab w:val="right" w:pos="9598"/>
        <w:tab w:val="right" w:pos="9638"/>
      </w:tabs>
      <w:jc w:val="right"/>
      <w:rPr>
        <w:b/>
        <w:bCs/>
        <w:sz w:val="18"/>
      </w:rPr>
    </w:pPr>
    <w:r w:rsidRPr="009C4AC3">
      <w:rPr>
        <w:b/>
        <w:bCs/>
        <w:sz w:val="18"/>
      </w:rPr>
      <w:tab/>
    </w:r>
    <w:r w:rsidRPr="009C4AC3">
      <w:rPr>
        <w:b/>
        <w:bCs/>
        <w:sz w:val="18"/>
      </w:rPr>
      <w:fldChar w:fldCharType="begin"/>
    </w:r>
    <w:r w:rsidRPr="009C4AC3">
      <w:rPr>
        <w:b/>
        <w:bCs/>
        <w:sz w:val="18"/>
      </w:rPr>
      <w:instrText xml:space="preserve"> PAGE  \* MERGEFORMAT </w:instrText>
    </w:r>
    <w:r w:rsidRPr="009C4AC3">
      <w:rPr>
        <w:b/>
        <w:bCs/>
        <w:sz w:val="18"/>
      </w:rPr>
      <w:fldChar w:fldCharType="separate"/>
    </w:r>
    <w:r w:rsidRPr="009C4AC3">
      <w:rPr>
        <w:b/>
        <w:bCs/>
        <w:noProof/>
        <w:sz w:val="18"/>
      </w:rPr>
      <w:t>3</w:t>
    </w:r>
    <w:r w:rsidRPr="009C4AC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47A7E" w14:textId="77777777" w:rsidR="00D94B05" w:rsidRPr="00916402"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64F8BB30" wp14:editId="35321421">
          <wp:simplePos x="0" y="0"/>
          <wp:positionH relativeFrom="margin">
            <wp:posOffset>5003800</wp:posOffset>
          </wp:positionH>
          <wp:positionV relativeFrom="margin">
            <wp:posOffset>9323705</wp:posOffset>
          </wp:positionV>
          <wp:extent cx="923925" cy="228600"/>
          <wp:effectExtent l="0" t="0" r="9525"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23813" w14:textId="77777777" w:rsidR="00916402" w:rsidRPr="00C47B2E" w:rsidRDefault="00916402" w:rsidP="00C47B2E">
      <w:pPr>
        <w:tabs>
          <w:tab w:val="right" w:pos="2155"/>
        </w:tabs>
        <w:spacing w:after="80" w:line="240" w:lineRule="auto"/>
        <w:ind w:left="680"/>
      </w:pPr>
      <w:r>
        <w:rPr>
          <w:u w:val="single"/>
        </w:rPr>
        <w:tab/>
      </w:r>
    </w:p>
  </w:footnote>
  <w:footnote w:type="continuationSeparator" w:id="0">
    <w:p w14:paraId="49EE0EE5" w14:textId="77777777" w:rsidR="00916402" w:rsidRPr="00C47B2E" w:rsidRDefault="00916402" w:rsidP="005E716E">
      <w:pPr>
        <w:tabs>
          <w:tab w:val="right" w:pos="2155"/>
        </w:tabs>
        <w:spacing w:after="80" w:line="240" w:lineRule="auto"/>
        <w:ind w:left="680"/>
      </w:pPr>
      <w:r>
        <w:rPr>
          <w:u w:val="single"/>
        </w:rPr>
        <w:tab/>
      </w:r>
    </w:p>
  </w:footnote>
  <w:footnote w:type="continuationNotice" w:id="1">
    <w:p w14:paraId="38C08DDD" w14:textId="77777777" w:rsidR="00916402" w:rsidRPr="00C47B2E" w:rsidRDefault="00916402" w:rsidP="00C47B2E">
      <w:pPr>
        <w:pStyle w:val="Footer"/>
      </w:pPr>
    </w:p>
  </w:footnote>
  <w:footnote w:id="2">
    <w:p w14:paraId="5D3AFAD9" w14:textId="77777777" w:rsidR="00B300B2" w:rsidRPr="00264848" w:rsidRDefault="00B300B2">
      <w:pPr>
        <w:pStyle w:val="FootnoteText"/>
        <w:rPr>
          <w:lang w:val="fr-CH"/>
        </w:rPr>
      </w:pPr>
      <w:r>
        <w:rPr>
          <w:rStyle w:val="FootnoteReference"/>
        </w:rPr>
        <w:tab/>
      </w:r>
      <w:r w:rsidRPr="00264848">
        <w:rPr>
          <w:rStyle w:val="FootnoteReference"/>
          <w:sz w:val="20"/>
          <w:vertAlign w:val="baseline"/>
        </w:rPr>
        <w:t>*</w:t>
      </w:r>
      <w:r>
        <w:rPr>
          <w:rStyle w:val="FootnoteReference"/>
          <w:sz w:val="20"/>
          <w:vertAlign w:val="baseline"/>
        </w:rPr>
        <w:tab/>
      </w:r>
      <w:r>
        <w:rPr>
          <w:lang w:val="en-US"/>
        </w:rPr>
        <w:t xml:space="preserve">2020 (A/74/6 (Sect.20) and Supplementary), </w:t>
      </w:r>
      <w:proofErr w:type="spellStart"/>
      <w:r>
        <w:rPr>
          <w:lang w:val="en-US"/>
        </w:rPr>
        <w:t>Subprogramme</w:t>
      </w:r>
      <w:proofErr w:type="spellEnd"/>
      <w:r>
        <w:rPr>
          <w:lang w:val="en-US"/>
        </w:rPr>
        <w:t xml:space="preserve"> 2.</w:t>
      </w:r>
    </w:p>
  </w:footnote>
  <w:footnote w:id="3">
    <w:p w14:paraId="3AB62DE6" w14:textId="77777777" w:rsidR="00706FEC" w:rsidRPr="0064322B" w:rsidRDefault="00706FEC" w:rsidP="0064322B">
      <w:pPr>
        <w:pStyle w:val="SingleTxtG"/>
        <w:spacing w:line="240" w:lineRule="auto"/>
        <w:rPr>
          <w:szCs w:val="18"/>
          <w:lang w:val="fr-CH"/>
        </w:rPr>
      </w:pPr>
      <w:r>
        <w:rPr>
          <w:rStyle w:val="FootnoteReference"/>
        </w:rPr>
        <w:footnoteRef/>
      </w:r>
      <w:r>
        <w:tab/>
      </w:r>
      <w:r w:rsidR="00B300B2" w:rsidRPr="0064322B">
        <w:rPr>
          <w:sz w:val="18"/>
          <w:szCs w:val="18"/>
        </w:rPr>
        <w:t>F. Marchetti et al., Environmental and Molecular Mutagenesis 61 (2020) 42-54;</w:t>
      </w:r>
      <w:r w:rsidR="00B300B2" w:rsidRPr="00264848">
        <w:rPr>
          <w:sz w:val="18"/>
          <w:szCs w:val="18"/>
        </w:rPr>
        <w:t xml:space="preserve"> </w:t>
      </w:r>
      <w:r w:rsidR="00B300B2" w:rsidRPr="00264848">
        <w:rPr>
          <w:sz w:val="18"/>
          <w:szCs w:val="18"/>
        </w:rPr>
        <w:tab/>
      </w:r>
      <w:r w:rsidR="00B300B2" w:rsidRPr="00264848">
        <w:rPr>
          <w:sz w:val="18"/>
          <w:szCs w:val="18"/>
        </w:rPr>
        <w:tab/>
      </w:r>
      <w:r w:rsidR="00B300B2" w:rsidRPr="0064322B">
        <w:rPr>
          <w:sz w:val="18"/>
          <w:szCs w:val="18"/>
        </w:rPr>
        <w:t xml:space="preserve">CL. </w:t>
      </w:r>
      <w:proofErr w:type="spellStart"/>
      <w:r w:rsidR="00B300B2" w:rsidRPr="0064322B">
        <w:rPr>
          <w:sz w:val="18"/>
          <w:szCs w:val="18"/>
        </w:rPr>
        <w:t>Yauk</w:t>
      </w:r>
      <w:proofErr w:type="spellEnd"/>
      <w:r w:rsidR="00B300B2" w:rsidRPr="0064322B">
        <w:rPr>
          <w:sz w:val="18"/>
          <w:szCs w:val="18"/>
        </w:rPr>
        <w:t xml:space="preserve"> et al., Mutation Research 783 (2015) 36–54</w:t>
      </w:r>
      <w:r w:rsidR="00B300B2" w:rsidRPr="00264848">
        <w:rPr>
          <w:sz w:val="18"/>
          <w:szCs w:val="18"/>
        </w:rPr>
        <w:t>.</w:t>
      </w:r>
    </w:p>
  </w:footnote>
  <w:footnote w:id="4">
    <w:p w14:paraId="7A0BACF0" w14:textId="77777777" w:rsidR="00B300B2" w:rsidRPr="0064322B" w:rsidRDefault="00B300B2" w:rsidP="0064322B">
      <w:pPr>
        <w:pStyle w:val="FootnoteText"/>
        <w:widowControl w:val="0"/>
        <w:rPr>
          <w:lang w:val="fr-CH"/>
        </w:rPr>
      </w:pPr>
      <w:r>
        <w:tab/>
      </w:r>
      <w:r>
        <w:tab/>
      </w:r>
      <w:r>
        <w:rPr>
          <w:rStyle w:val="FootnoteReference"/>
        </w:rPr>
        <w:footnoteRef/>
      </w:r>
      <w:r>
        <w:tab/>
        <w:t>See paragraph 1.3.2.4.6 of the GHS.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4C834" w14:textId="43E71E17" w:rsidR="00916402" w:rsidRPr="00916402" w:rsidRDefault="00FB07F3">
    <w:pPr>
      <w:pStyle w:val="Header"/>
    </w:pPr>
    <w:r>
      <w:fldChar w:fldCharType="begin"/>
    </w:r>
    <w:r>
      <w:instrText xml:space="preserve"> TITLE  \* MERGEFORMAT </w:instrText>
    </w:r>
    <w:r>
      <w:fldChar w:fldCharType="separate"/>
    </w:r>
    <w:r>
      <w:t>ST/SG/AC.10/C.4/2020/13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6131B" w14:textId="2ED8FA5B" w:rsidR="00D94B05" w:rsidRPr="00916402" w:rsidRDefault="00FB07F3" w:rsidP="00916402">
    <w:pPr>
      <w:pStyle w:val="Header"/>
      <w:jc w:val="right"/>
    </w:pPr>
    <w:r>
      <w:fldChar w:fldCharType="begin"/>
    </w:r>
    <w:r>
      <w:instrText xml:space="preserve"> TITLE  \* MERGEFORMAT </w:instrText>
    </w:r>
    <w:r>
      <w:fldChar w:fldCharType="separate"/>
    </w:r>
    <w:r>
      <w:t>ST/SG/AC.10/C.4/2020/13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884A6" w14:textId="77777777" w:rsidR="009C4AC3" w:rsidRDefault="009C4AC3" w:rsidP="009C4AC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4C5A96"/>
    <w:multiLevelType w:val="hybridMultilevel"/>
    <w:tmpl w:val="01A429CA"/>
    <w:lvl w:ilvl="0" w:tplc="CA941C3C">
      <w:start w:val="1"/>
      <w:numFmt w:val="lowerRoman"/>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EC1861"/>
    <w:multiLevelType w:val="hybridMultilevel"/>
    <w:tmpl w:val="878EF538"/>
    <w:lvl w:ilvl="0" w:tplc="3D18170E">
      <w:start w:val="1"/>
      <w:numFmt w:val="decimal"/>
      <w:lvlText w:val="%1."/>
      <w:lvlJc w:val="left"/>
      <w:pPr>
        <w:ind w:left="1494" w:hanging="360"/>
      </w:pPr>
      <w:rPr>
        <w:rFonts w:hint="default"/>
        <w:b w:val="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7"/>
  </w:num>
  <w:num w:numId="5">
    <w:abstractNumId w:val="8"/>
  </w:num>
  <w:num w:numId="6">
    <w:abstractNumId w:val="11"/>
  </w:num>
  <w:num w:numId="7">
    <w:abstractNumId w:val="3"/>
  </w:num>
  <w:num w:numId="8">
    <w:abstractNumId w:val="1"/>
  </w:num>
  <w:num w:numId="9">
    <w:abstractNumId w:val="9"/>
  </w:num>
  <w:num w:numId="10">
    <w:abstractNumId w:val="1"/>
  </w:num>
  <w:num w:numId="11">
    <w:abstractNumId w:val="9"/>
  </w:num>
  <w:num w:numId="12">
    <w:abstractNumId w:val="2"/>
  </w:num>
  <w:num w:numId="13">
    <w:abstractNumId w:val="2"/>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567"/>
  <w:hyphenationZone w:val="425"/>
  <w:evenAndOddHeaders/>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402"/>
    <w:rsid w:val="00046E92"/>
    <w:rsid w:val="00063C90"/>
    <w:rsid w:val="00101B98"/>
    <w:rsid w:val="001514D1"/>
    <w:rsid w:val="001943E2"/>
    <w:rsid w:val="00247E2C"/>
    <w:rsid w:val="00264848"/>
    <w:rsid w:val="002A32CB"/>
    <w:rsid w:val="002B7228"/>
    <w:rsid w:val="002C7594"/>
    <w:rsid w:val="002D5B2C"/>
    <w:rsid w:val="002D6C53"/>
    <w:rsid w:val="002F5595"/>
    <w:rsid w:val="00334F6A"/>
    <w:rsid w:val="00342AC8"/>
    <w:rsid w:val="00343302"/>
    <w:rsid w:val="003979DE"/>
    <w:rsid w:val="003B4550"/>
    <w:rsid w:val="003D2A18"/>
    <w:rsid w:val="00413386"/>
    <w:rsid w:val="00461253"/>
    <w:rsid w:val="004858F5"/>
    <w:rsid w:val="004A2814"/>
    <w:rsid w:val="004B6837"/>
    <w:rsid w:val="004C0622"/>
    <w:rsid w:val="005042C2"/>
    <w:rsid w:val="005370CF"/>
    <w:rsid w:val="005E716E"/>
    <w:rsid w:val="0064322B"/>
    <w:rsid w:val="006476E1"/>
    <w:rsid w:val="006604DF"/>
    <w:rsid w:val="00671529"/>
    <w:rsid w:val="006B333A"/>
    <w:rsid w:val="006C43D6"/>
    <w:rsid w:val="0070489D"/>
    <w:rsid w:val="00706FEC"/>
    <w:rsid w:val="007268F9"/>
    <w:rsid w:val="00750282"/>
    <w:rsid w:val="00764440"/>
    <w:rsid w:val="0077101B"/>
    <w:rsid w:val="007C52B0"/>
    <w:rsid w:val="007C6033"/>
    <w:rsid w:val="008147C8"/>
    <w:rsid w:val="0081753A"/>
    <w:rsid w:val="00857D23"/>
    <w:rsid w:val="00916402"/>
    <w:rsid w:val="009411B4"/>
    <w:rsid w:val="00946F1D"/>
    <w:rsid w:val="009C4AC3"/>
    <w:rsid w:val="009D0139"/>
    <w:rsid w:val="009D717D"/>
    <w:rsid w:val="009F5CDC"/>
    <w:rsid w:val="00A072D7"/>
    <w:rsid w:val="00A775CF"/>
    <w:rsid w:val="00AD1A9C"/>
    <w:rsid w:val="00AF5DE1"/>
    <w:rsid w:val="00B06045"/>
    <w:rsid w:val="00B206DD"/>
    <w:rsid w:val="00B300B2"/>
    <w:rsid w:val="00B52EF4"/>
    <w:rsid w:val="00B777AD"/>
    <w:rsid w:val="00BA1960"/>
    <w:rsid w:val="00C03015"/>
    <w:rsid w:val="00C0358D"/>
    <w:rsid w:val="00C35A27"/>
    <w:rsid w:val="00C47B2E"/>
    <w:rsid w:val="00C81269"/>
    <w:rsid w:val="00D63CD2"/>
    <w:rsid w:val="00D87DC2"/>
    <w:rsid w:val="00D94B05"/>
    <w:rsid w:val="00E02C2B"/>
    <w:rsid w:val="00E21C27"/>
    <w:rsid w:val="00E26BCF"/>
    <w:rsid w:val="00E52109"/>
    <w:rsid w:val="00E75317"/>
    <w:rsid w:val="00EC0CE6"/>
    <w:rsid w:val="00EC7C1D"/>
    <w:rsid w:val="00ED6C48"/>
    <w:rsid w:val="00EE3045"/>
    <w:rsid w:val="00F233AD"/>
    <w:rsid w:val="00F65F5D"/>
    <w:rsid w:val="00F86A3A"/>
    <w:rsid w:val="00FB07F3"/>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E81E77"/>
  <w15:docId w15:val="{B3FB4CB9-D9C0-4D73-86C1-9EF4F6FD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2B7228"/>
    <w:rPr>
      <w:b/>
      <w:sz w:val="28"/>
    </w:rPr>
  </w:style>
  <w:style w:type="character" w:customStyle="1" w:styleId="SingleTxtGChar">
    <w:name w:val="_ Single Txt_G Char"/>
    <w:link w:val="SingleTxtG"/>
    <w:qFormat/>
    <w:locked/>
    <w:rsid w:val="002B7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7EB13-FBE7-44AD-ACC5-60071D3C5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53</TotalTime>
  <Pages>3</Pages>
  <Words>1065</Words>
  <Characters>6075</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ST/SG/AC.10/C.4/2020/13</vt: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ST/SG/AC.10/C.4/2020/13</dc:title>
  <dc:subject/>
  <dc:creator>Editorial</dc:creator>
  <cp:lastModifiedBy>Laurence Berthet</cp:lastModifiedBy>
  <cp:revision>15</cp:revision>
  <cp:lastPrinted>2020-04-15T17:46:00Z</cp:lastPrinted>
  <dcterms:created xsi:type="dcterms:W3CDTF">2020-04-08T10:16:00Z</dcterms:created>
  <dcterms:modified xsi:type="dcterms:W3CDTF">2020-04-15T17:50:00Z</dcterms:modified>
</cp:coreProperties>
</file>