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205DB6F" w14:textId="77777777" w:rsidTr="006476E1">
        <w:trPr>
          <w:trHeight w:val="851"/>
        </w:trPr>
        <w:tc>
          <w:tcPr>
            <w:tcW w:w="1259" w:type="dxa"/>
            <w:tcBorders>
              <w:top w:val="nil"/>
              <w:left w:val="nil"/>
              <w:bottom w:val="single" w:sz="4" w:space="0" w:color="auto"/>
              <w:right w:val="nil"/>
            </w:tcBorders>
          </w:tcPr>
          <w:p w14:paraId="0498900E" w14:textId="77777777" w:rsidR="00E52109" w:rsidRPr="002A32CB" w:rsidRDefault="00E52109" w:rsidP="004858F5"/>
        </w:tc>
        <w:tc>
          <w:tcPr>
            <w:tcW w:w="2236" w:type="dxa"/>
            <w:tcBorders>
              <w:top w:val="nil"/>
              <w:left w:val="nil"/>
              <w:bottom w:val="single" w:sz="4" w:space="0" w:color="auto"/>
              <w:right w:val="nil"/>
            </w:tcBorders>
            <w:vAlign w:val="bottom"/>
          </w:tcPr>
          <w:p w14:paraId="6BDB252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12E231C" w14:textId="77777777" w:rsidR="00437FE3" w:rsidRDefault="00437FE3" w:rsidP="00437FE3">
            <w:pPr>
              <w:suppressAutoHyphens w:val="0"/>
              <w:jc w:val="right"/>
            </w:pPr>
            <w:r w:rsidRPr="00437FE3">
              <w:rPr>
                <w:sz w:val="40"/>
              </w:rPr>
              <w:t>ST</w:t>
            </w:r>
            <w:r>
              <w:t>/SG/AC.10/C.3/2020/33−</w:t>
            </w:r>
            <w:r w:rsidRPr="00437FE3">
              <w:rPr>
                <w:sz w:val="40"/>
              </w:rPr>
              <w:t>ST</w:t>
            </w:r>
            <w:r>
              <w:t>/SG/AC.10/C.4/2020/10</w:t>
            </w:r>
          </w:p>
        </w:tc>
      </w:tr>
      <w:tr w:rsidR="00E52109" w14:paraId="0E0D4E96" w14:textId="77777777" w:rsidTr="006476E1">
        <w:trPr>
          <w:trHeight w:val="2835"/>
        </w:trPr>
        <w:tc>
          <w:tcPr>
            <w:tcW w:w="1259" w:type="dxa"/>
            <w:tcBorders>
              <w:top w:val="single" w:sz="4" w:space="0" w:color="auto"/>
              <w:left w:val="nil"/>
              <w:bottom w:val="single" w:sz="12" w:space="0" w:color="auto"/>
              <w:right w:val="nil"/>
            </w:tcBorders>
          </w:tcPr>
          <w:p w14:paraId="65C03199" w14:textId="77777777" w:rsidR="00E52109" w:rsidRDefault="00E52109" w:rsidP="006476E1">
            <w:pPr>
              <w:spacing w:before="120"/>
              <w:jc w:val="center"/>
            </w:pPr>
            <w:r>
              <w:rPr>
                <w:noProof/>
                <w:lang w:val="fr-CH" w:eastAsia="fr-CH"/>
              </w:rPr>
              <w:drawing>
                <wp:inline distT="0" distB="0" distL="0" distR="0" wp14:anchorId="2C2CE66D" wp14:editId="5190B7F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93BB997"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34B84C3" w14:textId="77777777" w:rsidR="00D94B05" w:rsidRDefault="00437FE3" w:rsidP="00437FE3">
            <w:pPr>
              <w:suppressAutoHyphens w:val="0"/>
              <w:spacing w:before="240" w:line="240" w:lineRule="exact"/>
            </w:pPr>
            <w:r>
              <w:t>Distr.: General</w:t>
            </w:r>
          </w:p>
          <w:p w14:paraId="2330FB71" w14:textId="77777777" w:rsidR="00437FE3" w:rsidRDefault="00C6017F" w:rsidP="00437FE3">
            <w:pPr>
              <w:suppressAutoHyphens w:val="0"/>
              <w:spacing w:line="240" w:lineRule="exact"/>
            </w:pPr>
            <w:r>
              <w:t>14</w:t>
            </w:r>
            <w:r w:rsidR="00437FE3">
              <w:t xml:space="preserve"> April 2020</w:t>
            </w:r>
          </w:p>
          <w:p w14:paraId="292AE649" w14:textId="77777777" w:rsidR="00437FE3" w:rsidRDefault="00437FE3" w:rsidP="00437FE3">
            <w:pPr>
              <w:suppressAutoHyphens w:val="0"/>
              <w:spacing w:line="240" w:lineRule="exact"/>
            </w:pPr>
          </w:p>
          <w:p w14:paraId="6DD135E4" w14:textId="77777777" w:rsidR="00437FE3" w:rsidRDefault="00437FE3" w:rsidP="00437FE3">
            <w:pPr>
              <w:suppressAutoHyphens w:val="0"/>
              <w:spacing w:line="240" w:lineRule="exact"/>
            </w:pPr>
            <w:r>
              <w:t>Original: English</w:t>
            </w:r>
          </w:p>
        </w:tc>
      </w:tr>
    </w:tbl>
    <w:p w14:paraId="2F8C938E" w14:textId="77777777" w:rsidR="00C167D6" w:rsidRPr="006500BA" w:rsidRDefault="00C167D6"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C167D6" w:rsidRPr="00302456" w14:paraId="1E6EB99F" w14:textId="77777777" w:rsidTr="00C167D6">
        <w:tc>
          <w:tcPr>
            <w:tcW w:w="4593" w:type="dxa"/>
            <w:shd w:val="clear" w:color="auto" w:fill="auto"/>
          </w:tcPr>
          <w:p w14:paraId="3F0577DE" w14:textId="77777777" w:rsidR="00C167D6" w:rsidRPr="00302456" w:rsidRDefault="00C167D6" w:rsidP="00846F7F">
            <w:pPr>
              <w:spacing w:before="120"/>
              <w:rPr>
                <w:b/>
              </w:rPr>
            </w:pPr>
            <w:r w:rsidRPr="00302456">
              <w:rPr>
                <w:b/>
              </w:rPr>
              <w:t xml:space="preserve">Sub-Committee of Experts on the Transport </w:t>
            </w:r>
            <w:r w:rsidRPr="00302456">
              <w:rPr>
                <w:b/>
              </w:rPr>
              <w:br/>
              <w:t xml:space="preserve">of Dangerous Goods </w:t>
            </w:r>
          </w:p>
        </w:tc>
        <w:tc>
          <w:tcPr>
            <w:tcW w:w="5046" w:type="dxa"/>
            <w:shd w:val="clear" w:color="auto" w:fill="auto"/>
          </w:tcPr>
          <w:p w14:paraId="4FD44BDA" w14:textId="77777777" w:rsidR="00C167D6" w:rsidRPr="00302456" w:rsidRDefault="00C167D6" w:rsidP="00846F7F">
            <w:pPr>
              <w:spacing w:before="120"/>
              <w:rPr>
                <w:b/>
              </w:rPr>
            </w:pPr>
            <w:r w:rsidRPr="00302456">
              <w:rPr>
                <w:b/>
              </w:rPr>
              <w:t xml:space="preserve">Sub-Committee of Experts on the Globally Harmonized System of Classification and Labelling of Chemicals </w:t>
            </w:r>
          </w:p>
        </w:tc>
      </w:tr>
      <w:tr w:rsidR="00C167D6" w:rsidRPr="00302456" w14:paraId="2C798B98" w14:textId="77777777" w:rsidTr="00C167D6">
        <w:tc>
          <w:tcPr>
            <w:tcW w:w="4593" w:type="dxa"/>
            <w:shd w:val="clear" w:color="auto" w:fill="auto"/>
          </w:tcPr>
          <w:p w14:paraId="18D3D0EC" w14:textId="77777777" w:rsidR="00C167D6" w:rsidRPr="00F00D7A" w:rsidRDefault="00C167D6" w:rsidP="00C167D6">
            <w:pPr>
              <w:spacing w:before="120"/>
              <w:rPr>
                <w:b/>
              </w:rPr>
            </w:pPr>
            <w:r w:rsidRPr="00F00D7A">
              <w:rPr>
                <w:b/>
              </w:rPr>
              <w:t>Fifty-seventh session</w:t>
            </w:r>
          </w:p>
        </w:tc>
        <w:tc>
          <w:tcPr>
            <w:tcW w:w="5046" w:type="dxa"/>
            <w:shd w:val="clear" w:color="auto" w:fill="auto"/>
          </w:tcPr>
          <w:p w14:paraId="11029E24" w14:textId="77777777" w:rsidR="00C167D6" w:rsidRPr="00A229FF" w:rsidRDefault="00C167D6" w:rsidP="00C167D6">
            <w:pPr>
              <w:spacing w:before="120"/>
              <w:rPr>
                <w:b/>
              </w:rPr>
            </w:pPr>
            <w:r w:rsidRPr="00A229FF">
              <w:rPr>
                <w:b/>
              </w:rPr>
              <w:t>Thirty-ninth session</w:t>
            </w:r>
          </w:p>
        </w:tc>
      </w:tr>
      <w:tr w:rsidR="00C167D6" w:rsidRPr="00302456" w14:paraId="545427A7" w14:textId="77777777" w:rsidTr="00C167D6">
        <w:tc>
          <w:tcPr>
            <w:tcW w:w="4593" w:type="dxa"/>
            <w:shd w:val="clear" w:color="auto" w:fill="auto"/>
          </w:tcPr>
          <w:p w14:paraId="4DED08C1" w14:textId="77777777" w:rsidR="00C167D6" w:rsidRDefault="00C167D6" w:rsidP="00C167D6">
            <w:r w:rsidRPr="00F00D7A">
              <w:t>Geneva, 29 June-8 July 2020</w:t>
            </w:r>
            <w:r w:rsidRPr="00F00D7A">
              <w:br/>
              <w:t xml:space="preserve">Item </w:t>
            </w:r>
            <w:r>
              <w:t>10 (b)</w:t>
            </w:r>
            <w:r w:rsidRPr="00F00D7A">
              <w:t xml:space="preserve"> of the provisional agenda</w:t>
            </w:r>
            <w:r>
              <w:br/>
            </w:r>
            <w:r w:rsidRPr="00C167D6">
              <w:rPr>
                <w:b/>
                <w:bCs/>
              </w:rPr>
              <w:t xml:space="preserve">Issues relating to the Globally Harmonized System </w:t>
            </w:r>
            <w:r>
              <w:rPr>
                <w:b/>
                <w:bCs/>
              </w:rPr>
              <w:br/>
            </w:r>
            <w:r w:rsidRPr="00C167D6">
              <w:rPr>
                <w:b/>
                <w:bCs/>
              </w:rPr>
              <w:t>of Classification and Labelling of Chemicals (GHS)</w:t>
            </w:r>
            <w:r>
              <w:rPr>
                <w:b/>
                <w:bCs/>
              </w:rPr>
              <w:t>: c</w:t>
            </w:r>
            <w:r w:rsidRPr="00C167D6">
              <w:rPr>
                <w:b/>
                <w:bCs/>
              </w:rPr>
              <w:t>larification of 2.9.3.4.3.4 of the Model Regulations and 4.1.3.3.4 of the GHS</w:t>
            </w:r>
          </w:p>
        </w:tc>
        <w:tc>
          <w:tcPr>
            <w:tcW w:w="5046" w:type="dxa"/>
            <w:shd w:val="clear" w:color="auto" w:fill="auto"/>
          </w:tcPr>
          <w:p w14:paraId="1975B958" w14:textId="77777777" w:rsidR="00C167D6" w:rsidRPr="00A229FF" w:rsidRDefault="00C167D6" w:rsidP="00C167D6">
            <w:r w:rsidRPr="00A229FF">
              <w:t xml:space="preserve">Geneva, 8-10 July 2020 </w:t>
            </w:r>
            <w:r>
              <w:br/>
            </w:r>
            <w:r w:rsidRPr="00F00D7A">
              <w:t xml:space="preserve">Item </w:t>
            </w:r>
            <w:r>
              <w:t>2 (c)</w:t>
            </w:r>
            <w:r w:rsidRPr="00F00D7A">
              <w:t xml:space="preserve"> of the provisional agenda</w:t>
            </w:r>
            <w:r>
              <w:br/>
            </w:r>
            <w:r w:rsidRPr="00C167D6">
              <w:rPr>
                <w:b/>
                <w:bCs/>
              </w:rPr>
              <w:t>Classification criteria and related hazard communication:</w:t>
            </w:r>
            <w:r w:rsidRPr="00C167D6">
              <w:rPr>
                <w:b/>
                <w:bCs/>
              </w:rPr>
              <w:br/>
              <w:t>Clarification of 2.9.3.4.3.4 of the Model Regulations and 4.1.3.3.4 of the GHS</w:t>
            </w:r>
          </w:p>
        </w:tc>
      </w:tr>
    </w:tbl>
    <w:p w14:paraId="3B8224D5" w14:textId="77777777" w:rsidR="00C167D6" w:rsidRDefault="00C167D6" w:rsidP="00C167D6">
      <w:pPr>
        <w:pStyle w:val="HChG"/>
      </w:pPr>
      <w:r>
        <w:tab/>
      </w:r>
      <w:r>
        <w:tab/>
        <w:t xml:space="preserve">Clarification of 2.9.3.4.3.4 of Model Regulations </w:t>
      </w:r>
      <w:r>
        <w:rPr>
          <w:szCs w:val="28"/>
        </w:rPr>
        <w:t>and</w:t>
      </w:r>
      <w:r w:rsidRPr="00C6017F">
        <w:rPr>
          <w:rStyle w:val="CommentReference"/>
          <w:rFonts w:eastAsia="Times New Roman"/>
          <w:b w:val="0"/>
          <w:sz w:val="28"/>
          <w:szCs w:val="28"/>
          <w:lang w:eastAsia="en-US"/>
        </w:rPr>
        <w:t xml:space="preserve"> </w:t>
      </w:r>
      <w:r>
        <w:rPr>
          <w:szCs w:val="28"/>
        </w:rPr>
        <w:t>4.1.3.3.4</w:t>
      </w:r>
      <w:r>
        <w:t xml:space="preserve"> of GHS</w:t>
      </w:r>
    </w:p>
    <w:p w14:paraId="0ACBE031" w14:textId="77777777" w:rsidR="00C167D6" w:rsidRDefault="00C167D6" w:rsidP="00C167D6">
      <w:pPr>
        <w:pStyle w:val="H1G"/>
      </w:pPr>
      <w:r>
        <w:tab/>
      </w:r>
      <w:r>
        <w:tab/>
        <w:t>Transmitted by the expert from China</w:t>
      </w:r>
      <w:r>
        <w:rPr>
          <w:rStyle w:val="FootnoteReference"/>
        </w:rPr>
        <w:footnoteReference w:id="2"/>
      </w:r>
    </w:p>
    <w:p w14:paraId="4A645EFD" w14:textId="77777777" w:rsidR="00C167D6" w:rsidRDefault="00C167D6" w:rsidP="00C167D6">
      <w:pPr>
        <w:pStyle w:val="HChG"/>
        <w:ind w:right="283"/>
        <w:rPr>
          <w:rFonts w:eastAsia="MS Mincho"/>
          <w:sz w:val="20"/>
        </w:rPr>
      </w:pPr>
      <w:r>
        <w:rPr>
          <w:rFonts w:eastAsia="MS Mincho"/>
        </w:rPr>
        <w:tab/>
      </w:r>
      <w:r>
        <w:rPr>
          <w:rFonts w:eastAsia="MS Mincho"/>
        </w:rPr>
        <w:tab/>
        <w:t>Introduction</w:t>
      </w:r>
    </w:p>
    <w:p w14:paraId="079CE9AE" w14:textId="77777777" w:rsidR="00C167D6" w:rsidRDefault="00C167D6" w:rsidP="00C167D6">
      <w:pPr>
        <w:pStyle w:val="SingleTxtG"/>
      </w:pPr>
      <w:r>
        <w:rPr>
          <w:lang w:eastAsia="en-US"/>
        </w:rPr>
        <w:t>1.</w:t>
      </w:r>
      <w:r>
        <w:rPr>
          <w:lang w:eastAsia="en-US"/>
        </w:rPr>
        <w:tab/>
        <w:t xml:space="preserve">The purpose of this document is to invite the TDG and GHS sub-committees to reconsider the text for the classification of the long-term (chronic) aquatic environmental hazard of mixtures in the Model Regulations and GHS. </w:t>
      </w:r>
      <w:r>
        <w:t xml:space="preserve">At the previous session, </w:t>
      </w:r>
      <w:r w:rsidR="00975022">
        <w:t xml:space="preserve">the </w:t>
      </w:r>
      <w:r>
        <w:t>expert from China submitted informal documents INF.12 (56</w:t>
      </w:r>
      <w:r w:rsidRPr="00C6017F">
        <w:t>th</w:t>
      </w:r>
      <w:r>
        <w:t xml:space="preserve"> session) and INF.11 (38</w:t>
      </w:r>
      <w:r w:rsidRPr="00C6017F">
        <w:t>th</w:t>
      </w:r>
      <w:r>
        <w:t xml:space="preserve"> session). Following the discussion, the sub-committees </w:t>
      </w:r>
      <w:r w:rsidR="00975022">
        <w:t xml:space="preserve">invited </w:t>
      </w:r>
      <w:r>
        <w:t xml:space="preserve">the expert from China to submit a formal document </w:t>
      </w:r>
      <w:r w:rsidR="00975022">
        <w:t xml:space="preserve">for </w:t>
      </w:r>
      <w:r>
        <w:t>this session (57</w:t>
      </w:r>
      <w:r w:rsidRPr="00C6017F">
        <w:t>th</w:t>
      </w:r>
      <w:r>
        <w:t xml:space="preserve"> TDG and 39</w:t>
      </w:r>
      <w:r w:rsidRPr="00C6017F">
        <w:t>th</w:t>
      </w:r>
      <w:r>
        <w:t xml:space="preserve"> GHS).</w:t>
      </w:r>
    </w:p>
    <w:p w14:paraId="29BD5C8E" w14:textId="77777777" w:rsidR="00C167D6" w:rsidRDefault="00C167D6" w:rsidP="00975022">
      <w:pPr>
        <w:pStyle w:val="SingleTxtG"/>
        <w:rPr>
          <w:lang w:eastAsia="en-US"/>
        </w:rPr>
      </w:pPr>
      <w:r>
        <w:rPr>
          <w:lang w:eastAsia="en-US"/>
        </w:rPr>
        <w:t>2.</w:t>
      </w:r>
      <w:r>
        <w:rPr>
          <w:lang w:eastAsia="en-US"/>
        </w:rPr>
        <w:tab/>
        <w:t xml:space="preserve">Paragraph 2.9.3.4 of the Model Regulations was paraphrased from section 4.1.3 of GHS. In GHS, the short-term (acute) aquatic hazard </w:t>
      </w:r>
      <w:r>
        <w:t>(</w:t>
      </w:r>
      <w:r w:rsidR="00975022">
        <w:t xml:space="preserve">this </w:t>
      </w:r>
      <w:r>
        <w:t>term is phrased as</w:t>
      </w:r>
      <w:r>
        <w:rPr>
          <w:lang w:eastAsia="en-US"/>
        </w:rPr>
        <w:t xml:space="preserve"> “acute (short-term) aquatic hazard” in the Model Regulations) of mixtures hazardous to the aquatic environment </w:t>
      </w:r>
      <w:r w:rsidR="00975022">
        <w:rPr>
          <w:lang w:eastAsia="en-US"/>
        </w:rPr>
        <w:t>has</w:t>
      </w:r>
      <w:r>
        <w:rPr>
          <w:lang w:eastAsia="en-US"/>
        </w:rPr>
        <w:t xml:space="preserve"> three categories, i.e. Acute 1, 2 and 3, while the long-term (chronic) </w:t>
      </w:r>
      <w:r>
        <w:t>aquatic</w:t>
      </w:r>
      <w:r>
        <w:rPr>
          <w:lang w:eastAsia="en-US"/>
        </w:rPr>
        <w:t xml:space="preserve"> hazard</w:t>
      </w:r>
      <w:r>
        <w:t xml:space="preserve"> (</w:t>
      </w:r>
      <w:r w:rsidR="00E9588B">
        <w:t>t</w:t>
      </w:r>
      <w:r>
        <w:t xml:space="preserve">his term </w:t>
      </w:r>
      <w:r>
        <w:rPr>
          <w:lang w:eastAsia="en-US"/>
        </w:rPr>
        <w:t>is phrased as “long-term aquatic hazard” in the Model Regulations.</w:t>
      </w:r>
      <w:r>
        <w:t>)</w:t>
      </w:r>
      <w:r>
        <w:rPr>
          <w:lang w:eastAsia="en-US"/>
        </w:rPr>
        <w:t xml:space="preserve"> </w:t>
      </w:r>
      <w:r w:rsidR="00975022">
        <w:rPr>
          <w:lang w:eastAsia="en-US"/>
        </w:rPr>
        <w:t xml:space="preserve">can be </w:t>
      </w:r>
      <w:r>
        <w:rPr>
          <w:lang w:eastAsia="en-US"/>
        </w:rPr>
        <w:t>classified as Chronic 1,</w:t>
      </w:r>
      <w:r w:rsidR="00975022">
        <w:rPr>
          <w:lang w:eastAsia="en-US"/>
        </w:rPr>
        <w:t xml:space="preserve"> </w:t>
      </w:r>
      <w:r>
        <w:rPr>
          <w:lang w:eastAsia="en-US"/>
        </w:rPr>
        <w:t>2,</w:t>
      </w:r>
      <w:r w:rsidR="00975022">
        <w:rPr>
          <w:lang w:eastAsia="en-US"/>
        </w:rPr>
        <w:t xml:space="preserve"> </w:t>
      </w:r>
      <w:r>
        <w:rPr>
          <w:lang w:eastAsia="en-US"/>
        </w:rPr>
        <w:t>3 and 4 (see Table 4.1.1 in GHS). However, in the Model Regulations, only one acute (short-term) aquatic hazard category (</w:t>
      </w:r>
      <w:r w:rsidR="00E9588B">
        <w:rPr>
          <w:lang w:eastAsia="en-US"/>
        </w:rPr>
        <w:t>c</w:t>
      </w:r>
      <w:r>
        <w:rPr>
          <w:lang w:eastAsia="en-US"/>
        </w:rPr>
        <w:t>ategory Acute 1) and two long-term aquatic hazard categories (</w:t>
      </w:r>
      <w:r w:rsidR="00E9588B">
        <w:rPr>
          <w:lang w:eastAsia="en-US"/>
        </w:rPr>
        <w:t>c</w:t>
      </w:r>
      <w:r>
        <w:rPr>
          <w:lang w:eastAsia="en-US"/>
        </w:rPr>
        <w:t>ategor</w:t>
      </w:r>
      <w:r w:rsidR="00E9588B">
        <w:rPr>
          <w:lang w:eastAsia="en-US"/>
        </w:rPr>
        <w:t>ies</w:t>
      </w:r>
      <w:r>
        <w:rPr>
          <w:lang w:eastAsia="en-US"/>
        </w:rPr>
        <w:t xml:space="preserve"> Chronic 1 and 2) exist (see Table 2.9.1 in the Model Regulations). In </w:t>
      </w:r>
      <w:r w:rsidR="00975022">
        <w:rPr>
          <w:lang w:eastAsia="en-US"/>
        </w:rPr>
        <w:t>other words</w:t>
      </w:r>
      <w:r>
        <w:rPr>
          <w:lang w:eastAsia="en-US"/>
        </w:rPr>
        <w:t xml:space="preserve">, there </w:t>
      </w:r>
      <w:r w:rsidR="00975022">
        <w:rPr>
          <w:lang w:eastAsia="en-US"/>
        </w:rPr>
        <w:t xml:space="preserve">are </w:t>
      </w:r>
      <w:r>
        <w:rPr>
          <w:lang w:eastAsia="en-US"/>
        </w:rPr>
        <w:t>no categories corresponding to Chronic 3 and 4 in GHS listed in the Model Regulations.</w:t>
      </w:r>
    </w:p>
    <w:p w14:paraId="60946ABB" w14:textId="77777777" w:rsidR="00C167D6" w:rsidRDefault="00C167D6">
      <w:pPr>
        <w:suppressAutoHyphens w:val="0"/>
        <w:kinsoku/>
        <w:overflowPunct/>
        <w:autoSpaceDE/>
        <w:autoSpaceDN/>
        <w:adjustRightInd/>
        <w:snapToGrid/>
        <w:spacing w:after="200" w:line="276" w:lineRule="auto"/>
        <w:rPr>
          <w:lang w:eastAsia="en-US"/>
        </w:rPr>
      </w:pPr>
      <w:r>
        <w:rPr>
          <w:lang w:eastAsia="en-US"/>
        </w:rPr>
        <w:br w:type="page"/>
      </w:r>
    </w:p>
    <w:p w14:paraId="38CF7C26" w14:textId="77777777" w:rsidR="00C167D6" w:rsidRDefault="00C167D6" w:rsidP="00C167D6">
      <w:pPr>
        <w:pStyle w:val="SingleTxtG"/>
        <w:rPr>
          <w:lang w:eastAsia="en-US"/>
        </w:rPr>
      </w:pPr>
      <w:r>
        <w:rPr>
          <w:lang w:eastAsia="en-US"/>
        </w:rPr>
        <w:lastRenderedPageBreak/>
        <w:t>3.</w:t>
      </w:r>
      <w:r>
        <w:rPr>
          <w:lang w:eastAsia="en-US"/>
        </w:rPr>
        <w:tab/>
        <w:t>Paragraph 2.9.3.4.3.4 of the Model Regulations describe the classification of Chronic 1 and 2 of mixtures hazardous to the aquatic environment. When there are adequate chronic toxicity data (</w:t>
      </w:r>
      <w:proofErr w:type="spellStart"/>
      <w:r>
        <w:rPr>
          <w:lang w:eastAsia="en-US"/>
        </w:rPr>
        <w:t>ECx</w:t>
      </w:r>
      <w:proofErr w:type="spellEnd"/>
      <w:r>
        <w:rPr>
          <w:lang w:eastAsia="en-US"/>
        </w:rPr>
        <w:t xml:space="preserve"> or NOEC) available for the mixture as a whole</w:t>
      </w:r>
      <w:r w:rsidR="00975022">
        <w:rPr>
          <w:lang w:eastAsia="en-US"/>
        </w:rPr>
        <w:t>,</w:t>
      </w:r>
      <w:r>
        <w:rPr>
          <w:lang w:eastAsia="en-US"/>
        </w:rPr>
        <w:t xml:space="preserve"> showing </w:t>
      </w:r>
      <w:proofErr w:type="spellStart"/>
      <w:r>
        <w:rPr>
          <w:lang w:eastAsia="en-US"/>
        </w:rPr>
        <w:t>ECx</w:t>
      </w:r>
      <w:proofErr w:type="spellEnd"/>
      <w:r>
        <w:rPr>
          <w:lang w:eastAsia="en-US"/>
        </w:rPr>
        <w:t xml:space="preserve"> or NOEC of the tested mixture </w:t>
      </w:r>
      <w:r w:rsidR="00975022">
        <w:rPr>
          <w:rFonts w:hint="eastAsia"/>
          <w:lang w:val="en-US" w:eastAsia="en-US"/>
        </w:rPr>
        <w:t>l</w:t>
      </w:r>
      <w:r w:rsidR="00975022">
        <w:rPr>
          <w:lang w:val="en-US" w:eastAsia="en-US"/>
        </w:rPr>
        <w:t>ess than or equal to</w:t>
      </w:r>
      <w:r w:rsidR="00975022">
        <w:rPr>
          <w:lang w:eastAsia="en-US"/>
        </w:rPr>
        <w:t xml:space="preserve"> </w:t>
      </w:r>
      <w:r>
        <w:rPr>
          <w:lang w:eastAsia="en-US"/>
        </w:rPr>
        <w:t>1</w:t>
      </w:r>
      <w:r w:rsidR="00E9588B">
        <w:rPr>
          <w:lang w:eastAsia="en-US"/>
        </w:rPr>
        <w:t> </w:t>
      </w:r>
      <w:r>
        <w:rPr>
          <w:lang w:eastAsia="en-US"/>
        </w:rPr>
        <w:t xml:space="preserve">mg/l, the mixture can be classified as </w:t>
      </w:r>
      <w:r w:rsidR="00E9588B">
        <w:rPr>
          <w:lang w:eastAsia="en-US"/>
        </w:rPr>
        <w:t>c</w:t>
      </w:r>
      <w:r>
        <w:rPr>
          <w:lang w:eastAsia="en-US"/>
        </w:rPr>
        <w:t>ategory Chronic 1 or 2 in accordance with Table 2.9.1 (b) (ii) (rapidly degradable) or Table 2.9.1 (b) (</w:t>
      </w:r>
      <w:proofErr w:type="spellStart"/>
      <w:r>
        <w:rPr>
          <w:lang w:eastAsia="en-US"/>
        </w:rPr>
        <w:t>i</w:t>
      </w:r>
      <w:proofErr w:type="spellEnd"/>
      <w:r>
        <w:rPr>
          <w:lang w:eastAsia="en-US"/>
        </w:rPr>
        <w:t xml:space="preserve">) (non-rapidly degradable). However, according to Table 2.9.1 (b) (ii) (rapidly degradable), </w:t>
      </w:r>
      <w:r>
        <w:t xml:space="preserve">mixtures consisting only of relevant ingredients which are themselves rapidly degradable </w:t>
      </w:r>
      <w:r>
        <w:rPr>
          <w:lang w:eastAsia="en-US"/>
        </w:rPr>
        <w:t xml:space="preserve">should be classified as </w:t>
      </w:r>
      <w:r w:rsidR="00975022">
        <w:rPr>
          <w:lang w:eastAsia="en-US"/>
        </w:rPr>
        <w:t>c</w:t>
      </w:r>
      <w:r>
        <w:rPr>
          <w:lang w:eastAsia="en-US"/>
        </w:rPr>
        <w:t xml:space="preserve">ategory Chronic 1 or 2, only when </w:t>
      </w:r>
      <w:proofErr w:type="spellStart"/>
      <w:r>
        <w:rPr>
          <w:lang w:eastAsia="en-US"/>
        </w:rPr>
        <w:t>ECx</w:t>
      </w:r>
      <w:proofErr w:type="spellEnd"/>
      <w:r>
        <w:rPr>
          <w:lang w:eastAsia="en-US"/>
        </w:rPr>
        <w:t xml:space="preserve"> or NOEC </w:t>
      </w:r>
      <w:r>
        <w:rPr>
          <w:rFonts w:hint="eastAsia"/>
          <w:lang w:val="en-US" w:eastAsia="en-US"/>
        </w:rPr>
        <w:t>≤</w:t>
      </w:r>
      <w:r w:rsidR="00E9588B">
        <w:rPr>
          <w:rFonts w:hint="eastAsia"/>
          <w:lang w:val="en-US" w:eastAsia="en-US"/>
        </w:rPr>
        <w:t> </w:t>
      </w:r>
      <w:r>
        <w:rPr>
          <w:lang w:eastAsia="en-US"/>
        </w:rPr>
        <w:t>0.1 mg/l. The wording in 2.9.3.4.3.4</w:t>
      </w:r>
      <w:r w:rsidR="00975022">
        <w:rPr>
          <w:lang w:eastAsia="en-US"/>
        </w:rPr>
        <w:t> </w:t>
      </w:r>
      <w:r>
        <w:rPr>
          <w:lang w:eastAsia="en-US"/>
        </w:rPr>
        <w:t>(a) (</w:t>
      </w:r>
      <w:proofErr w:type="spellStart"/>
      <w:r>
        <w:rPr>
          <w:lang w:eastAsia="en-US"/>
        </w:rPr>
        <w:t>i</w:t>
      </w:r>
      <w:proofErr w:type="spellEnd"/>
      <w:r>
        <w:rPr>
          <w:lang w:eastAsia="en-US"/>
        </w:rPr>
        <w:t>) can easily cause a misunderstanding</w:t>
      </w:r>
      <w:r w:rsidR="00975022">
        <w:rPr>
          <w:lang w:eastAsia="en-US"/>
        </w:rPr>
        <w:t xml:space="preserve"> i.e.</w:t>
      </w:r>
      <w:r>
        <w:rPr>
          <w:lang w:eastAsia="en-US"/>
        </w:rPr>
        <w:t xml:space="preserve">, that the mixture </w:t>
      </w:r>
      <w:proofErr w:type="gramStart"/>
      <w:r>
        <w:rPr>
          <w:lang w:eastAsia="en-US"/>
        </w:rPr>
        <w:t>has to</w:t>
      </w:r>
      <w:proofErr w:type="gramEnd"/>
      <w:r>
        <w:rPr>
          <w:lang w:eastAsia="en-US"/>
        </w:rPr>
        <w:t xml:space="preserve"> be classified as either </w:t>
      </w:r>
      <w:r w:rsidR="00E9588B">
        <w:rPr>
          <w:lang w:eastAsia="en-US"/>
        </w:rPr>
        <w:t>c</w:t>
      </w:r>
      <w:r>
        <w:rPr>
          <w:lang w:eastAsia="en-US"/>
        </w:rPr>
        <w:t xml:space="preserve">ategory Chronic 1 or 2, as long as </w:t>
      </w:r>
      <w:proofErr w:type="spellStart"/>
      <w:r>
        <w:rPr>
          <w:lang w:eastAsia="en-US"/>
        </w:rPr>
        <w:t>ECx</w:t>
      </w:r>
      <w:proofErr w:type="spellEnd"/>
      <w:r>
        <w:rPr>
          <w:lang w:eastAsia="en-US"/>
        </w:rPr>
        <w:t xml:space="preserve"> or NOEC of the tested mixture </w:t>
      </w:r>
      <w:r w:rsidR="00975022">
        <w:rPr>
          <w:lang w:eastAsia="en-US"/>
        </w:rPr>
        <w:t>is less than or equal to</w:t>
      </w:r>
      <w:r>
        <w:rPr>
          <w:lang w:eastAsia="en-US"/>
        </w:rPr>
        <w:t xml:space="preserve"> 1</w:t>
      </w:r>
      <w:r w:rsidR="00E9588B">
        <w:rPr>
          <w:lang w:eastAsia="en-US"/>
        </w:rPr>
        <w:t> </w:t>
      </w:r>
      <w:r>
        <w:rPr>
          <w:lang w:eastAsia="en-US"/>
        </w:rPr>
        <w:t xml:space="preserve">mg/l. We </w:t>
      </w:r>
      <w:r w:rsidR="00975022">
        <w:rPr>
          <w:lang w:eastAsia="en-US"/>
        </w:rPr>
        <w:t xml:space="preserve">consider </w:t>
      </w:r>
      <w:r>
        <w:rPr>
          <w:lang w:eastAsia="en-US"/>
        </w:rPr>
        <w:t xml:space="preserve">that the classification information described in 2.9.3.4.3.4 and that listed in Table 2.9.1 (b) (ii) are not consistent. Mixtures consisting only of relevant ingredients which are themselves rapidly degradable and having </w:t>
      </w:r>
      <w:proofErr w:type="spellStart"/>
      <w:r>
        <w:rPr>
          <w:lang w:eastAsia="en-US"/>
        </w:rPr>
        <w:t>ECx</w:t>
      </w:r>
      <w:proofErr w:type="spellEnd"/>
      <w:r>
        <w:rPr>
          <w:lang w:eastAsia="en-US"/>
        </w:rPr>
        <w:t xml:space="preserve"> or NOEC &gt; 0.1 mg/l but </w:t>
      </w:r>
      <w:r>
        <w:rPr>
          <w:rFonts w:hint="eastAsia"/>
          <w:lang w:val="en-US" w:eastAsia="en-US"/>
        </w:rPr>
        <w:t>≤</w:t>
      </w:r>
      <w:r w:rsidR="00E9588B">
        <w:rPr>
          <w:rFonts w:hint="eastAsia"/>
          <w:lang w:val="en-US" w:eastAsia="en-US"/>
        </w:rPr>
        <w:t> </w:t>
      </w:r>
      <w:r>
        <w:rPr>
          <w:lang w:eastAsia="en-US"/>
        </w:rPr>
        <w:t>1 mg/l might not be classified properly based on the current text in 2.9.3.4.3.4.</w:t>
      </w:r>
    </w:p>
    <w:p w14:paraId="0ADA8D15" w14:textId="77777777" w:rsidR="00C167D6" w:rsidRDefault="00C167D6" w:rsidP="00C167D6">
      <w:pPr>
        <w:pStyle w:val="SingleTxtG"/>
      </w:pPr>
      <w:r>
        <w:t>4.</w:t>
      </w:r>
      <w:r>
        <w:tab/>
        <w:t>Paragraph 4.1.3.3.4 of the GHS describes the classification for categories</w:t>
      </w:r>
      <w:r>
        <w:rPr>
          <w:lang w:val="en-US"/>
        </w:rPr>
        <w:t xml:space="preserve"> chronic 1, 2 and 3 of </w:t>
      </w:r>
      <w:r>
        <w:rPr>
          <w:lang w:eastAsia="en-US"/>
        </w:rPr>
        <w:t>mixture</w:t>
      </w:r>
      <w:r>
        <w:rPr>
          <w:lang w:val="en-US"/>
        </w:rPr>
        <w:t xml:space="preserve"> hazardous to the aquatic environment when there are adequate chronic toxicity data (</w:t>
      </w:r>
      <w:proofErr w:type="spellStart"/>
      <w:r>
        <w:rPr>
          <w:lang w:val="en-US"/>
        </w:rPr>
        <w:t>ECx</w:t>
      </w:r>
      <w:proofErr w:type="spellEnd"/>
      <w:r>
        <w:rPr>
          <w:lang w:val="en-US"/>
        </w:rPr>
        <w:t xml:space="preserve"> or NOEC) available for the mixture as a whole showing </w:t>
      </w:r>
      <w:proofErr w:type="spellStart"/>
      <w:r>
        <w:rPr>
          <w:lang w:val="en-US"/>
        </w:rPr>
        <w:t>ECx</w:t>
      </w:r>
      <w:proofErr w:type="spellEnd"/>
      <w:r>
        <w:rPr>
          <w:lang w:val="en-US"/>
        </w:rPr>
        <w:t xml:space="preserve"> or NOEC of the tested mixture </w:t>
      </w:r>
      <w:r w:rsidR="00975022">
        <w:rPr>
          <w:rFonts w:hint="eastAsia"/>
          <w:lang w:val="en-US"/>
        </w:rPr>
        <w:t>l</w:t>
      </w:r>
      <w:r w:rsidR="00975022">
        <w:rPr>
          <w:lang w:val="en-US"/>
        </w:rPr>
        <w:t xml:space="preserve">ess than or equal to </w:t>
      </w:r>
      <w:r>
        <w:rPr>
          <w:lang w:val="en-US"/>
        </w:rPr>
        <w:t xml:space="preserve">1mg/l. In </w:t>
      </w:r>
      <w:r>
        <w:t>4.1.3.3.4</w:t>
      </w:r>
      <w:r w:rsidR="00975022">
        <w:t xml:space="preserve"> (ii)</w:t>
      </w:r>
      <w:r>
        <w:t xml:space="preserve">, </w:t>
      </w:r>
      <w:r>
        <w:rPr>
          <w:lang w:val="en-US"/>
        </w:rPr>
        <w:t xml:space="preserve">it mentioned that the mixture </w:t>
      </w:r>
      <w:r>
        <w:t>can be classified</w:t>
      </w:r>
      <w:r>
        <w:rPr>
          <w:lang w:val="en-US"/>
        </w:rPr>
        <w:t xml:space="preserve"> as </w:t>
      </w:r>
      <w:r w:rsidR="00E9588B">
        <w:rPr>
          <w:lang w:val="en-US"/>
        </w:rPr>
        <w:t>c</w:t>
      </w:r>
      <w:r>
        <w:rPr>
          <w:lang w:val="en-US"/>
        </w:rPr>
        <w:t>ategory Chronic 1, 2 or 3 in all other cases in accordance with Table 4.1.1</w:t>
      </w:r>
      <w:r w:rsidR="00975022">
        <w:rPr>
          <w:lang w:val="en-US"/>
        </w:rPr>
        <w:t xml:space="preserve"> </w:t>
      </w:r>
      <w:r>
        <w:rPr>
          <w:lang w:val="en-US"/>
        </w:rPr>
        <w:t>(b)</w:t>
      </w:r>
      <w:r w:rsidR="00975022">
        <w:rPr>
          <w:lang w:val="en-US"/>
        </w:rPr>
        <w:t xml:space="preserve"> </w:t>
      </w:r>
      <w:r>
        <w:rPr>
          <w:lang w:val="en-US"/>
        </w:rPr>
        <w:t>(</w:t>
      </w:r>
      <w:proofErr w:type="spellStart"/>
      <w:r>
        <w:rPr>
          <w:lang w:val="en-US"/>
        </w:rPr>
        <w:t>i</w:t>
      </w:r>
      <w:proofErr w:type="spellEnd"/>
      <w:r>
        <w:rPr>
          <w:lang w:val="en-US"/>
        </w:rPr>
        <w:t>)</w:t>
      </w:r>
      <w:r w:rsidR="00975022">
        <w:rPr>
          <w:lang w:val="en-US"/>
        </w:rPr>
        <w:t xml:space="preserve"> </w:t>
      </w:r>
      <w:r>
        <w:rPr>
          <w:lang w:val="en-US"/>
        </w:rPr>
        <w:t>(non-rapidly degradable). However, according to Table 4.1.1</w:t>
      </w:r>
      <w:r w:rsidR="00975022">
        <w:rPr>
          <w:lang w:val="en-US"/>
        </w:rPr>
        <w:t xml:space="preserve"> </w:t>
      </w:r>
      <w:r>
        <w:rPr>
          <w:lang w:val="en-US"/>
        </w:rPr>
        <w:t>(b)</w:t>
      </w:r>
      <w:r w:rsidR="00975022">
        <w:rPr>
          <w:lang w:val="en-US"/>
        </w:rPr>
        <w:t xml:space="preserve"> </w:t>
      </w:r>
      <w:r>
        <w:rPr>
          <w:lang w:val="en-US"/>
        </w:rPr>
        <w:t>(</w:t>
      </w:r>
      <w:proofErr w:type="spellStart"/>
      <w:r>
        <w:rPr>
          <w:lang w:val="en-US"/>
        </w:rPr>
        <w:t>i</w:t>
      </w:r>
      <w:proofErr w:type="spellEnd"/>
      <w:r>
        <w:rPr>
          <w:lang w:val="en-US"/>
        </w:rPr>
        <w:t>)</w:t>
      </w:r>
      <w:r w:rsidR="00975022">
        <w:rPr>
          <w:lang w:val="en-US"/>
        </w:rPr>
        <w:t xml:space="preserve"> </w:t>
      </w:r>
      <w:r>
        <w:rPr>
          <w:lang w:val="en-US"/>
        </w:rPr>
        <w:t xml:space="preserve">(non-rapidly degradable), when </w:t>
      </w:r>
      <w:proofErr w:type="spellStart"/>
      <w:r>
        <w:t>ECx</w:t>
      </w:r>
      <w:proofErr w:type="spellEnd"/>
      <w:r>
        <w:t xml:space="preserve"> or NOEC of the tested mixture </w:t>
      </w:r>
      <w:r w:rsidR="00975022">
        <w:rPr>
          <w:rFonts w:hint="eastAsia"/>
        </w:rPr>
        <w:t>i</w:t>
      </w:r>
      <w:r w:rsidR="00975022">
        <w:t xml:space="preserve">s less than or equal to </w:t>
      </w:r>
      <w:r>
        <w:t xml:space="preserve">1mg/l, the mixture can only be classified as </w:t>
      </w:r>
      <w:r w:rsidR="00E9588B">
        <w:t>c</w:t>
      </w:r>
      <w:r>
        <w:t xml:space="preserve">ategory Chronic 1 or 2, does not contain </w:t>
      </w:r>
      <w:r w:rsidR="00E9588B">
        <w:t>c</w:t>
      </w:r>
      <w:r>
        <w:t xml:space="preserve">ategory Chronic 3, the classification information is inconsistent and there is no need to mention </w:t>
      </w:r>
      <w:r w:rsidR="00E9588B">
        <w:t>C</w:t>
      </w:r>
      <w:r>
        <w:t>hronic 3 in 4.1.3.3.4 (ii).</w:t>
      </w:r>
    </w:p>
    <w:p w14:paraId="7D6318D8" w14:textId="77777777" w:rsidR="00C167D6" w:rsidRDefault="00C167D6" w:rsidP="00C167D6">
      <w:pPr>
        <w:pStyle w:val="SingleTxtG"/>
      </w:pPr>
      <w:r>
        <w:t>5.</w:t>
      </w:r>
      <w:r>
        <w:tab/>
        <w:t xml:space="preserve">During the discussion </w:t>
      </w:r>
      <w:r w:rsidR="00975022">
        <w:t xml:space="preserve">of </w:t>
      </w:r>
      <w:r>
        <w:t>informal document INF.12</w:t>
      </w:r>
      <w:r w:rsidR="00975022">
        <w:t xml:space="preserve"> (TDG, 56</w:t>
      </w:r>
      <w:r w:rsidR="00975022" w:rsidRPr="00C6017F">
        <w:rPr>
          <w:vertAlign w:val="superscript"/>
        </w:rPr>
        <w:t>th</w:t>
      </w:r>
      <w:r w:rsidR="00975022">
        <w:t xml:space="preserve"> session)</w:t>
      </w:r>
      <w:r>
        <w:t>-</w:t>
      </w:r>
      <w:r w:rsidR="00975022" w:rsidDel="00975022">
        <w:t xml:space="preserve"> </w:t>
      </w:r>
      <w:r>
        <w:t>INF.11</w:t>
      </w:r>
      <w:r w:rsidR="00975022">
        <w:t xml:space="preserve"> (GHS, 30</w:t>
      </w:r>
      <w:r w:rsidR="00975022" w:rsidRPr="00C6017F">
        <w:rPr>
          <w:vertAlign w:val="superscript"/>
        </w:rPr>
        <w:t>th</w:t>
      </w:r>
      <w:r w:rsidR="00975022">
        <w:t xml:space="preserve"> session), the e</w:t>
      </w:r>
      <w:r>
        <w:t xml:space="preserve">xpert from </w:t>
      </w:r>
      <w:r w:rsidR="00975022">
        <w:t xml:space="preserve">the </w:t>
      </w:r>
      <w:r>
        <w:t xml:space="preserve">United Kingdom kindly pointed out that the statement of “rapidly degradable mixtures” in the informal document was inaccurate, considering the difficulties in determining whether the whole mixture is rapidly degradable or not. </w:t>
      </w:r>
      <w:r w:rsidR="00975022">
        <w:t>The proposal in paragraph 6 below takes account of this comment.</w:t>
      </w:r>
    </w:p>
    <w:p w14:paraId="5DBD1BD7" w14:textId="77777777" w:rsidR="00C167D6" w:rsidRDefault="00C167D6" w:rsidP="00C167D6">
      <w:pPr>
        <w:pStyle w:val="HChG"/>
        <w:ind w:right="425"/>
        <w:rPr>
          <w:rFonts w:eastAsia="MS Mincho"/>
        </w:rPr>
      </w:pPr>
      <w:r>
        <w:rPr>
          <w:rFonts w:eastAsia="MS Mincho"/>
        </w:rPr>
        <w:tab/>
      </w:r>
      <w:r>
        <w:rPr>
          <w:rFonts w:eastAsia="MS Mincho"/>
        </w:rPr>
        <w:tab/>
        <w:t>Proposal</w:t>
      </w:r>
    </w:p>
    <w:p w14:paraId="3AE1ED3C" w14:textId="77777777" w:rsidR="00C167D6" w:rsidRDefault="00C167D6" w:rsidP="00C167D6">
      <w:pPr>
        <w:pStyle w:val="SingleTxtG"/>
      </w:pPr>
      <w:r>
        <w:t>6.</w:t>
      </w:r>
      <w:r>
        <w:tab/>
        <w:t>The expert from China propose</w:t>
      </w:r>
      <w:r w:rsidR="00975022">
        <w:t>s</w:t>
      </w:r>
      <w:r>
        <w:t xml:space="preserve"> </w:t>
      </w:r>
      <w:r w:rsidR="00975022">
        <w:t xml:space="preserve">the following two </w:t>
      </w:r>
      <w:r>
        <w:t xml:space="preserve">options to amend 2.9.3.4.3.4 in the Model </w:t>
      </w:r>
      <w:r>
        <w:rPr>
          <w:lang w:eastAsia="en-US"/>
        </w:rPr>
        <w:t>Regulations</w:t>
      </w:r>
      <w:r>
        <w:t xml:space="preserve"> (deleted text is </w:t>
      </w:r>
      <w:r>
        <w:rPr>
          <w:strike/>
        </w:rPr>
        <w:t>struck through</w:t>
      </w:r>
      <w:r>
        <w:t xml:space="preserve">; new text is </w:t>
      </w:r>
      <w:r>
        <w:rPr>
          <w:u w:val="single"/>
        </w:rPr>
        <w:t>underlined</w:t>
      </w:r>
      <w:r>
        <w:t xml:space="preserve">): </w:t>
      </w:r>
    </w:p>
    <w:p w14:paraId="0856E061" w14:textId="77777777" w:rsidR="00C167D6" w:rsidRDefault="00C167D6" w:rsidP="00C167D6">
      <w:pPr>
        <w:pStyle w:val="H23G"/>
      </w:pPr>
      <w:r>
        <w:tab/>
      </w:r>
      <w:r>
        <w:tab/>
        <w:t>Option 1</w:t>
      </w:r>
    </w:p>
    <w:p w14:paraId="07EAAAF4" w14:textId="77777777" w:rsidR="00C167D6" w:rsidRDefault="00C167D6" w:rsidP="00C167D6">
      <w:pPr>
        <w:pStyle w:val="SingleTxtG"/>
        <w:rPr>
          <w:lang w:val="en-US"/>
        </w:rPr>
      </w:pPr>
      <w:r>
        <w:t xml:space="preserve">“2.9.3.4.3.4 </w:t>
      </w:r>
      <w:r>
        <w:tab/>
        <w:t>Classification for categories Chronic 1 and 2</w:t>
      </w:r>
    </w:p>
    <w:p w14:paraId="50AD1194" w14:textId="77777777" w:rsidR="00C167D6" w:rsidRDefault="00C167D6" w:rsidP="00C167D6">
      <w:pPr>
        <w:numPr>
          <w:ilvl w:val="0"/>
          <w:numId w:val="14"/>
        </w:numPr>
        <w:kinsoku/>
        <w:overflowPunct/>
        <w:autoSpaceDE/>
        <w:adjustRightInd/>
        <w:snapToGrid/>
        <w:spacing w:after="120"/>
        <w:ind w:left="2835" w:right="1134" w:hanging="567"/>
        <w:jc w:val="both"/>
        <w:rPr>
          <w:rFonts w:eastAsiaTheme="minorEastAsia"/>
          <w:lang w:val="en-US"/>
        </w:rPr>
      </w:pPr>
      <w:r>
        <w:rPr>
          <w:rFonts w:eastAsiaTheme="minorEastAsia"/>
          <w:lang w:val="en-US"/>
        </w:rPr>
        <w:t>When there are adequate chronic toxicity data (</w:t>
      </w:r>
      <w:proofErr w:type="spellStart"/>
      <w:r>
        <w:rPr>
          <w:rFonts w:eastAsiaTheme="minorEastAsia"/>
          <w:lang w:val="en-US"/>
        </w:rPr>
        <w:t>ECx</w:t>
      </w:r>
      <w:proofErr w:type="spellEnd"/>
      <w:r>
        <w:rPr>
          <w:rFonts w:eastAsiaTheme="minorEastAsia"/>
          <w:lang w:val="en-US"/>
        </w:rPr>
        <w:t xml:space="preserve"> or NOEC) available for the mixture as a whole showing </w:t>
      </w:r>
      <w:proofErr w:type="spellStart"/>
      <w:r>
        <w:rPr>
          <w:rFonts w:eastAsiaTheme="minorEastAsia"/>
          <w:lang w:val="en-US"/>
        </w:rPr>
        <w:t>ECx</w:t>
      </w:r>
      <w:proofErr w:type="spellEnd"/>
      <w:r>
        <w:rPr>
          <w:rFonts w:eastAsiaTheme="minorEastAsia"/>
          <w:lang w:val="en-US"/>
        </w:rPr>
        <w:t xml:space="preserve"> or NOEC of the tested mixture ≤ 1</w:t>
      </w:r>
      <w:r w:rsidR="00854C19">
        <w:rPr>
          <w:rFonts w:eastAsiaTheme="minorEastAsia"/>
          <w:lang w:val="en-US"/>
        </w:rPr>
        <w:t> </w:t>
      </w:r>
      <w:r>
        <w:rPr>
          <w:rFonts w:eastAsiaTheme="minorEastAsia"/>
          <w:lang w:val="en-US"/>
        </w:rPr>
        <w:t xml:space="preserve">mg/l: </w:t>
      </w:r>
    </w:p>
    <w:p w14:paraId="1A884AC9" w14:textId="77777777" w:rsidR="00C167D6" w:rsidRDefault="00C167D6" w:rsidP="00C167D6">
      <w:pPr>
        <w:numPr>
          <w:ilvl w:val="0"/>
          <w:numId w:val="15"/>
        </w:numPr>
        <w:kinsoku/>
        <w:overflowPunct/>
        <w:autoSpaceDE/>
        <w:adjustRightInd/>
        <w:snapToGrid/>
        <w:spacing w:after="120"/>
        <w:ind w:left="3402" w:right="1134" w:hanging="567"/>
        <w:jc w:val="both"/>
        <w:rPr>
          <w:rFonts w:eastAsiaTheme="minorEastAsia"/>
          <w:lang w:val="en-US"/>
        </w:rPr>
      </w:pPr>
      <w:r>
        <w:rPr>
          <w:rFonts w:eastAsiaTheme="minorEastAsia"/>
          <w:lang w:val="en-US"/>
        </w:rPr>
        <w:t xml:space="preserve">classify the mixture as Chronic 1 or 2 in accordance with Table 2.9.1(b)(ii) (rapidly degradable) if the available information allows the conclusion that all relevant ingredients of the mixture are rapidly degradable; </w:t>
      </w:r>
    </w:p>
    <w:p w14:paraId="79A9C9B2" w14:textId="77777777" w:rsidR="00C167D6" w:rsidRDefault="00C167D6" w:rsidP="00C167D6">
      <w:pPr>
        <w:kinsoku/>
        <w:overflowPunct/>
        <w:autoSpaceDE/>
        <w:adjustRightInd/>
        <w:snapToGrid/>
        <w:spacing w:after="120"/>
        <w:ind w:leftChars="1134" w:left="2268" w:rightChars="567" w:right="1134"/>
        <w:jc w:val="both"/>
        <w:rPr>
          <w:rFonts w:eastAsiaTheme="minorEastAsia"/>
          <w:i/>
          <w:iCs/>
          <w:lang w:val="en-US"/>
        </w:rPr>
      </w:pPr>
      <w:r>
        <w:rPr>
          <w:rFonts w:eastAsiaTheme="minorEastAsia"/>
          <w:b/>
          <w:bCs/>
          <w:i/>
          <w:iCs/>
          <w:u w:val="single"/>
          <w:lang w:val="en-US"/>
        </w:rPr>
        <w:t>NOTE</w:t>
      </w:r>
      <w:r>
        <w:rPr>
          <w:rFonts w:eastAsiaTheme="minorEastAsia"/>
          <w:i/>
          <w:iCs/>
          <w:u w:val="single"/>
          <w:lang w:val="en-US"/>
        </w:rPr>
        <w:t>:</w:t>
      </w:r>
      <w:r>
        <w:rPr>
          <w:rFonts w:eastAsiaTheme="minorEastAsia"/>
          <w:i/>
          <w:iCs/>
          <w:u w:val="single"/>
          <w:lang w:val="en-US" w:eastAsia="en-US"/>
        </w:rPr>
        <w:t xml:space="preserve"> </w:t>
      </w:r>
      <w:r>
        <w:rPr>
          <w:rFonts w:eastAsiaTheme="minorEastAsia"/>
          <w:i/>
          <w:iCs/>
          <w:u w:val="single"/>
          <w:lang w:eastAsia="en-US"/>
        </w:rPr>
        <w:t xml:space="preserve">For whole </w:t>
      </w:r>
      <w:bookmarkStart w:id="0" w:name="_Hlk33689652"/>
      <w:r>
        <w:rPr>
          <w:rFonts w:eastAsiaTheme="minorEastAsia"/>
          <w:i/>
          <w:iCs/>
          <w:u w:val="single"/>
          <w:lang w:eastAsia="en-US"/>
        </w:rPr>
        <w:t xml:space="preserve">mixture consisting only of relevant ingredients which are themselves rapidly degradable </w:t>
      </w:r>
      <w:bookmarkEnd w:id="0"/>
      <w:r>
        <w:rPr>
          <w:rFonts w:eastAsiaTheme="minorEastAsia"/>
          <w:i/>
          <w:iCs/>
          <w:u w:val="single"/>
          <w:lang w:eastAsia="en-US"/>
        </w:rPr>
        <w:t xml:space="preserve">and having </w:t>
      </w:r>
      <w:proofErr w:type="spellStart"/>
      <w:r>
        <w:rPr>
          <w:rFonts w:eastAsiaTheme="minorEastAsia"/>
          <w:i/>
          <w:iCs/>
          <w:u w:val="single"/>
          <w:lang w:eastAsia="en-US"/>
        </w:rPr>
        <w:t>ECx</w:t>
      </w:r>
      <w:proofErr w:type="spellEnd"/>
      <w:r>
        <w:rPr>
          <w:rFonts w:eastAsiaTheme="minorEastAsia"/>
          <w:i/>
          <w:iCs/>
          <w:u w:val="single"/>
          <w:lang w:eastAsia="en-US"/>
        </w:rPr>
        <w:t xml:space="preserve"> or NOEC values &gt; 0.1 mg/l, there is no need to classify the mixture for long-term aquatic hazard under these Regulations. </w:t>
      </w:r>
    </w:p>
    <w:p w14:paraId="01ABB937" w14:textId="77777777" w:rsidR="00FF1C7B" w:rsidRDefault="00FF1C7B">
      <w:pPr>
        <w:suppressAutoHyphens w:val="0"/>
        <w:kinsoku/>
        <w:overflowPunct/>
        <w:autoSpaceDE/>
        <w:autoSpaceDN/>
        <w:adjustRightInd/>
        <w:snapToGrid/>
        <w:spacing w:after="200" w:line="276" w:lineRule="auto"/>
        <w:rPr>
          <w:rFonts w:eastAsiaTheme="minorEastAsia"/>
          <w:lang w:val="en-US"/>
        </w:rPr>
      </w:pPr>
      <w:r>
        <w:rPr>
          <w:rFonts w:eastAsiaTheme="minorEastAsia"/>
          <w:lang w:val="en-US"/>
        </w:rPr>
        <w:br w:type="page"/>
      </w:r>
    </w:p>
    <w:p w14:paraId="33ED16B9" w14:textId="77777777" w:rsidR="00C167D6" w:rsidRDefault="00C167D6" w:rsidP="00FF1C7B">
      <w:pPr>
        <w:numPr>
          <w:ilvl w:val="0"/>
          <w:numId w:val="15"/>
        </w:numPr>
        <w:kinsoku/>
        <w:overflowPunct/>
        <w:autoSpaceDE/>
        <w:adjustRightInd/>
        <w:snapToGrid/>
        <w:spacing w:after="120"/>
        <w:ind w:left="3402" w:right="1134" w:hanging="567"/>
        <w:jc w:val="both"/>
        <w:rPr>
          <w:rFonts w:eastAsiaTheme="minorEastAsia"/>
          <w:lang w:val="en-US"/>
        </w:rPr>
      </w:pPr>
      <w:bookmarkStart w:id="1" w:name="_GoBack"/>
      <w:bookmarkEnd w:id="1"/>
      <w:r>
        <w:rPr>
          <w:rFonts w:eastAsiaTheme="minorEastAsia"/>
          <w:lang w:val="en-US"/>
        </w:rPr>
        <w:lastRenderedPageBreak/>
        <w:t>classify the mixture as Chronic 1 or 2 in all other cases in accordance with Table 2.9.1(b)(</w:t>
      </w:r>
      <w:proofErr w:type="spellStart"/>
      <w:r>
        <w:rPr>
          <w:rFonts w:eastAsiaTheme="minorEastAsia"/>
          <w:lang w:val="en-US"/>
        </w:rPr>
        <w:t>i</w:t>
      </w:r>
      <w:proofErr w:type="spellEnd"/>
      <w:r>
        <w:rPr>
          <w:rFonts w:eastAsiaTheme="minorEastAsia"/>
          <w:lang w:val="en-US"/>
        </w:rPr>
        <w:t xml:space="preserve">) (non-rapidly degradable); </w:t>
      </w:r>
    </w:p>
    <w:p w14:paraId="298D8357" w14:textId="77777777" w:rsidR="00C167D6" w:rsidRDefault="00C167D6" w:rsidP="00FF1C7B">
      <w:pPr>
        <w:numPr>
          <w:ilvl w:val="0"/>
          <w:numId w:val="14"/>
        </w:numPr>
        <w:kinsoku/>
        <w:overflowPunct/>
        <w:autoSpaceDE/>
        <w:adjustRightInd/>
        <w:snapToGrid/>
        <w:spacing w:after="120"/>
        <w:ind w:left="2835" w:right="1134" w:hanging="567"/>
        <w:jc w:val="both"/>
        <w:rPr>
          <w:rFonts w:eastAsiaTheme="minorEastAsia"/>
          <w:lang w:val="en-US"/>
        </w:rPr>
      </w:pPr>
      <w:r>
        <w:rPr>
          <w:rFonts w:eastAsiaTheme="minorEastAsia"/>
          <w:lang w:val="en-US"/>
        </w:rPr>
        <w:t>When there are adequate chronic toxicity data (</w:t>
      </w:r>
      <w:proofErr w:type="spellStart"/>
      <w:r>
        <w:rPr>
          <w:rFonts w:eastAsiaTheme="minorEastAsia"/>
          <w:lang w:val="en-US"/>
        </w:rPr>
        <w:t>ECx</w:t>
      </w:r>
      <w:proofErr w:type="spellEnd"/>
      <w:r>
        <w:rPr>
          <w:rFonts w:eastAsiaTheme="minorEastAsia"/>
          <w:lang w:val="en-US"/>
        </w:rPr>
        <w:t xml:space="preserve"> or NOEC) available for the mixture as a whole showing </w:t>
      </w:r>
      <w:proofErr w:type="spellStart"/>
      <w:r>
        <w:rPr>
          <w:rFonts w:eastAsiaTheme="minorEastAsia"/>
          <w:lang w:val="en-US"/>
        </w:rPr>
        <w:t>ECx</w:t>
      </w:r>
      <w:proofErr w:type="spellEnd"/>
      <w:r>
        <w:rPr>
          <w:rFonts w:eastAsiaTheme="minorEastAsia"/>
          <w:lang w:val="en-US"/>
        </w:rPr>
        <w:t xml:space="preserve">(s) or NOEC(s) of the tested mixture &gt; 1mg/l or above the water solubility: </w:t>
      </w:r>
    </w:p>
    <w:p w14:paraId="34F459B4" w14:textId="77777777" w:rsidR="00C167D6" w:rsidRDefault="00C167D6" w:rsidP="00F476CA">
      <w:pPr>
        <w:kinsoku/>
        <w:overflowPunct/>
        <w:autoSpaceDE/>
        <w:adjustRightInd/>
        <w:snapToGrid/>
        <w:spacing w:after="120"/>
        <w:ind w:left="3119" w:right="1134" w:hanging="284"/>
        <w:jc w:val="both"/>
        <w:rPr>
          <w:rFonts w:eastAsiaTheme="minorEastAsia"/>
          <w:lang w:val="en-US"/>
        </w:rPr>
      </w:pPr>
      <w:r>
        <w:rPr>
          <w:rFonts w:eastAsiaTheme="minorEastAsia"/>
          <w:lang w:val="en-US"/>
        </w:rPr>
        <w:t>No need to classify for long-term hazard under these Regulations.</w:t>
      </w:r>
      <w:r w:rsidR="00854C19">
        <w:rPr>
          <w:rFonts w:eastAsiaTheme="minorEastAsia"/>
          <w:lang w:val="en-US"/>
        </w:rPr>
        <w:t>”</w:t>
      </w:r>
    </w:p>
    <w:p w14:paraId="1D22119B" w14:textId="77777777" w:rsidR="00C167D6" w:rsidRDefault="00FF1C7B" w:rsidP="00FF1C7B">
      <w:pPr>
        <w:pStyle w:val="H23G"/>
      </w:pPr>
      <w:r>
        <w:tab/>
      </w:r>
      <w:r>
        <w:tab/>
      </w:r>
      <w:r w:rsidR="00C167D6">
        <w:t>Option 2</w:t>
      </w:r>
    </w:p>
    <w:p w14:paraId="3F0A182A" w14:textId="77777777" w:rsidR="00C167D6" w:rsidRDefault="00C167D6" w:rsidP="00FF1C7B">
      <w:pPr>
        <w:kinsoku/>
        <w:overflowPunct/>
        <w:autoSpaceDE/>
        <w:adjustRightInd/>
        <w:snapToGrid/>
        <w:spacing w:after="120"/>
        <w:ind w:left="1134" w:right="1134"/>
        <w:jc w:val="both"/>
        <w:rPr>
          <w:rFonts w:eastAsiaTheme="minorEastAsia"/>
          <w:lang w:val="en-US"/>
        </w:rPr>
      </w:pPr>
      <w:r>
        <w:rPr>
          <w:rFonts w:eastAsiaTheme="minorEastAsia"/>
        </w:rPr>
        <w:t xml:space="preserve">“2.9.3.4.3.4 </w:t>
      </w:r>
      <w:r>
        <w:rPr>
          <w:rFonts w:eastAsiaTheme="minorEastAsia"/>
        </w:rPr>
        <w:tab/>
        <w:t>Classification for categories Chronic 1 and 2</w:t>
      </w:r>
    </w:p>
    <w:p w14:paraId="014DC739" w14:textId="77777777" w:rsidR="00C167D6" w:rsidRDefault="00C167D6" w:rsidP="00FF1C7B">
      <w:pPr>
        <w:numPr>
          <w:ilvl w:val="6"/>
          <w:numId w:val="16"/>
        </w:numPr>
        <w:kinsoku/>
        <w:overflowPunct/>
        <w:autoSpaceDE/>
        <w:adjustRightInd/>
        <w:snapToGrid/>
        <w:spacing w:after="120"/>
        <w:ind w:left="2835" w:right="1134" w:hanging="567"/>
        <w:jc w:val="both"/>
        <w:rPr>
          <w:rFonts w:eastAsiaTheme="minorEastAsia"/>
          <w:lang w:val="en-US"/>
        </w:rPr>
      </w:pPr>
      <w:r>
        <w:rPr>
          <w:rFonts w:eastAsiaTheme="minorEastAsia"/>
          <w:lang w:val="en-US"/>
        </w:rPr>
        <w:t>When there are adequate chronic toxicity data (</w:t>
      </w:r>
      <w:proofErr w:type="spellStart"/>
      <w:r>
        <w:rPr>
          <w:rFonts w:eastAsiaTheme="minorEastAsia"/>
          <w:lang w:val="en-US"/>
        </w:rPr>
        <w:t>ECx</w:t>
      </w:r>
      <w:proofErr w:type="spellEnd"/>
      <w:r>
        <w:rPr>
          <w:rFonts w:eastAsiaTheme="minorEastAsia"/>
          <w:lang w:val="en-US"/>
        </w:rPr>
        <w:t xml:space="preserve"> or NOEC) available for the </w:t>
      </w:r>
      <w:proofErr w:type="gramStart"/>
      <w:r>
        <w:rPr>
          <w:rFonts w:eastAsiaTheme="minorEastAsia"/>
          <w:lang w:val="en-US"/>
        </w:rPr>
        <w:t>mixture as a whole</w:t>
      </w:r>
      <w:r w:rsidR="00975022">
        <w:rPr>
          <w:rFonts w:eastAsiaTheme="minorEastAsia"/>
          <w:lang w:val="en-US"/>
        </w:rPr>
        <w:t>,</w:t>
      </w:r>
      <w:r>
        <w:rPr>
          <w:rFonts w:eastAsiaTheme="minorEastAsia"/>
          <w:lang w:val="en-US"/>
        </w:rPr>
        <w:t xml:space="preserve"> showing</w:t>
      </w:r>
      <w:proofErr w:type="gramEnd"/>
      <w:r>
        <w:rPr>
          <w:rFonts w:eastAsiaTheme="minorEastAsia"/>
          <w:lang w:val="en-US"/>
        </w:rPr>
        <w:t xml:space="preserve"> </w:t>
      </w:r>
      <w:proofErr w:type="spellStart"/>
      <w:r>
        <w:rPr>
          <w:rFonts w:eastAsiaTheme="minorEastAsia"/>
          <w:lang w:val="en-US"/>
        </w:rPr>
        <w:t>ECx</w:t>
      </w:r>
      <w:proofErr w:type="spellEnd"/>
      <w:r>
        <w:rPr>
          <w:rFonts w:eastAsiaTheme="minorEastAsia"/>
          <w:lang w:val="en-US"/>
        </w:rPr>
        <w:t xml:space="preserve"> or NOEC of the tested mixture ≤ 1mg/l: </w:t>
      </w:r>
    </w:p>
    <w:p w14:paraId="1FE07F85" w14:textId="77777777" w:rsidR="00C167D6" w:rsidRDefault="00C167D6" w:rsidP="00FF1C7B">
      <w:pPr>
        <w:numPr>
          <w:ilvl w:val="8"/>
          <w:numId w:val="16"/>
        </w:numPr>
        <w:kinsoku/>
        <w:overflowPunct/>
        <w:autoSpaceDE/>
        <w:adjustRightInd/>
        <w:snapToGrid/>
        <w:spacing w:after="120"/>
        <w:ind w:left="3261" w:right="1134" w:hanging="284"/>
        <w:jc w:val="both"/>
        <w:rPr>
          <w:rFonts w:eastAsiaTheme="minorEastAsia"/>
          <w:lang w:val="en-US"/>
        </w:rPr>
      </w:pPr>
      <w:r>
        <w:rPr>
          <w:rFonts w:eastAsiaTheme="minorEastAsia"/>
          <w:lang w:val="en-US"/>
        </w:rPr>
        <w:t xml:space="preserve">classify the mixture as Chronic 1 or 2 in accordance with Table 2.9.1(b)(ii) (rapidly degradable) if the available information allows the conclusion that all relevant ingredients of the mixture are rapidly degradable; </w:t>
      </w:r>
    </w:p>
    <w:p w14:paraId="0288D26F" w14:textId="77777777" w:rsidR="00C167D6" w:rsidRDefault="00C167D6" w:rsidP="00FF1C7B">
      <w:pPr>
        <w:kinsoku/>
        <w:overflowPunct/>
        <w:autoSpaceDE/>
        <w:adjustRightInd/>
        <w:snapToGrid/>
        <w:spacing w:after="120"/>
        <w:ind w:leftChars="1101" w:left="2206" w:rightChars="567" w:right="1134" w:hanging="4"/>
        <w:jc w:val="both"/>
        <w:rPr>
          <w:rFonts w:eastAsiaTheme="minorEastAsia"/>
          <w:i/>
          <w:u w:val="single"/>
          <w:lang w:val="en-US"/>
        </w:rPr>
      </w:pPr>
      <w:r>
        <w:rPr>
          <w:rFonts w:eastAsiaTheme="minorEastAsia"/>
          <w:b/>
          <w:i/>
          <w:u w:val="single"/>
          <w:lang w:val="en-US"/>
        </w:rPr>
        <w:t>NOTE:</w:t>
      </w:r>
      <w:r>
        <w:rPr>
          <w:rFonts w:eastAsiaTheme="minorEastAsia"/>
          <w:i/>
          <w:u w:val="single"/>
          <w:lang w:val="en-US"/>
        </w:rPr>
        <w:t xml:space="preserve"> In this situation, when </w:t>
      </w:r>
      <w:proofErr w:type="spellStart"/>
      <w:r>
        <w:rPr>
          <w:rFonts w:eastAsiaTheme="minorEastAsia"/>
          <w:i/>
          <w:u w:val="single"/>
          <w:lang w:val="en-US"/>
        </w:rPr>
        <w:t>ECx</w:t>
      </w:r>
      <w:proofErr w:type="spellEnd"/>
      <w:r>
        <w:rPr>
          <w:rFonts w:eastAsiaTheme="minorEastAsia"/>
          <w:i/>
          <w:u w:val="single"/>
          <w:lang w:val="en-US"/>
        </w:rPr>
        <w:t xml:space="preserve"> or NOEC of the tested mixture &gt;</w:t>
      </w:r>
      <w:r w:rsidR="00854C19">
        <w:rPr>
          <w:rFonts w:eastAsiaTheme="minorEastAsia"/>
          <w:i/>
          <w:u w:val="single"/>
          <w:lang w:val="en-US"/>
        </w:rPr>
        <w:t> </w:t>
      </w:r>
      <w:r>
        <w:rPr>
          <w:rFonts w:eastAsiaTheme="minorEastAsia"/>
          <w:i/>
          <w:u w:val="single"/>
          <w:lang w:val="en-US"/>
        </w:rPr>
        <w:t>0.1</w:t>
      </w:r>
      <w:r w:rsidR="00854C19">
        <w:rPr>
          <w:rFonts w:eastAsiaTheme="minorEastAsia"/>
          <w:i/>
          <w:u w:val="single"/>
          <w:lang w:val="en-US"/>
        </w:rPr>
        <w:t> </w:t>
      </w:r>
      <w:r>
        <w:rPr>
          <w:rFonts w:eastAsiaTheme="minorEastAsia"/>
          <w:i/>
          <w:u w:val="single"/>
          <w:lang w:val="en-US"/>
        </w:rPr>
        <w:t>mg/l, there is no need to classify for long-term hazard under these Regulations.</w:t>
      </w:r>
    </w:p>
    <w:p w14:paraId="55FDA562" w14:textId="77777777" w:rsidR="00C167D6" w:rsidRDefault="00C167D6" w:rsidP="00FF1C7B">
      <w:pPr>
        <w:numPr>
          <w:ilvl w:val="8"/>
          <w:numId w:val="16"/>
        </w:numPr>
        <w:kinsoku/>
        <w:wordWrap w:val="0"/>
        <w:overflowPunct/>
        <w:topLinePunct/>
        <w:autoSpaceDE/>
        <w:adjustRightInd/>
        <w:snapToGrid/>
        <w:spacing w:after="120"/>
        <w:ind w:left="3261" w:right="1134" w:hanging="284"/>
        <w:jc w:val="both"/>
        <w:rPr>
          <w:rFonts w:eastAsiaTheme="minorEastAsia"/>
          <w:lang w:val="en-US"/>
        </w:rPr>
      </w:pPr>
      <w:r>
        <w:rPr>
          <w:rFonts w:eastAsiaTheme="minorEastAsia"/>
          <w:lang w:val="en-US"/>
        </w:rPr>
        <w:t>classify the mixture as Chronic 1 or 2 in all other cases in accordance with Table 2.9.1(b)(</w:t>
      </w:r>
      <w:proofErr w:type="spellStart"/>
      <w:r>
        <w:rPr>
          <w:rFonts w:eastAsiaTheme="minorEastAsia"/>
          <w:lang w:val="en-US"/>
        </w:rPr>
        <w:t>i</w:t>
      </w:r>
      <w:proofErr w:type="spellEnd"/>
      <w:r>
        <w:rPr>
          <w:rFonts w:eastAsiaTheme="minorEastAsia"/>
          <w:lang w:val="en-US"/>
        </w:rPr>
        <w:t>) (non-rapidly degradable);</w:t>
      </w:r>
    </w:p>
    <w:p w14:paraId="7EBE7382" w14:textId="77777777" w:rsidR="00C167D6" w:rsidRDefault="00C167D6" w:rsidP="00FF1C7B">
      <w:pPr>
        <w:numPr>
          <w:ilvl w:val="6"/>
          <w:numId w:val="16"/>
        </w:numPr>
        <w:kinsoku/>
        <w:overflowPunct/>
        <w:autoSpaceDE/>
        <w:adjustRightInd/>
        <w:snapToGrid/>
        <w:spacing w:after="120"/>
        <w:ind w:right="1134" w:hanging="737"/>
        <w:jc w:val="both"/>
        <w:rPr>
          <w:rFonts w:eastAsiaTheme="minorEastAsia"/>
          <w:lang w:val="en-US"/>
        </w:rPr>
      </w:pPr>
      <w:r>
        <w:rPr>
          <w:rFonts w:eastAsiaTheme="minorEastAsia"/>
          <w:lang w:val="en-US"/>
        </w:rPr>
        <w:t>When there are adequate chronic toxicity data (</w:t>
      </w:r>
      <w:proofErr w:type="spellStart"/>
      <w:r>
        <w:rPr>
          <w:rFonts w:eastAsiaTheme="minorEastAsia"/>
          <w:lang w:val="en-US"/>
        </w:rPr>
        <w:t>ECx</w:t>
      </w:r>
      <w:proofErr w:type="spellEnd"/>
      <w:r>
        <w:rPr>
          <w:rFonts w:eastAsiaTheme="minorEastAsia"/>
          <w:lang w:val="en-US"/>
        </w:rPr>
        <w:t xml:space="preserve"> or NOEC) available for the mixture as a whole showing </w:t>
      </w:r>
      <w:proofErr w:type="spellStart"/>
      <w:r>
        <w:rPr>
          <w:rFonts w:eastAsiaTheme="minorEastAsia"/>
          <w:lang w:val="en-US"/>
        </w:rPr>
        <w:t>ECx</w:t>
      </w:r>
      <w:proofErr w:type="spellEnd"/>
      <w:r>
        <w:rPr>
          <w:rFonts w:eastAsiaTheme="minorEastAsia"/>
          <w:lang w:val="en-US"/>
        </w:rPr>
        <w:t xml:space="preserve">(s) or NOEC(s) of the tested mixture &gt; 1mg/l or above the water solubility: </w:t>
      </w:r>
    </w:p>
    <w:p w14:paraId="6B6245A6" w14:textId="77777777" w:rsidR="00C167D6" w:rsidRDefault="00C167D6" w:rsidP="00C167D6">
      <w:pPr>
        <w:kinsoku/>
        <w:overflowPunct/>
        <w:autoSpaceDE/>
        <w:adjustRightInd/>
        <w:snapToGrid/>
        <w:spacing w:after="120"/>
        <w:ind w:left="3005" w:right="1134"/>
        <w:jc w:val="both"/>
        <w:rPr>
          <w:rFonts w:eastAsiaTheme="minorEastAsia"/>
          <w:lang w:val="en-US"/>
        </w:rPr>
      </w:pPr>
      <w:r>
        <w:rPr>
          <w:rFonts w:eastAsiaTheme="minorEastAsia"/>
          <w:lang w:val="en-US"/>
        </w:rPr>
        <w:t>No need to classify for long-term hazard under these Regulations.</w:t>
      </w:r>
      <w:r w:rsidR="00854C19">
        <w:rPr>
          <w:rFonts w:eastAsiaTheme="minorEastAsia"/>
          <w:lang w:val="en-US"/>
        </w:rPr>
        <w:t>”</w:t>
      </w:r>
    </w:p>
    <w:p w14:paraId="3416E239" w14:textId="77777777" w:rsidR="00C167D6" w:rsidRDefault="00C167D6" w:rsidP="00FF1C7B">
      <w:pPr>
        <w:pStyle w:val="SingleTxtG"/>
        <w:rPr>
          <w:lang w:eastAsia="en-US"/>
        </w:rPr>
      </w:pPr>
      <w:r>
        <w:rPr>
          <w:lang w:eastAsia="en-US"/>
        </w:rPr>
        <w:t>7.</w:t>
      </w:r>
      <w:r>
        <w:rPr>
          <w:lang w:eastAsia="en-US"/>
        </w:rPr>
        <w:tab/>
        <w:t>The GHS Sub-Committee is invited to consider if the text of long-term (chronic) hazard classification of mixture in 4.1.3.3.4</w:t>
      </w:r>
      <w:r>
        <w:t xml:space="preserve"> of</w:t>
      </w:r>
      <w:r>
        <w:rPr>
          <w:lang w:eastAsia="en-US"/>
        </w:rPr>
        <w:t xml:space="preserve"> GHS should be revised. We propose to </w:t>
      </w:r>
      <w:r>
        <w:t>a</w:t>
      </w:r>
      <w:r>
        <w:rPr>
          <w:lang w:eastAsia="en-US"/>
        </w:rPr>
        <w:t xml:space="preserve">mend </w:t>
      </w:r>
      <w:r>
        <w:t>paragraph</w:t>
      </w:r>
      <w:r>
        <w:rPr>
          <w:lang w:eastAsia="en-US"/>
        </w:rPr>
        <w:t xml:space="preserve"> 4.1.3.3.4</w:t>
      </w:r>
      <w:r>
        <w:t xml:space="preserve"> of</w:t>
      </w:r>
      <w:r>
        <w:rPr>
          <w:lang w:eastAsia="en-US"/>
        </w:rPr>
        <w:t xml:space="preserve"> GHS to read as follows (</w:t>
      </w:r>
      <w:r>
        <w:t xml:space="preserve">deleted text is </w:t>
      </w:r>
      <w:r>
        <w:rPr>
          <w:strike/>
        </w:rPr>
        <w:t>struck through</w:t>
      </w:r>
      <w:r>
        <w:t xml:space="preserve">; new text is </w:t>
      </w:r>
      <w:r>
        <w:rPr>
          <w:u w:val="single"/>
        </w:rPr>
        <w:t>underlined</w:t>
      </w:r>
      <w:r>
        <w:rPr>
          <w:lang w:eastAsia="en-US"/>
        </w:rPr>
        <w:t>):</w:t>
      </w:r>
    </w:p>
    <w:p w14:paraId="6CF1745A" w14:textId="77777777" w:rsidR="00C167D6" w:rsidRDefault="00C167D6" w:rsidP="00C167D6">
      <w:pPr>
        <w:tabs>
          <w:tab w:val="left" w:pos="2552"/>
        </w:tabs>
        <w:kinsoku/>
        <w:overflowPunct/>
        <w:autoSpaceDE/>
        <w:adjustRightInd/>
        <w:snapToGrid/>
        <w:spacing w:after="120"/>
        <w:ind w:left="1134" w:right="1134"/>
        <w:jc w:val="both"/>
        <w:rPr>
          <w:rFonts w:eastAsiaTheme="minorEastAsia"/>
          <w:lang w:eastAsia="en-US"/>
        </w:rPr>
      </w:pPr>
      <w:r>
        <w:rPr>
          <w:rFonts w:eastAsiaTheme="minorEastAsia"/>
          <w:lang w:eastAsia="en-US"/>
        </w:rPr>
        <w:t xml:space="preserve">“4.1.3.3.4 </w:t>
      </w:r>
      <w:r>
        <w:rPr>
          <w:rFonts w:eastAsiaTheme="minorEastAsia"/>
          <w:lang w:eastAsia="en-US"/>
        </w:rPr>
        <w:tab/>
        <w:t>Classification for categories Chronic 1, 2 and 3</w:t>
      </w:r>
    </w:p>
    <w:p w14:paraId="0609A420" w14:textId="77777777" w:rsidR="00C167D6" w:rsidRDefault="00C167D6" w:rsidP="00C167D6">
      <w:pPr>
        <w:numPr>
          <w:ilvl w:val="0"/>
          <w:numId w:val="17"/>
        </w:numPr>
        <w:kinsoku/>
        <w:overflowPunct/>
        <w:autoSpaceDE/>
        <w:adjustRightInd/>
        <w:snapToGrid/>
        <w:spacing w:after="120"/>
        <w:ind w:left="3119" w:right="1134" w:hanging="567"/>
        <w:jc w:val="both"/>
        <w:rPr>
          <w:rFonts w:eastAsiaTheme="minorEastAsia"/>
          <w:lang w:eastAsia="en-US"/>
        </w:rPr>
      </w:pPr>
      <w:r>
        <w:rPr>
          <w:rFonts w:eastAsiaTheme="minorEastAsia"/>
          <w:lang w:eastAsia="en-US"/>
        </w:rPr>
        <w:t>When there are adequate chronic toxicity data (</w:t>
      </w:r>
      <w:proofErr w:type="spellStart"/>
      <w:r>
        <w:rPr>
          <w:rFonts w:eastAsiaTheme="minorEastAsia"/>
          <w:lang w:eastAsia="en-US"/>
        </w:rPr>
        <w:t>ECx</w:t>
      </w:r>
      <w:proofErr w:type="spellEnd"/>
      <w:r>
        <w:rPr>
          <w:rFonts w:eastAsiaTheme="minorEastAsia"/>
          <w:lang w:eastAsia="en-US"/>
        </w:rPr>
        <w:t xml:space="preserve"> or NOEC) available for the mixture </w:t>
      </w:r>
      <w:proofErr w:type="gramStart"/>
      <w:r>
        <w:rPr>
          <w:rFonts w:eastAsiaTheme="minorEastAsia"/>
          <w:lang w:eastAsia="en-US"/>
        </w:rPr>
        <w:t>as a whole showing</w:t>
      </w:r>
      <w:proofErr w:type="gramEnd"/>
      <w:r>
        <w:rPr>
          <w:rFonts w:eastAsiaTheme="minorEastAsia"/>
          <w:lang w:eastAsia="en-US"/>
        </w:rPr>
        <w:t xml:space="preserve"> </w:t>
      </w:r>
      <w:proofErr w:type="spellStart"/>
      <w:r>
        <w:rPr>
          <w:rFonts w:eastAsiaTheme="minorEastAsia"/>
          <w:lang w:eastAsia="en-US"/>
        </w:rPr>
        <w:t>ECx</w:t>
      </w:r>
      <w:proofErr w:type="spellEnd"/>
      <w:r>
        <w:rPr>
          <w:rFonts w:eastAsiaTheme="minorEastAsia"/>
          <w:lang w:eastAsia="en-US"/>
        </w:rPr>
        <w:t xml:space="preserve"> or NOEC of the tested mixture ≤ 1</w:t>
      </w:r>
      <w:r w:rsidR="00854C19">
        <w:rPr>
          <w:rFonts w:eastAsiaTheme="minorEastAsia"/>
          <w:lang w:eastAsia="en-US"/>
        </w:rPr>
        <w:t> </w:t>
      </w:r>
      <w:r>
        <w:rPr>
          <w:rFonts w:eastAsiaTheme="minorEastAsia"/>
          <w:lang w:eastAsia="en-US"/>
        </w:rPr>
        <w:t>mg/l:</w:t>
      </w:r>
    </w:p>
    <w:p w14:paraId="3AEA03D1" w14:textId="77777777" w:rsidR="00C167D6" w:rsidRDefault="00C167D6" w:rsidP="00C167D6">
      <w:pPr>
        <w:numPr>
          <w:ilvl w:val="0"/>
          <w:numId w:val="18"/>
        </w:numPr>
        <w:kinsoku/>
        <w:overflowPunct/>
        <w:autoSpaceDE/>
        <w:adjustRightInd/>
        <w:snapToGrid/>
        <w:spacing w:after="120"/>
        <w:ind w:left="3686" w:right="1134" w:hanging="567"/>
        <w:jc w:val="both"/>
        <w:rPr>
          <w:rFonts w:eastAsiaTheme="minorEastAsia"/>
          <w:lang w:eastAsia="en-US"/>
        </w:rPr>
      </w:pPr>
      <w:r>
        <w:rPr>
          <w:rFonts w:eastAsiaTheme="minorEastAsia"/>
          <w:lang w:eastAsia="en-US"/>
        </w:rPr>
        <w:t>Classify the mixture as Chronic 1, 2 or 3 in accordance with Table 4.1.1(b)(ii) (rapidly degradable) if the available information allows the conclusion that all relevant ingredients of the mixture are rapidly degradable;</w:t>
      </w:r>
    </w:p>
    <w:p w14:paraId="3EA13880" w14:textId="77777777" w:rsidR="00C167D6" w:rsidRDefault="00C167D6" w:rsidP="00C167D6">
      <w:pPr>
        <w:numPr>
          <w:ilvl w:val="0"/>
          <w:numId w:val="18"/>
        </w:numPr>
        <w:kinsoku/>
        <w:overflowPunct/>
        <w:autoSpaceDE/>
        <w:adjustRightInd/>
        <w:snapToGrid/>
        <w:spacing w:after="120"/>
        <w:ind w:left="3686" w:right="1134" w:hanging="567"/>
        <w:jc w:val="both"/>
        <w:rPr>
          <w:rFonts w:eastAsiaTheme="minorEastAsia"/>
          <w:lang w:eastAsia="en-US"/>
        </w:rPr>
      </w:pPr>
      <w:r>
        <w:rPr>
          <w:rFonts w:eastAsiaTheme="minorEastAsia"/>
          <w:lang w:eastAsia="en-US"/>
        </w:rPr>
        <w:t>Classify the mixture as Chronic 1</w:t>
      </w:r>
      <w:r w:rsidR="00975022">
        <w:rPr>
          <w:rFonts w:eastAsiaTheme="minorEastAsia"/>
          <w:lang w:eastAsia="en-US"/>
        </w:rPr>
        <w:t xml:space="preserve"> </w:t>
      </w:r>
      <w:r>
        <w:rPr>
          <w:rFonts w:eastAsiaTheme="minorEastAsia"/>
          <w:u w:val="single"/>
          <w:lang w:eastAsia="en-US"/>
        </w:rPr>
        <w:t>or</w:t>
      </w:r>
      <w:r>
        <w:rPr>
          <w:rFonts w:eastAsiaTheme="minorEastAsia"/>
          <w:strike/>
          <w:u w:val="single"/>
          <w:lang w:eastAsia="en-US"/>
        </w:rPr>
        <w:t>,</w:t>
      </w:r>
      <w:r>
        <w:rPr>
          <w:rFonts w:eastAsiaTheme="minorEastAsia"/>
          <w:strike/>
          <w:lang w:eastAsia="en-US"/>
        </w:rPr>
        <w:t xml:space="preserve"> </w:t>
      </w:r>
      <w:r>
        <w:rPr>
          <w:rFonts w:eastAsiaTheme="minorEastAsia"/>
          <w:lang w:eastAsia="en-US"/>
        </w:rPr>
        <w:t xml:space="preserve">2 </w:t>
      </w:r>
      <w:r>
        <w:rPr>
          <w:rFonts w:eastAsiaTheme="minorEastAsia"/>
          <w:strike/>
          <w:lang w:eastAsia="en-US"/>
        </w:rPr>
        <w:t>or 3</w:t>
      </w:r>
      <w:r>
        <w:rPr>
          <w:rFonts w:eastAsiaTheme="minorEastAsia"/>
          <w:lang w:eastAsia="en-US"/>
        </w:rPr>
        <w:t xml:space="preserve"> in all other cases in accordance with Table 4.1.1 (b)(</w:t>
      </w:r>
      <w:proofErr w:type="spellStart"/>
      <w:r>
        <w:rPr>
          <w:rFonts w:eastAsiaTheme="minorEastAsia"/>
          <w:lang w:eastAsia="en-US"/>
        </w:rPr>
        <w:t>i</w:t>
      </w:r>
      <w:proofErr w:type="spellEnd"/>
      <w:r>
        <w:rPr>
          <w:rFonts w:eastAsiaTheme="minorEastAsia"/>
          <w:lang w:eastAsia="en-US"/>
        </w:rPr>
        <w:t>) (non-rapidly degradable);</w:t>
      </w:r>
    </w:p>
    <w:p w14:paraId="4A015C98" w14:textId="77777777" w:rsidR="00C167D6" w:rsidRDefault="00C167D6" w:rsidP="00C167D6">
      <w:pPr>
        <w:numPr>
          <w:ilvl w:val="0"/>
          <w:numId w:val="17"/>
        </w:numPr>
        <w:kinsoku/>
        <w:overflowPunct/>
        <w:autoSpaceDE/>
        <w:adjustRightInd/>
        <w:snapToGrid/>
        <w:spacing w:after="120"/>
        <w:ind w:left="3261" w:right="1134" w:hanging="709"/>
        <w:jc w:val="both"/>
        <w:rPr>
          <w:rFonts w:eastAsiaTheme="minorEastAsia"/>
          <w:lang w:eastAsia="en-US"/>
        </w:rPr>
      </w:pPr>
      <w:r>
        <w:rPr>
          <w:rFonts w:eastAsiaTheme="minorEastAsia"/>
          <w:lang w:eastAsia="en-US"/>
        </w:rPr>
        <w:t>When there are adequate chronic toxicity data (</w:t>
      </w:r>
      <w:proofErr w:type="spellStart"/>
      <w:r>
        <w:rPr>
          <w:rFonts w:eastAsiaTheme="minorEastAsia"/>
          <w:lang w:eastAsia="en-US"/>
        </w:rPr>
        <w:t>ECx</w:t>
      </w:r>
      <w:proofErr w:type="spellEnd"/>
      <w:r>
        <w:rPr>
          <w:rFonts w:eastAsiaTheme="minorEastAsia"/>
          <w:lang w:eastAsia="en-US"/>
        </w:rPr>
        <w:t xml:space="preserve"> or NOEC) available for the mixture as a whole showing </w:t>
      </w:r>
      <w:proofErr w:type="spellStart"/>
      <w:r>
        <w:rPr>
          <w:rFonts w:eastAsiaTheme="minorEastAsia"/>
          <w:lang w:eastAsia="en-US"/>
        </w:rPr>
        <w:t>ECx</w:t>
      </w:r>
      <w:proofErr w:type="spellEnd"/>
      <w:r>
        <w:rPr>
          <w:rFonts w:eastAsiaTheme="minorEastAsia"/>
          <w:lang w:eastAsia="en-US"/>
        </w:rPr>
        <w:t>(s) or NOEC(s) of the tested mixture &gt; 1 mg/l or above the water solubility:</w:t>
      </w:r>
    </w:p>
    <w:p w14:paraId="314A01BF" w14:textId="77777777" w:rsidR="00C167D6" w:rsidRDefault="00C167D6" w:rsidP="00C167D6">
      <w:pPr>
        <w:kinsoku/>
        <w:overflowPunct/>
        <w:autoSpaceDE/>
        <w:adjustRightInd/>
        <w:snapToGrid/>
        <w:spacing w:after="120"/>
        <w:ind w:left="3261" w:right="1134"/>
        <w:jc w:val="both"/>
        <w:rPr>
          <w:rFonts w:eastAsiaTheme="minorEastAsia"/>
          <w:lang w:val="en-US"/>
        </w:rPr>
      </w:pPr>
      <w:r>
        <w:rPr>
          <w:rFonts w:eastAsiaTheme="minorEastAsia"/>
          <w:lang w:val="en-US"/>
        </w:rPr>
        <w:t>No need to classify for long-term (chronic) hazard, unless there are nevertheless reasons for concern.”.</w:t>
      </w:r>
    </w:p>
    <w:p w14:paraId="7F31BDA5" w14:textId="77777777" w:rsidR="00AF5DE1" w:rsidRPr="00FF1C7B" w:rsidRDefault="00FF1C7B" w:rsidP="00FF1C7B">
      <w:pPr>
        <w:spacing w:before="240"/>
        <w:jc w:val="center"/>
        <w:rPr>
          <w:u w:val="single"/>
        </w:rPr>
      </w:pPr>
      <w:r>
        <w:rPr>
          <w:u w:val="single"/>
        </w:rPr>
        <w:tab/>
      </w:r>
      <w:r>
        <w:rPr>
          <w:u w:val="single"/>
        </w:rPr>
        <w:tab/>
      </w:r>
      <w:r>
        <w:rPr>
          <w:u w:val="single"/>
        </w:rPr>
        <w:tab/>
      </w:r>
    </w:p>
    <w:p w14:paraId="32456B2A" w14:textId="77777777" w:rsidR="00FF1C7B" w:rsidRPr="00437FE3" w:rsidRDefault="00FF1C7B" w:rsidP="004858F5"/>
    <w:sectPr w:rsidR="00FF1C7B" w:rsidRPr="00437FE3" w:rsidSect="00437FE3">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9EAEB" w14:textId="77777777" w:rsidR="00437FE3" w:rsidRPr="00C47B2E" w:rsidRDefault="00437FE3" w:rsidP="00C47B2E">
      <w:pPr>
        <w:pStyle w:val="Footer"/>
      </w:pPr>
    </w:p>
  </w:endnote>
  <w:endnote w:type="continuationSeparator" w:id="0">
    <w:p w14:paraId="291B4982" w14:textId="77777777" w:rsidR="00437FE3" w:rsidRPr="00C47B2E" w:rsidRDefault="00437FE3" w:rsidP="00C47B2E">
      <w:pPr>
        <w:pStyle w:val="Footer"/>
      </w:pPr>
    </w:p>
  </w:endnote>
  <w:endnote w:type="continuationNotice" w:id="1">
    <w:p w14:paraId="246193FD" w14:textId="77777777" w:rsidR="00437FE3" w:rsidRPr="00C47B2E" w:rsidRDefault="00437FE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7201" w14:textId="77777777" w:rsidR="00D94B05" w:rsidRPr="00437FE3" w:rsidRDefault="00437FE3" w:rsidP="00437FE3">
    <w:pPr>
      <w:pStyle w:val="Footer"/>
      <w:tabs>
        <w:tab w:val="right" w:pos="9598"/>
        <w:tab w:val="right" w:pos="9638"/>
      </w:tabs>
      <w:rPr>
        <w:sz w:val="18"/>
      </w:rPr>
    </w:pPr>
    <w:r w:rsidRPr="00437FE3">
      <w:rPr>
        <w:b/>
        <w:sz w:val="18"/>
      </w:rPr>
      <w:fldChar w:fldCharType="begin"/>
    </w:r>
    <w:r w:rsidRPr="00437FE3">
      <w:rPr>
        <w:b/>
        <w:sz w:val="18"/>
      </w:rPr>
      <w:instrText xml:space="preserve"> PAGE  \* MERGEFORMAT </w:instrText>
    </w:r>
    <w:r w:rsidRPr="00437FE3">
      <w:rPr>
        <w:b/>
        <w:sz w:val="18"/>
      </w:rPr>
      <w:fldChar w:fldCharType="separate"/>
    </w:r>
    <w:r w:rsidRPr="00437FE3">
      <w:rPr>
        <w:b/>
        <w:noProof/>
        <w:sz w:val="18"/>
      </w:rPr>
      <w:t>2</w:t>
    </w:r>
    <w:r w:rsidRPr="00437FE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FF82C" w14:textId="77777777" w:rsidR="00D94B05" w:rsidRPr="00F21765" w:rsidRDefault="00437FE3" w:rsidP="00F21765">
    <w:pPr>
      <w:pStyle w:val="Footer"/>
      <w:tabs>
        <w:tab w:val="left" w:pos="5775"/>
        <w:tab w:val="right" w:pos="9598"/>
        <w:tab w:val="right" w:pos="9638"/>
      </w:tabs>
      <w:jc w:val="right"/>
      <w:rPr>
        <w:b/>
        <w:bCs/>
        <w:sz w:val="18"/>
      </w:rPr>
    </w:pPr>
    <w:r w:rsidRPr="00F21765">
      <w:rPr>
        <w:b/>
        <w:bCs/>
        <w:sz w:val="18"/>
      </w:rPr>
      <w:tab/>
    </w:r>
    <w:r w:rsidRPr="00F21765">
      <w:rPr>
        <w:b/>
        <w:bCs/>
        <w:sz w:val="18"/>
      </w:rPr>
      <w:fldChar w:fldCharType="begin"/>
    </w:r>
    <w:r w:rsidRPr="00F21765">
      <w:rPr>
        <w:b/>
        <w:bCs/>
        <w:sz w:val="18"/>
      </w:rPr>
      <w:instrText xml:space="preserve"> PAGE  \* MERGEFORMAT </w:instrText>
    </w:r>
    <w:r w:rsidRPr="00F21765">
      <w:rPr>
        <w:b/>
        <w:bCs/>
        <w:sz w:val="18"/>
      </w:rPr>
      <w:fldChar w:fldCharType="separate"/>
    </w:r>
    <w:r w:rsidRPr="00F21765">
      <w:rPr>
        <w:b/>
        <w:bCs/>
        <w:noProof/>
        <w:sz w:val="18"/>
      </w:rPr>
      <w:t>3</w:t>
    </w:r>
    <w:r w:rsidRPr="00F2176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01F5" w14:textId="77777777" w:rsidR="00D94B05" w:rsidRPr="00437FE3"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6CE79CF0" wp14:editId="0C7C99A7">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0C7CB" w14:textId="77777777" w:rsidR="00437FE3" w:rsidRPr="00C47B2E" w:rsidRDefault="00437FE3" w:rsidP="00C47B2E">
      <w:pPr>
        <w:tabs>
          <w:tab w:val="right" w:pos="2155"/>
        </w:tabs>
        <w:spacing w:after="80" w:line="240" w:lineRule="auto"/>
        <w:ind w:left="680"/>
      </w:pPr>
      <w:r>
        <w:rPr>
          <w:u w:val="single"/>
        </w:rPr>
        <w:tab/>
      </w:r>
    </w:p>
  </w:footnote>
  <w:footnote w:type="continuationSeparator" w:id="0">
    <w:p w14:paraId="75D99D32" w14:textId="77777777" w:rsidR="00437FE3" w:rsidRPr="00C47B2E" w:rsidRDefault="00437FE3" w:rsidP="005E716E">
      <w:pPr>
        <w:tabs>
          <w:tab w:val="right" w:pos="2155"/>
        </w:tabs>
        <w:spacing w:after="80" w:line="240" w:lineRule="auto"/>
        <w:ind w:left="680"/>
      </w:pPr>
      <w:r>
        <w:rPr>
          <w:u w:val="single"/>
        </w:rPr>
        <w:tab/>
      </w:r>
    </w:p>
  </w:footnote>
  <w:footnote w:type="continuationNotice" w:id="1">
    <w:p w14:paraId="4F2B7CB9" w14:textId="77777777" w:rsidR="00437FE3" w:rsidRPr="00C47B2E" w:rsidRDefault="00437FE3" w:rsidP="00C47B2E">
      <w:pPr>
        <w:pStyle w:val="Footer"/>
      </w:pPr>
    </w:p>
  </w:footnote>
  <w:footnote w:id="2">
    <w:p w14:paraId="231F55E4" w14:textId="77777777" w:rsidR="00C167D6" w:rsidRPr="00C167D6" w:rsidRDefault="00C167D6" w:rsidP="00C167D6">
      <w:pPr>
        <w:pStyle w:val="FootnoteText"/>
        <w:tabs>
          <w:tab w:val="left" w:pos="1418"/>
        </w:tabs>
        <w:ind w:firstLine="0"/>
        <w:rPr>
          <w:lang w:val="fr-CH"/>
        </w:rPr>
      </w:pPr>
      <w:r>
        <w:rPr>
          <w:rStyle w:val="FootnoteReference"/>
        </w:rPr>
        <w:footnoteRef/>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E9588B">
        <w:rPr>
          <w:lang w:val="en-US"/>
        </w:rPr>
        <w:t>)</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BF72" w14:textId="0602D488" w:rsidR="00437FE3" w:rsidRPr="00437FE3" w:rsidRDefault="00670390">
    <w:pPr>
      <w:pStyle w:val="Header"/>
    </w:pPr>
    <w:r>
      <w:fldChar w:fldCharType="begin"/>
    </w:r>
    <w:r>
      <w:instrText xml:space="preserve"> TITLE  \* MERGEFORMAT </w:instrText>
    </w:r>
    <w:r>
      <w:fldChar w:fldCharType="separate"/>
    </w:r>
    <w:r>
      <w:t>ST/SG/AC.10/C.3/2020/33</w:t>
    </w:r>
    <w:r>
      <w:fldChar w:fldCharType="end"/>
    </w:r>
    <w:r w:rsidR="00437FE3">
      <w:br/>
    </w:r>
    <w:r>
      <w:fldChar w:fldCharType="begin"/>
    </w:r>
    <w:r>
      <w:instrText xml:space="preserve"> KEYWORDS  \* MERGEFORMAT </w:instrText>
    </w:r>
    <w:r>
      <w:fldChar w:fldCharType="separate"/>
    </w:r>
    <w:r>
      <w:t>ST/SG/AC.10/C.4/2020/10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2F5BC" w14:textId="1A5E37DF" w:rsidR="00D94B05" w:rsidRPr="00437FE3" w:rsidRDefault="00670390" w:rsidP="00437FE3">
    <w:pPr>
      <w:pStyle w:val="Header"/>
      <w:jc w:val="right"/>
    </w:pPr>
    <w:r>
      <w:fldChar w:fldCharType="begin"/>
    </w:r>
    <w:r>
      <w:instrText xml:space="preserve"> TITLE  \* MERGEFORMAT </w:instrText>
    </w:r>
    <w:r>
      <w:fldChar w:fldCharType="separate"/>
    </w:r>
    <w:r>
      <w:t>ST/SG/AC.10/C.3/2020/33</w:t>
    </w:r>
    <w:r>
      <w:fldChar w:fldCharType="end"/>
    </w:r>
    <w:r w:rsidR="00437FE3">
      <w:br/>
    </w:r>
    <w:r>
      <w:fldChar w:fldCharType="begin"/>
    </w:r>
    <w:r>
      <w:instrText xml:space="preserve"> KEYWORDS  \* MERGEFORMAT </w:instrText>
    </w:r>
    <w:r>
      <w:fldChar w:fldCharType="separate"/>
    </w:r>
    <w:r>
      <w:t>ST/SG/AC.10/C.4/2020/10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E678" w14:textId="77777777" w:rsidR="00F21765" w:rsidRDefault="00F21765" w:rsidP="00F2176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82339B"/>
    <w:multiLevelType w:val="hybridMultilevel"/>
    <w:tmpl w:val="2D7449BC"/>
    <w:lvl w:ilvl="0" w:tplc="724E8E96">
      <w:start w:val="1"/>
      <w:numFmt w:val="lowerRoman"/>
      <w:lvlText w:val="(%1)"/>
      <w:lvlJc w:val="left"/>
      <w:pPr>
        <w:ind w:left="2214" w:hanging="720"/>
      </w:pPr>
    </w:lvl>
    <w:lvl w:ilvl="1" w:tplc="04090019">
      <w:start w:val="1"/>
      <w:numFmt w:val="lowerLetter"/>
      <w:lvlText w:val="%2)"/>
      <w:lvlJc w:val="left"/>
      <w:pPr>
        <w:ind w:left="2334" w:hanging="420"/>
      </w:pPr>
    </w:lvl>
    <w:lvl w:ilvl="2" w:tplc="0409001B">
      <w:start w:val="1"/>
      <w:numFmt w:val="lowerRoman"/>
      <w:lvlText w:val="%3."/>
      <w:lvlJc w:val="right"/>
      <w:pPr>
        <w:ind w:left="2754" w:hanging="420"/>
      </w:pPr>
    </w:lvl>
    <w:lvl w:ilvl="3" w:tplc="0409000F">
      <w:start w:val="1"/>
      <w:numFmt w:val="decimal"/>
      <w:lvlText w:val="%4."/>
      <w:lvlJc w:val="left"/>
      <w:pPr>
        <w:ind w:left="3174" w:hanging="420"/>
      </w:pPr>
    </w:lvl>
    <w:lvl w:ilvl="4" w:tplc="04090019">
      <w:start w:val="1"/>
      <w:numFmt w:val="lowerLetter"/>
      <w:lvlText w:val="%5)"/>
      <w:lvlJc w:val="left"/>
      <w:pPr>
        <w:ind w:left="3594" w:hanging="420"/>
      </w:pPr>
    </w:lvl>
    <w:lvl w:ilvl="5" w:tplc="0409001B">
      <w:start w:val="1"/>
      <w:numFmt w:val="lowerRoman"/>
      <w:lvlText w:val="%6."/>
      <w:lvlJc w:val="right"/>
      <w:pPr>
        <w:ind w:left="4014" w:hanging="420"/>
      </w:pPr>
    </w:lvl>
    <w:lvl w:ilvl="6" w:tplc="0409000F">
      <w:start w:val="1"/>
      <w:numFmt w:val="decimal"/>
      <w:lvlText w:val="%7."/>
      <w:lvlJc w:val="left"/>
      <w:pPr>
        <w:ind w:left="4434" w:hanging="420"/>
      </w:pPr>
    </w:lvl>
    <w:lvl w:ilvl="7" w:tplc="04090019">
      <w:start w:val="1"/>
      <w:numFmt w:val="lowerLetter"/>
      <w:lvlText w:val="%8)"/>
      <w:lvlJc w:val="left"/>
      <w:pPr>
        <w:ind w:left="4854" w:hanging="420"/>
      </w:pPr>
    </w:lvl>
    <w:lvl w:ilvl="8" w:tplc="0409001B">
      <w:start w:val="1"/>
      <w:numFmt w:val="lowerRoman"/>
      <w:lvlText w:val="%9."/>
      <w:lvlJc w:val="right"/>
      <w:pPr>
        <w:ind w:left="5274" w:hanging="420"/>
      </w:pPr>
    </w:lvl>
  </w:abstractNum>
  <w:abstractNum w:abstractNumId="5" w15:restartNumberingAfterBreak="0">
    <w:nsid w:val="1DD7768F"/>
    <w:multiLevelType w:val="multilevel"/>
    <w:tmpl w:val="41DE769E"/>
    <w:lvl w:ilvl="0">
      <w:start w:val="1"/>
      <w:numFmt w:val="lowerLetter"/>
      <w:lvlText w:val="(%1)"/>
      <w:lvlJc w:val="left"/>
      <w:pPr>
        <w:ind w:left="1554"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lowerLetter"/>
      <w:lvlText w:val="(%7)"/>
      <w:lvlJc w:val="left"/>
      <w:pPr>
        <w:ind w:left="3005" w:hanging="485"/>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D87C46"/>
    <w:multiLevelType w:val="hybridMultilevel"/>
    <w:tmpl w:val="A560E330"/>
    <w:lvl w:ilvl="0" w:tplc="0B3C544C">
      <w:start w:val="1"/>
      <w:numFmt w:val="lowerLetter"/>
      <w:lvlText w:val="(%1)"/>
      <w:lvlJc w:val="left"/>
      <w:pPr>
        <w:ind w:left="1554"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DD1BDA"/>
    <w:multiLevelType w:val="hybridMultilevel"/>
    <w:tmpl w:val="759A3292"/>
    <w:lvl w:ilvl="0" w:tplc="57FE19A6">
      <w:start w:val="1"/>
      <w:numFmt w:val="lowerRoman"/>
      <w:lvlText w:val="(%1)"/>
      <w:lvlJc w:val="left"/>
      <w:pPr>
        <w:ind w:left="2274" w:hanging="720"/>
      </w:pPr>
    </w:lvl>
    <w:lvl w:ilvl="1" w:tplc="04090019">
      <w:start w:val="1"/>
      <w:numFmt w:val="lowerLetter"/>
      <w:lvlText w:val="%2)"/>
      <w:lvlJc w:val="left"/>
      <w:pPr>
        <w:ind w:left="2394" w:hanging="420"/>
      </w:pPr>
    </w:lvl>
    <w:lvl w:ilvl="2" w:tplc="0409001B">
      <w:start w:val="1"/>
      <w:numFmt w:val="lowerRoman"/>
      <w:lvlText w:val="%3."/>
      <w:lvlJc w:val="right"/>
      <w:pPr>
        <w:ind w:left="2814" w:hanging="420"/>
      </w:pPr>
    </w:lvl>
    <w:lvl w:ilvl="3" w:tplc="0409000F">
      <w:start w:val="1"/>
      <w:numFmt w:val="decimal"/>
      <w:lvlText w:val="%4."/>
      <w:lvlJc w:val="left"/>
      <w:pPr>
        <w:ind w:left="3234" w:hanging="420"/>
      </w:pPr>
    </w:lvl>
    <w:lvl w:ilvl="4" w:tplc="04090019">
      <w:start w:val="1"/>
      <w:numFmt w:val="lowerLetter"/>
      <w:lvlText w:val="%5)"/>
      <w:lvlJc w:val="left"/>
      <w:pPr>
        <w:ind w:left="3654" w:hanging="420"/>
      </w:pPr>
    </w:lvl>
    <w:lvl w:ilvl="5" w:tplc="0409001B">
      <w:start w:val="1"/>
      <w:numFmt w:val="lowerRoman"/>
      <w:lvlText w:val="%6."/>
      <w:lvlJc w:val="right"/>
      <w:pPr>
        <w:ind w:left="4074" w:hanging="420"/>
      </w:pPr>
    </w:lvl>
    <w:lvl w:ilvl="6" w:tplc="0409000F">
      <w:start w:val="1"/>
      <w:numFmt w:val="decimal"/>
      <w:lvlText w:val="%7."/>
      <w:lvlJc w:val="left"/>
      <w:pPr>
        <w:ind w:left="4494" w:hanging="420"/>
      </w:pPr>
    </w:lvl>
    <w:lvl w:ilvl="7" w:tplc="04090019">
      <w:start w:val="1"/>
      <w:numFmt w:val="lowerLetter"/>
      <w:lvlText w:val="%8)"/>
      <w:lvlJc w:val="left"/>
      <w:pPr>
        <w:ind w:left="4914" w:hanging="420"/>
      </w:pPr>
    </w:lvl>
    <w:lvl w:ilvl="8" w:tplc="0409001B">
      <w:start w:val="1"/>
      <w:numFmt w:val="lowerRoman"/>
      <w:lvlText w:val="%9."/>
      <w:lvlJc w:val="right"/>
      <w:pPr>
        <w:ind w:left="5334" w:hanging="420"/>
      </w:pPr>
    </w:lvl>
  </w:abstractNum>
  <w:abstractNum w:abstractNumId="10" w15:restartNumberingAfterBreak="0">
    <w:nsid w:val="4BE010AB"/>
    <w:multiLevelType w:val="hybridMultilevel"/>
    <w:tmpl w:val="B546EA14"/>
    <w:lvl w:ilvl="0" w:tplc="02A6DC62">
      <w:start w:val="1"/>
      <w:numFmt w:val="lowerLetter"/>
      <w:lvlText w:val="(%1)"/>
      <w:lvlJc w:val="left"/>
      <w:pPr>
        <w:ind w:left="1494" w:hanging="360"/>
      </w:p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start w:val="1"/>
      <w:numFmt w:val="lowerRoman"/>
      <w:lvlText w:val="%6."/>
      <w:lvlJc w:val="right"/>
      <w:pPr>
        <w:ind w:left="3654" w:hanging="420"/>
      </w:pPr>
    </w:lvl>
    <w:lvl w:ilvl="6" w:tplc="0409000F">
      <w:start w:val="1"/>
      <w:numFmt w:val="decimal"/>
      <w:lvlText w:val="%7."/>
      <w:lvlJc w:val="left"/>
      <w:pPr>
        <w:ind w:left="4074" w:hanging="420"/>
      </w:pPr>
    </w:lvl>
    <w:lvl w:ilvl="7" w:tplc="04090019">
      <w:start w:val="1"/>
      <w:numFmt w:val="lowerLetter"/>
      <w:lvlText w:val="%8)"/>
      <w:lvlJc w:val="left"/>
      <w:pPr>
        <w:ind w:left="4494" w:hanging="420"/>
      </w:pPr>
    </w:lvl>
    <w:lvl w:ilvl="8" w:tplc="0409001B">
      <w:start w:val="1"/>
      <w:numFmt w:val="lowerRoman"/>
      <w:lvlText w:val="%9."/>
      <w:lvlJc w:val="right"/>
      <w:pPr>
        <w:ind w:left="4914" w:hanging="42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6"/>
  </w:num>
  <w:num w:numId="3">
    <w:abstractNumId w:val="0"/>
  </w:num>
  <w:num w:numId="4">
    <w:abstractNumId w:val="11"/>
  </w:num>
  <w:num w:numId="5">
    <w:abstractNumId w:val="12"/>
  </w:num>
  <w:num w:numId="6">
    <w:abstractNumId w:val="14"/>
  </w:num>
  <w:num w:numId="7">
    <w:abstractNumId w:val="3"/>
  </w:num>
  <w:num w:numId="8">
    <w:abstractNumId w:val="1"/>
  </w:num>
  <w:num w:numId="9">
    <w:abstractNumId w:val="13"/>
  </w:num>
  <w:num w:numId="10">
    <w:abstractNumId w:val="1"/>
  </w:num>
  <w:num w:numId="11">
    <w:abstractNumId w:val="13"/>
  </w:num>
  <w:num w:numId="12">
    <w:abstractNumId w:val="2"/>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E3"/>
    <w:rsid w:val="00046E92"/>
    <w:rsid w:val="00063C90"/>
    <w:rsid w:val="00101B98"/>
    <w:rsid w:val="001514D1"/>
    <w:rsid w:val="00247E2C"/>
    <w:rsid w:val="002A32CB"/>
    <w:rsid w:val="002D5B2C"/>
    <w:rsid w:val="002D6C53"/>
    <w:rsid w:val="002F5595"/>
    <w:rsid w:val="00334F6A"/>
    <w:rsid w:val="00342AC8"/>
    <w:rsid w:val="00343302"/>
    <w:rsid w:val="003979DE"/>
    <w:rsid w:val="003B4550"/>
    <w:rsid w:val="003D2A18"/>
    <w:rsid w:val="00413386"/>
    <w:rsid w:val="00437FE3"/>
    <w:rsid w:val="00461253"/>
    <w:rsid w:val="004858F5"/>
    <w:rsid w:val="004A2814"/>
    <w:rsid w:val="004C0622"/>
    <w:rsid w:val="005042C2"/>
    <w:rsid w:val="005E716E"/>
    <w:rsid w:val="00632AA6"/>
    <w:rsid w:val="006476E1"/>
    <w:rsid w:val="006604DF"/>
    <w:rsid w:val="00670390"/>
    <w:rsid w:val="00671529"/>
    <w:rsid w:val="0070489D"/>
    <w:rsid w:val="007268F9"/>
    <w:rsid w:val="00750282"/>
    <w:rsid w:val="00764440"/>
    <w:rsid w:val="0077101B"/>
    <w:rsid w:val="007C52B0"/>
    <w:rsid w:val="007C6033"/>
    <w:rsid w:val="008147C8"/>
    <w:rsid w:val="0081753A"/>
    <w:rsid w:val="00854C19"/>
    <w:rsid w:val="00857D23"/>
    <w:rsid w:val="009411B4"/>
    <w:rsid w:val="00946F1D"/>
    <w:rsid w:val="00967CCD"/>
    <w:rsid w:val="00975022"/>
    <w:rsid w:val="009D0139"/>
    <w:rsid w:val="009D717D"/>
    <w:rsid w:val="009E1199"/>
    <w:rsid w:val="009F5CDC"/>
    <w:rsid w:val="00A072D7"/>
    <w:rsid w:val="00A775CF"/>
    <w:rsid w:val="00AD1A9C"/>
    <w:rsid w:val="00AF5DE1"/>
    <w:rsid w:val="00B06045"/>
    <w:rsid w:val="00B206DD"/>
    <w:rsid w:val="00B52EF4"/>
    <w:rsid w:val="00B777AD"/>
    <w:rsid w:val="00C03015"/>
    <w:rsid w:val="00C0358D"/>
    <w:rsid w:val="00C167D6"/>
    <w:rsid w:val="00C35A27"/>
    <w:rsid w:val="00C47B2E"/>
    <w:rsid w:val="00C6017F"/>
    <w:rsid w:val="00D4685A"/>
    <w:rsid w:val="00D63CD2"/>
    <w:rsid w:val="00D87DC2"/>
    <w:rsid w:val="00D94B05"/>
    <w:rsid w:val="00E02C2B"/>
    <w:rsid w:val="00E21C27"/>
    <w:rsid w:val="00E26BCF"/>
    <w:rsid w:val="00E52109"/>
    <w:rsid w:val="00E75317"/>
    <w:rsid w:val="00E9588B"/>
    <w:rsid w:val="00EC0CE6"/>
    <w:rsid w:val="00EC7C1D"/>
    <w:rsid w:val="00ED6C48"/>
    <w:rsid w:val="00EE3045"/>
    <w:rsid w:val="00F21765"/>
    <w:rsid w:val="00F476CA"/>
    <w:rsid w:val="00F65F5D"/>
    <w:rsid w:val="00F86A3A"/>
    <w:rsid w:val="00FF1C7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F1E193"/>
  <w15:docId w15:val="{C8DFF285-7E3B-46DB-B546-88226C4C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C167D6"/>
    <w:rPr>
      <w:b/>
      <w:sz w:val="28"/>
    </w:rPr>
  </w:style>
  <w:style w:type="character" w:customStyle="1" w:styleId="H1GChar">
    <w:name w:val="_ H_1_G Char"/>
    <w:link w:val="H1G"/>
    <w:locked/>
    <w:rsid w:val="00C167D6"/>
    <w:rPr>
      <w:b/>
      <w:sz w:val="24"/>
    </w:rPr>
  </w:style>
  <w:style w:type="character" w:styleId="CommentReference">
    <w:name w:val="annotation reference"/>
    <w:basedOn w:val="DefaultParagraphFont"/>
    <w:semiHidden/>
    <w:unhideWhenUsed/>
    <w:rsid w:val="00C167D6"/>
    <w:rPr>
      <w:sz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2593">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948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FACE-6EA7-4598-B3F9-6007F2FA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TotalTime>
  <Pages>3</Pages>
  <Words>1236</Words>
  <Characters>7047</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ST/SG/AC.10/C.3/2020/33</vt: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ST/SG/AC.10/C.3/2020/33</dc:title>
  <dc:subject/>
  <dc:creator>Editorial</dc:creator>
  <cp:keywords>ST/SG/AC.10/C.4/2020/10</cp:keywords>
  <cp:lastModifiedBy>Laurence Berthet</cp:lastModifiedBy>
  <cp:revision>3</cp:revision>
  <cp:lastPrinted>2020-04-14T11:49:00Z</cp:lastPrinted>
  <dcterms:created xsi:type="dcterms:W3CDTF">2020-04-14T11:49:00Z</dcterms:created>
  <dcterms:modified xsi:type="dcterms:W3CDTF">2020-04-14T11:50:00Z</dcterms:modified>
</cp:coreProperties>
</file>