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546C4F50" w14:textId="77777777" w:rsidTr="00F01738">
        <w:trPr>
          <w:trHeight w:hRule="exact" w:val="851"/>
        </w:trPr>
        <w:tc>
          <w:tcPr>
            <w:tcW w:w="1276" w:type="dxa"/>
            <w:tcBorders>
              <w:bottom w:val="single" w:sz="4" w:space="0" w:color="auto"/>
            </w:tcBorders>
          </w:tcPr>
          <w:p w14:paraId="76A9205B" w14:textId="77777777" w:rsidR="00132EA9" w:rsidRPr="00DB58B5" w:rsidRDefault="00132EA9" w:rsidP="007D058A">
            <w:bookmarkStart w:id="0" w:name="_GoBack"/>
            <w:bookmarkEnd w:id="0"/>
          </w:p>
        </w:tc>
        <w:tc>
          <w:tcPr>
            <w:tcW w:w="2268" w:type="dxa"/>
            <w:tcBorders>
              <w:bottom w:val="single" w:sz="4" w:space="0" w:color="auto"/>
            </w:tcBorders>
            <w:vAlign w:val="bottom"/>
          </w:tcPr>
          <w:p w14:paraId="514B3852"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DBC85F8" w14:textId="77777777" w:rsidR="00132EA9" w:rsidRPr="00DB58B5" w:rsidRDefault="007D058A" w:rsidP="007D058A">
            <w:pPr>
              <w:jc w:val="right"/>
            </w:pPr>
            <w:r w:rsidRPr="007D058A">
              <w:rPr>
                <w:sz w:val="40"/>
              </w:rPr>
              <w:t>ST</w:t>
            </w:r>
            <w:r>
              <w:t>/SG/AC.10/C.4/2020/6</w:t>
            </w:r>
          </w:p>
        </w:tc>
      </w:tr>
      <w:tr w:rsidR="00132EA9" w:rsidRPr="00DB58B5" w14:paraId="75F13CC7" w14:textId="77777777" w:rsidTr="00F01738">
        <w:trPr>
          <w:trHeight w:hRule="exact" w:val="2835"/>
        </w:trPr>
        <w:tc>
          <w:tcPr>
            <w:tcW w:w="1276" w:type="dxa"/>
            <w:tcBorders>
              <w:top w:val="single" w:sz="4" w:space="0" w:color="auto"/>
              <w:bottom w:val="single" w:sz="12" w:space="0" w:color="auto"/>
            </w:tcBorders>
          </w:tcPr>
          <w:p w14:paraId="5A2B9032" w14:textId="77777777" w:rsidR="00132EA9" w:rsidRPr="00DB58B5" w:rsidRDefault="00132EA9" w:rsidP="00F01738">
            <w:pPr>
              <w:spacing w:before="120"/>
              <w:jc w:val="center"/>
            </w:pPr>
            <w:r>
              <w:rPr>
                <w:noProof/>
                <w:lang w:eastAsia="fr-CH"/>
              </w:rPr>
              <w:drawing>
                <wp:inline distT="0" distB="0" distL="0" distR="0" wp14:anchorId="5D31535B" wp14:editId="4857C2B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447A9BA"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5C471D0F" w14:textId="77777777" w:rsidR="00132EA9" w:rsidRDefault="007D058A" w:rsidP="00F01738">
            <w:pPr>
              <w:spacing w:before="240"/>
            </w:pPr>
            <w:r>
              <w:t>Distr. générale</w:t>
            </w:r>
          </w:p>
          <w:p w14:paraId="2F32B625" w14:textId="77777777" w:rsidR="007D058A" w:rsidRDefault="007D058A" w:rsidP="007D058A">
            <w:pPr>
              <w:spacing w:line="240" w:lineRule="exact"/>
            </w:pPr>
            <w:r>
              <w:t>2 avril 2020</w:t>
            </w:r>
          </w:p>
          <w:p w14:paraId="47828048" w14:textId="77777777" w:rsidR="007D058A" w:rsidRDefault="007D058A" w:rsidP="007D058A">
            <w:pPr>
              <w:spacing w:line="240" w:lineRule="exact"/>
            </w:pPr>
            <w:r>
              <w:t>Français</w:t>
            </w:r>
          </w:p>
          <w:p w14:paraId="74803800" w14:textId="77777777" w:rsidR="007D058A" w:rsidRPr="00DB58B5" w:rsidRDefault="007D058A" w:rsidP="007D058A">
            <w:pPr>
              <w:spacing w:line="240" w:lineRule="exact"/>
            </w:pPr>
            <w:r>
              <w:t>Original : anglais</w:t>
            </w:r>
          </w:p>
        </w:tc>
      </w:tr>
    </w:tbl>
    <w:p w14:paraId="42B583F9" w14:textId="77777777" w:rsidR="007D058A" w:rsidRPr="007D3028" w:rsidRDefault="007D058A" w:rsidP="007D3028">
      <w:pPr>
        <w:spacing w:before="120"/>
        <w:rPr>
          <w:b/>
          <w:sz w:val="24"/>
          <w:szCs w:val="24"/>
        </w:rPr>
      </w:pPr>
      <w:r w:rsidRPr="007D3028">
        <w:rPr>
          <w:b/>
          <w:bCs/>
          <w:sz w:val="24"/>
          <w:szCs w:val="24"/>
          <w:lang w:val="fr-FR"/>
        </w:rPr>
        <w:t xml:space="preserve">Comité d’experts du transport des marchandises dangereuses </w:t>
      </w:r>
      <w:r w:rsidR="007D3028">
        <w:rPr>
          <w:b/>
          <w:bCs/>
          <w:sz w:val="24"/>
          <w:szCs w:val="24"/>
          <w:lang w:val="fr-FR"/>
        </w:rPr>
        <w:br/>
      </w:r>
      <w:r w:rsidRPr="007D3028">
        <w:rPr>
          <w:b/>
          <w:bCs/>
          <w:sz w:val="24"/>
          <w:szCs w:val="24"/>
          <w:lang w:val="fr-FR"/>
        </w:rPr>
        <w:t xml:space="preserve">et du Système général harmonisé de classification </w:t>
      </w:r>
      <w:r w:rsidR="007D3028">
        <w:rPr>
          <w:b/>
          <w:bCs/>
          <w:sz w:val="24"/>
          <w:szCs w:val="24"/>
          <w:lang w:val="fr-FR"/>
        </w:rPr>
        <w:br/>
      </w:r>
      <w:r w:rsidRPr="007D3028">
        <w:rPr>
          <w:b/>
          <w:bCs/>
          <w:sz w:val="24"/>
          <w:szCs w:val="24"/>
          <w:lang w:val="fr-FR"/>
        </w:rPr>
        <w:t>et d’étiquetage des produits chimiques</w:t>
      </w:r>
    </w:p>
    <w:p w14:paraId="4894ADAA" w14:textId="77777777" w:rsidR="007D058A" w:rsidRPr="007D3028" w:rsidRDefault="007D058A" w:rsidP="007D3028">
      <w:pPr>
        <w:spacing w:before="120"/>
        <w:rPr>
          <w:b/>
          <w:color w:val="000000"/>
        </w:rPr>
      </w:pPr>
      <w:r w:rsidRPr="007D3028">
        <w:rPr>
          <w:b/>
          <w:bCs/>
          <w:lang w:val="fr-FR"/>
        </w:rPr>
        <w:t xml:space="preserve">Sous-Comité d’experts du Système général harmonisé de classification </w:t>
      </w:r>
      <w:r w:rsidR="007D3028">
        <w:rPr>
          <w:b/>
          <w:bCs/>
          <w:lang w:val="fr-FR"/>
        </w:rPr>
        <w:br/>
      </w:r>
      <w:r w:rsidRPr="007D3028">
        <w:rPr>
          <w:b/>
          <w:bCs/>
          <w:lang w:val="fr-FR"/>
        </w:rPr>
        <w:t>et d’étiquetage des produits chimiques</w:t>
      </w:r>
    </w:p>
    <w:p w14:paraId="0AD7342B" w14:textId="77777777" w:rsidR="007D058A" w:rsidRPr="007D3028" w:rsidRDefault="007D058A" w:rsidP="007D3028">
      <w:pPr>
        <w:spacing w:before="120"/>
        <w:rPr>
          <w:b/>
        </w:rPr>
      </w:pPr>
      <w:r w:rsidRPr="007D3028">
        <w:rPr>
          <w:b/>
          <w:bCs/>
          <w:lang w:val="fr-FR"/>
        </w:rPr>
        <w:t>Trente-neuvième session</w:t>
      </w:r>
    </w:p>
    <w:p w14:paraId="7CF90E30" w14:textId="77777777" w:rsidR="007D058A" w:rsidRPr="007D3028" w:rsidRDefault="007D058A" w:rsidP="007D058A">
      <w:r w:rsidRPr="007D3028">
        <w:rPr>
          <w:lang w:val="fr-FR"/>
        </w:rPr>
        <w:t xml:space="preserve">Genève, 8-10 juillet 2020 </w:t>
      </w:r>
    </w:p>
    <w:p w14:paraId="79A24CF5" w14:textId="77777777" w:rsidR="007D058A" w:rsidRPr="007D3028" w:rsidRDefault="007D058A" w:rsidP="007D058A">
      <w:r w:rsidRPr="007D3028">
        <w:rPr>
          <w:lang w:val="fr-FR"/>
        </w:rPr>
        <w:t>Point 2 i) de l’ordre du jour provisoire</w:t>
      </w:r>
    </w:p>
    <w:p w14:paraId="626F4737" w14:textId="77777777" w:rsidR="007D058A" w:rsidRPr="007D3028" w:rsidRDefault="007D058A" w:rsidP="007D058A">
      <w:pPr>
        <w:rPr>
          <w:b/>
          <w:bCs/>
        </w:rPr>
      </w:pPr>
      <w:r w:rsidRPr="007D3028">
        <w:rPr>
          <w:b/>
          <w:bCs/>
          <w:lang w:val="fr-FR"/>
        </w:rPr>
        <w:t xml:space="preserve">Critères de classification et communication des dangers </w:t>
      </w:r>
      <w:r w:rsidR="007D3028">
        <w:rPr>
          <w:b/>
          <w:bCs/>
          <w:lang w:val="fr-FR"/>
        </w:rPr>
        <w:br/>
      </w:r>
      <w:r w:rsidRPr="007D3028">
        <w:rPr>
          <w:b/>
          <w:bCs/>
          <w:lang w:val="fr-FR"/>
        </w:rPr>
        <w:t>y relatifs : Autres questions</w:t>
      </w:r>
    </w:p>
    <w:p w14:paraId="620BFEB1" w14:textId="77777777" w:rsidR="007D058A" w:rsidRPr="007D3028" w:rsidRDefault="007D058A" w:rsidP="007D3028">
      <w:pPr>
        <w:pStyle w:val="HChG"/>
      </w:pPr>
      <w:r w:rsidRPr="007D3028">
        <w:rPr>
          <w:lang w:val="fr-FR"/>
        </w:rPr>
        <w:tab/>
      </w:r>
      <w:r w:rsidRPr="007D3028">
        <w:rPr>
          <w:lang w:val="fr-FR"/>
        </w:rPr>
        <w:tab/>
        <w:t>Étiquetage pour le milieu de travail</w:t>
      </w:r>
      <w:r w:rsidR="007D3028">
        <w:rPr>
          <w:lang w:val="fr-FR"/>
        </w:rPr>
        <w:t> </w:t>
      </w:r>
      <w:r w:rsidRPr="007D3028">
        <w:rPr>
          <w:lang w:val="fr-FR"/>
        </w:rPr>
        <w:t xml:space="preserve">: éclaircissements </w:t>
      </w:r>
      <w:r w:rsidR="007D3028">
        <w:rPr>
          <w:lang w:val="fr-FR"/>
        </w:rPr>
        <w:br/>
      </w:r>
      <w:r w:rsidRPr="007D3028">
        <w:rPr>
          <w:lang w:val="fr-FR"/>
        </w:rPr>
        <w:t>à apporter au 1.4.10.5.5.1</w:t>
      </w:r>
    </w:p>
    <w:p w14:paraId="0136B3DB" w14:textId="77777777" w:rsidR="007D058A" w:rsidRPr="007D3028" w:rsidRDefault="007D058A" w:rsidP="007D3028">
      <w:pPr>
        <w:pStyle w:val="H1G"/>
      </w:pPr>
      <w:r w:rsidRPr="007D3028">
        <w:rPr>
          <w:lang w:val="fr-FR"/>
        </w:rPr>
        <w:tab/>
      </w:r>
      <w:r w:rsidRPr="007D3028">
        <w:rPr>
          <w:lang w:val="fr-FR"/>
        </w:rPr>
        <w:tab/>
        <w:t>Note du secrétariat</w:t>
      </w:r>
      <w:r w:rsidR="007D3028" w:rsidRPr="007D3028">
        <w:rPr>
          <w:rStyle w:val="FootnoteReference"/>
          <w:b w:val="0"/>
          <w:sz w:val="20"/>
          <w:vertAlign w:val="baseline"/>
        </w:rPr>
        <w:footnoteReference w:customMarkFollows="1" w:id="2"/>
        <w:t>*</w:t>
      </w:r>
    </w:p>
    <w:p w14:paraId="2A9E8D16" w14:textId="77777777" w:rsidR="007D058A" w:rsidRPr="007D3028" w:rsidRDefault="007D058A" w:rsidP="007D3028">
      <w:pPr>
        <w:pStyle w:val="HChG"/>
      </w:pPr>
      <w:r w:rsidRPr="007D3028">
        <w:rPr>
          <w:lang w:val="fr-FR"/>
        </w:rPr>
        <w:tab/>
      </w:r>
      <w:r w:rsidRPr="007D3028">
        <w:rPr>
          <w:lang w:val="fr-FR"/>
        </w:rPr>
        <w:tab/>
        <w:t>Introduction</w:t>
      </w:r>
    </w:p>
    <w:p w14:paraId="1F974522" w14:textId="77777777" w:rsidR="007D058A" w:rsidRPr="007D3028" w:rsidRDefault="007D058A" w:rsidP="007D3028">
      <w:pPr>
        <w:pStyle w:val="SingleTxtG"/>
      </w:pPr>
      <w:r w:rsidRPr="007D3028">
        <w:rPr>
          <w:lang w:val="fr-FR"/>
        </w:rPr>
        <w:t>1.</w:t>
      </w:r>
      <w:r w:rsidRPr="007D3028">
        <w:rPr>
          <w:lang w:val="fr-FR"/>
        </w:rPr>
        <w:tab/>
        <w:t xml:space="preserve">Selon le 1.4.10.5.5.1, les produits chimiques relevant du champ d’application du SGH devraient porter l’étiquette SGH lorsqu’ils sont disponibles sur le lieu de travail, et l’étiquette SGH ou ses éléments devraient être maintenus sur les récipients fournis et utilisés sur le lieu de travail. </w:t>
      </w:r>
    </w:p>
    <w:p w14:paraId="0943FAEA" w14:textId="77777777" w:rsidR="007D058A" w:rsidRPr="007D3028" w:rsidRDefault="007D058A" w:rsidP="007D3028">
      <w:pPr>
        <w:pStyle w:val="SingleTxtG"/>
      </w:pPr>
      <w:r w:rsidRPr="007D3028">
        <w:rPr>
          <w:lang w:val="fr-FR"/>
        </w:rPr>
        <w:t>2.</w:t>
      </w:r>
      <w:r w:rsidRPr="007D3028">
        <w:rPr>
          <w:lang w:val="fr-FR"/>
        </w:rPr>
        <w:tab/>
        <w:t xml:space="preserve">Il est cependant reconnu que dans beaucoup de cas, il est parfois difficile de préparer une étiquette SGH qui comporte tous les éléments d’information requis, puis de l’apposer sur un récipient sur le lieu de travail du fait, par exemple, de ses petites dimensions, ou de l’impossibilité d’accéder à la cuve d’un procédé. C’est le cas, par exemple, des produits chimiques qui doivent être transvasés du récipient du fournisseur dans de plus petits récipients, dans des cuves de stockage, des canalisations ou systèmes de réaction ou dans des récipients temporaires. </w:t>
      </w:r>
    </w:p>
    <w:p w14:paraId="0FFD9EC4" w14:textId="77777777" w:rsidR="007D058A" w:rsidRPr="007D3028" w:rsidRDefault="007D058A" w:rsidP="007D3028">
      <w:pPr>
        <w:pStyle w:val="SingleTxtG"/>
      </w:pPr>
      <w:r w:rsidRPr="007D3028">
        <w:rPr>
          <w:lang w:val="fr-FR"/>
        </w:rPr>
        <w:t>3.</w:t>
      </w:r>
      <w:r w:rsidRPr="007D3028">
        <w:rPr>
          <w:lang w:val="fr-FR"/>
        </w:rPr>
        <w:tab/>
        <w:t>Pour les produits chimiques transvasés, la dernière phrase du troisième paragraphe du 1.4.10.5.5.1 énonce ce qui suit : « Les étiquettes sur les récipients contenant des produits chimiques transvasés pour une utilisation immédiate pourraient se limiter à ne dispenser que les éléments d’information principaux, et référence serait faite à une information plus complète donnée par l’étiquette et la FDS du fournisseur</w:t>
      </w:r>
      <w:r w:rsidR="007D3028">
        <w:rPr>
          <w:lang w:val="fr-FR"/>
        </w:rPr>
        <w:t>.</w:t>
      </w:r>
      <w:r w:rsidRPr="007D3028">
        <w:t> »</w:t>
      </w:r>
      <w:r w:rsidRPr="007D3028">
        <w:rPr>
          <w:lang w:val="fr-FR"/>
        </w:rPr>
        <w:t>. Le secrétariat a été sollicité pour clarifier l’interprétation à donner à l’expression « </w:t>
      </w:r>
      <w:r w:rsidRPr="007D3028">
        <w:rPr>
          <w:i/>
          <w:lang w:val="fr-FR"/>
        </w:rPr>
        <w:t>main components</w:t>
      </w:r>
      <w:r w:rsidRPr="007D3028">
        <w:rPr>
          <w:lang w:val="fr-FR"/>
        </w:rPr>
        <w:t> » (« éléments d’information principaux ») dans ce contexte, dans la mesure où « </w:t>
      </w:r>
      <w:r w:rsidRPr="007D3028">
        <w:rPr>
          <w:i/>
          <w:lang w:val="fr-FR"/>
        </w:rPr>
        <w:t>components</w:t>
      </w:r>
      <w:r w:rsidRPr="007D3028">
        <w:rPr>
          <w:lang w:val="fr-FR"/>
        </w:rPr>
        <w:t xml:space="preserve"> » pourrait renvoyer aux éléments d’étiquetage ou aux ingrédients du mélange. </w:t>
      </w:r>
    </w:p>
    <w:p w14:paraId="0FC0866E" w14:textId="77777777" w:rsidR="007D058A" w:rsidRPr="007D3028" w:rsidRDefault="007D058A" w:rsidP="007D3028">
      <w:pPr>
        <w:pStyle w:val="SingleTxtG"/>
      </w:pPr>
      <w:r w:rsidRPr="007D3028">
        <w:rPr>
          <w:lang w:val="fr-FR"/>
        </w:rPr>
        <w:lastRenderedPageBreak/>
        <w:t>4.</w:t>
      </w:r>
      <w:r w:rsidRPr="007D3028">
        <w:rPr>
          <w:lang w:val="fr-FR"/>
        </w:rPr>
        <w:tab/>
        <w:t>S’il devait être confirmé que les « </w:t>
      </w:r>
      <w:r w:rsidRPr="007D3028">
        <w:rPr>
          <w:i/>
          <w:lang w:val="fr-FR"/>
        </w:rPr>
        <w:t>main components</w:t>
      </w:r>
      <w:r w:rsidRPr="007D3028">
        <w:rPr>
          <w:lang w:val="fr-FR"/>
        </w:rPr>
        <w:t> » renvoient, dans le contexte du 1.4.10.5.5.1, à l’étiquette, le secrétariat souhaiterait inviter le Sous-Comité à préciser également s’il s’agit uniquement des éléments d’étiquetage harmonisé (tels que définis dans le chapitre</w:t>
      </w:r>
      <w:r w:rsidR="007D3028">
        <w:rPr>
          <w:lang w:val="fr-FR"/>
        </w:rPr>
        <w:t> </w:t>
      </w:r>
      <w:r w:rsidRPr="007D3028">
        <w:rPr>
          <w:lang w:val="fr-FR"/>
        </w:rPr>
        <w:t>1.2 et au 1.4.6.2) ou si d’autres éléments d’étiquetage non harmonisés tels que les conseils de prudence ou les informations supplémentaires sont également visés.</w:t>
      </w:r>
    </w:p>
    <w:p w14:paraId="67F1F526" w14:textId="77777777" w:rsidR="007D058A" w:rsidRPr="007D3028" w:rsidRDefault="007D058A" w:rsidP="007D3028">
      <w:pPr>
        <w:pStyle w:val="SingleTxtG"/>
      </w:pPr>
      <w:r w:rsidRPr="007D3028">
        <w:rPr>
          <w:lang w:val="fr-FR"/>
        </w:rPr>
        <w:t>5.</w:t>
      </w:r>
      <w:r w:rsidRPr="007D3028">
        <w:rPr>
          <w:lang w:val="fr-FR"/>
        </w:rPr>
        <w:tab/>
        <w:t>Une fois les éclaircissements apportés, le Sous-Comité souhaitera peut-être envisager les options ci-après.</w:t>
      </w:r>
    </w:p>
    <w:p w14:paraId="4856AA6D" w14:textId="77777777" w:rsidR="007D058A" w:rsidRPr="007D3028" w:rsidRDefault="007D058A" w:rsidP="007D3028">
      <w:pPr>
        <w:pStyle w:val="HChG"/>
      </w:pPr>
      <w:r w:rsidRPr="007D3028">
        <w:rPr>
          <w:lang w:val="fr-FR"/>
        </w:rPr>
        <w:tab/>
      </w:r>
      <w:r w:rsidRPr="007D3028">
        <w:rPr>
          <w:lang w:val="fr-FR"/>
        </w:rPr>
        <w:tab/>
        <w:t xml:space="preserve">Proposition </w:t>
      </w:r>
    </w:p>
    <w:p w14:paraId="3FD5043E" w14:textId="77777777" w:rsidR="007D058A" w:rsidRPr="007D3028" w:rsidRDefault="007D058A" w:rsidP="007D3028">
      <w:pPr>
        <w:pStyle w:val="H1G"/>
      </w:pPr>
      <w:r w:rsidRPr="007D3028">
        <w:rPr>
          <w:lang w:val="fr-FR"/>
        </w:rPr>
        <w:tab/>
      </w:r>
      <w:r w:rsidRPr="007D3028">
        <w:rPr>
          <w:lang w:val="fr-FR"/>
        </w:rPr>
        <w:tab/>
        <w:t>Option 1</w:t>
      </w:r>
    </w:p>
    <w:p w14:paraId="6A10A6E5" w14:textId="77777777" w:rsidR="007D058A" w:rsidRPr="007D3028" w:rsidRDefault="007D058A" w:rsidP="007D3028">
      <w:pPr>
        <w:pStyle w:val="SingleTxtG"/>
      </w:pPr>
      <w:r w:rsidRPr="007D3028">
        <w:rPr>
          <w:lang w:val="fr-FR"/>
        </w:rPr>
        <w:t>6.</w:t>
      </w:r>
      <w:r w:rsidRPr="007D3028">
        <w:rPr>
          <w:lang w:val="fr-FR"/>
        </w:rPr>
        <w:tab/>
        <w:t>Dans la dernière phrase du troisième paragraphe du 1.4.10.5.5.1, remplacer « </w:t>
      </w:r>
      <w:r w:rsidRPr="007D3028">
        <w:rPr>
          <w:i/>
          <w:lang w:val="fr-FR"/>
        </w:rPr>
        <w:t>could be labelled with the main components</w:t>
      </w:r>
      <w:r w:rsidRPr="007D3028">
        <w:rPr>
          <w:lang w:val="fr-FR"/>
        </w:rPr>
        <w:t> » (« pourraient se limiter à ne dispenser que les éléments d’information principaux ») par « </w:t>
      </w:r>
      <w:r w:rsidRPr="007D3028">
        <w:rPr>
          <w:i/>
          <w:lang w:val="fr-FR"/>
        </w:rPr>
        <w:t>could be labelled with the main label elements</w:t>
      </w:r>
      <w:r w:rsidRPr="007D3028">
        <w:rPr>
          <w:lang w:val="fr-FR"/>
        </w:rPr>
        <w:t xml:space="preserve"> » (« pourraient se limiter à ne dispenser que les éléments d’étiquetage principaux »). </w:t>
      </w:r>
    </w:p>
    <w:p w14:paraId="1BDFA05F" w14:textId="77777777" w:rsidR="007D058A" w:rsidRPr="007D3028" w:rsidRDefault="007D058A" w:rsidP="007D3028">
      <w:pPr>
        <w:pStyle w:val="H1G"/>
      </w:pPr>
      <w:r w:rsidRPr="007D3028">
        <w:rPr>
          <w:lang w:val="fr-FR"/>
        </w:rPr>
        <w:tab/>
      </w:r>
      <w:r w:rsidRPr="007D3028">
        <w:rPr>
          <w:lang w:val="fr-FR"/>
        </w:rPr>
        <w:tab/>
        <w:t>Option 2</w:t>
      </w:r>
    </w:p>
    <w:p w14:paraId="6D1815AE" w14:textId="77777777" w:rsidR="007D058A" w:rsidRDefault="007D058A" w:rsidP="007D3028">
      <w:pPr>
        <w:pStyle w:val="SingleTxtG"/>
        <w:rPr>
          <w:lang w:val="fr-FR"/>
        </w:rPr>
      </w:pPr>
      <w:r w:rsidRPr="007D3028">
        <w:rPr>
          <w:lang w:val="fr-FR"/>
        </w:rPr>
        <w:t>7.</w:t>
      </w:r>
      <w:r w:rsidRPr="007D3028">
        <w:rPr>
          <w:lang w:val="fr-FR"/>
        </w:rPr>
        <w:tab/>
        <w:t>Dans la dernière phrase du troisième paragraphe du 1.4.10.5.5.1, remplacer « </w:t>
      </w:r>
      <w:r w:rsidRPr="007D3028">
        <w:rPr>
          <w:i/>
          <w:lang w:val="fr-FR"/>
        </w:rPr>
        <w:t>could be labelled with the main components</w:t>
      </w:r>
      <w:r w:rsidRPr="007D3028">
        <w:rPr>
          <w:lang w:val="fr-FR"/>
        </w:rPr>
        <w:t> » (« pourraient se limiter à ne dispenser que les éléments d’information principaux ») par « </w:t>
      </w:r>
      <w:r w:rsidRPr="007D3028">
        <w:rPr>
          <w:i/>
          <w:lang w:val="fr-FR"/>
        </w:rPr>
        <w:t>could be labelled with the main label components</w:t>
      </w:r>
      <w:r w:rsidRPr="007D3028">
        <w:rPr>
          <w:lang w:val="fr-FR"/>
        </w:rPr>
        <w:t> » (« pourraient se limiter à ne dispenser que les éléments d’information principaux de l’étiquette</w:t>
      </w:r>
      <w:r w:rsidR="007D3028">
        <w:rPr>
          <w:lang w:val="fr-FR"/>
        </w:rPr>
        <w:t> </w:t>
      </w:r>
      <w:r w:rsidRPr="007D3028">
        <w:rPr>
          <w:lang w:val="fr-FR"/>
        </w:rPr>
        <w:t>»).</w:t>
      </w:r>
    </w:p>
    <w:p w14:paraId="5004A4C1" w14:textId="77777777" w:rsidR="007D3028" w:rsidRPr="007D3028" w:rsidRDefault="007D3028" w:rsidP="007D3028">
      <w:pPr>
        <w:pStyle w:val="SingleTxtG"/>
        <w:spacing w:before="240" w:after="0"/>
        <w:jc w:val="center"/>
        <w:rPr>
          <w:u w:val="single"/>
        </w:rPr>
      </w:pPr>
      <w:r>
        <w:rPr>
          <w:u w:val="single"/>
        </w:rPr>
        <w:tab/>
      </w:r>
      <w:r>
        <w:rPr>
          <w:u w:val="single"/>
        </w:rPr>
        <w:tab/>
      </w:r>
      <w:r>
        <w:rPr>
          <w:u w:val="single"/>
        </w:rPr>
        <w:tab/>
      </w:r>
    </w:p>
    <w:sectPr w:rsidR="007D3028" w:rsidRPr="007D3028" w:rsidSect="007D058A">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1D7E5" w14:textId="77777777" w:rsidR="001367C8" w:rsidRDefault="001367C8" w:rsidP="00F95C08">
      <w:pPr>
        <w:spacing w:line="240" w:lineRule="auto"/>
      </w:pPr>
    </w:p>
  </w:endnote>
  <w:endnote w:type="continuationSeparator" w:id="0">
    <w:p w14:paraId="45D6AD9B" w14:textId="77777777" w:rsidR="001367C8" w:rsidRPr="00AC3823" w:rsidRDefault="001367C8" w:rsidP="00AC3823">
      <w:pPr>
        <w:pStyle w:val="Footer"/>
      </w:pPr>
    </w:p>
  </w:endnote>
  <w:endnote w:type="continuationNotice" w:id="1">
    <w:p w14:paraId="3AF35F61" w14:textId="77777777" w:rsidR="001367C8" w:rsidRDefault="001367C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F573A" w14:textId="77777777" w:rsidR="007D058A" w:rsidRPr="007D058A" w:rsidRDefault="007D058A" w:rsidP="007D058A">
    <w:pPr>
      <w:pStyle w:val="Footer"/>
      <w:tabs>
        <w:tab w:val="right" w:pos="9638"/>
      </w:tabs>
    </w:pPr>
    <w:r w:rsidRPr="007D058A">
      <w:rPr>
        <w:b/>
        <w:sz w:val="18"/>
      </w:rPr>
      <w:fldChar w:fldCharType="begin"/>
    </w:r>
    <w:r w:rsidRPr="007D058A">
      <w:rPr>
        <w:b/>
        <w:sz w:val="18"/>
      </w:rPr>
      <w:instrText xml:space="preserve"> PAGE  \* MERGEFORMAT </w:instrText>
    </w:r>
    <w:r w:rsidRPr="007D058A">
      <w:rPr>
        <w:b/>
        <w:sz w:val="18"/>
      </w:rPr>
      <w:fldChar w:fldCharType="separate"/>
    </w:r>
    <w:r w:rsidRPr="007D058A">
      <w:rPr>
        <w:b/>
        <w:noProof/>
        <w:sz w:val="18"/>
      </w:rPr>
      <w:t>2</w:t>
    </w:r>
    <w:r w:rsidRPr="007D058A">
      <w:rPr>
        <w:b/>
        <w:sz w:val="18"/>
      </w:rPr>
      <w:fldChar w:fldCharType="end"/>
    </w:r>
    <w:r>
      <w:rPr>
        <w:b/>
        <w:sz w:val="18"/>
      </w:rPr>
      <w:tab/>
    </w:r>
    <w:r>
      <w:t>GE.20-05090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76732" w14:textId="77777777" w:rsidR="007D058A" w:rsidRPr="007D058A" w:rsidRDefault="007D058A" w:rsidP="007D058A">
    <w:pPr>
      <w:pStyle w:val="Footer"/>
      <w:tabs>
        <w:tab w:val="right" w:pos="9638"/>
      </w:tabs>
      <w:rPr>
        <w:b/>
        <w:sz w:val="18"/>
      </w:rPr>
    </w:pPr>
    <w:r>
      <w:t>GE.20-05090</w:t>
    </w:r>
    <w:r>
      <w:tab/>
    </w:r>
    <w:r w:rsidRPr="007D058A">
      <w:rPr>
        <w:b/>
        <w:sz w:val="18"/>
      </w:rPr>
      <w:fldChar w:fldCharType="begin"/>
    </w:r>
    <w:r w:rsidRPr="007D058A">
      <w:rPr>
        <w:b/>
        <w:sz w:val="18"/>
      </w:rPr>
      <w:instrText xml:space="preserve"> PAGE  \* MERGEFORMAT </w:instrText>
    </w:r>
    <w:r w:rsidRPr="007D058A">
      <w:rPr>
        <w:b/>
        <w:sz w:val="18"/>
      </w:rPr>
      <w:fldChar w:fldCharType="separate"/>
    </w:r>
    <w:r w:rsidRPr="007D058A">
      <w:rPr>
        <w:b/>
        <w:noProof/>
        <w:sz w:val="18"/>
      </w:rPr>
      <w:t>3</w:t>
    </w:r>
    <w:r w:rsidRPr="007D058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34461" w14:textId="77777777" w:rsidR="0068456F" w:rsidRPr="007D058A" w:rsidRDefault="007D058A" w:rsidP="007D058A">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46C0F53D" wp14:editId="738CFC7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20-05090  (F)    120520    140520</w:t>
    </w:r>
    <w:r>
      <w:rPr>
        <w:sz w:val="20"/>
      </w:rPr>
      <w:br/>
    </w:r>
    <w:r w:rsidRPr="007D058A">
      <w:rPr>
        <w:rFonts w:ascii="C39T30Lfz" w:hAnsi="C39T30Lfz"/>
        <w:sz w:val="56"/>
      </w:rPr>
      <w:t></w:t>
    </w:r>
    <w:r w:rsidRPr="007D058A">
      <w:rPr>
        <w:rFonts w:ascii="C39T30Lfz" w:hAnsi="C39T30Lfz"/>
        <w:sz w:val="56"/>
      </w:rPr>
      <w:t></w:t>
    </w:r>
    <w:r w:rsidRPr="007D058A">
      <w:rPr>
        <w:rFonts w:ascii="C39T30Lfz" w:hAnsi="C39T30Lfz"/>
        <w:sz w:val="56"/>
      </w:rPr>
      <w:t></w:t>
    </w:r>
    <w:r w:rsidRPr="007D058A">
      <w:rPr>
        <w:rFonts w:ascii="C39T30Lfz" w:hAnsi="C39T30Lfz"/>
        <w:sz w:val="56"/>
      </w:rPr>
      <w:t></w:t>
    </w:r>
    <w:r w:rsidRPr="007D058A">
      <w:rPr>
        <w:rFonts w:ascii="C39T30Lfz" w:hAnsi="C39T30Lfz"/>
        <w:sz w:val="56"/>
      </w:rPr>
      <w:t></w:t>
    </w:r>
    <w:r w:rsidRPr="007D058A">
      <w:rPr>
        <w:rFonts w:ascii="C39T30Lfz" w:hAnsi="C39T30Lfz"/>
        <w:sz w:val="56"/>
      </w:rPr>
      <w:t></w:t>
    </w:r>
    <w:r w:rsidRPr="007D058A">
      <w:rPr>
        <w:rFonts w:ascii="C39T30Lfz" w:hAnsi="C39T30Lfz"/>
        <w:sz w:val="56"/>
      </w:rPr>
      <w:t></w:t>
    </w:r>
    <w:r w:rsidRPr="007D058A">
      <w:rPr>
        <w:rFonts w:ascii="C39T30Lfz" w:hAnsi="C39T30Lfz"/>
        <w:sz w:val="56"/>
      </w:rPr>
      <w:t></w:t>
    </w:r>
    <w:r w:rsidRPr="007D058A">
      <w:rPr>
        <w:rFonts w:ascii="C39T30Lfz" w:hAnsi="C39T30Lfz"/>
        <w:sz w:val="56"/>
      </w:rPr>
      <w:t></w:t>
    </w:r>
    <w:r>
      <w:rPr>
        <w:noProof/>
        <w:sz w:val="20"/>
      </w:rPr>
      <w:drawing>
        <wp:anchor distT="0" distB="0" distL="114300" distR="114300" simplePos="0" relativeHeight="251658240" behindDoc="0" locked="0" layoutInCell="1" allowOverlap="1" wp14:anchorId="7A1ADC47" wp14:editId="73819157">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4/2020/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4/2020/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B9ACE" w14:textId="77777777" w:rsidR="001367C8" w:rsidRPr="00AC3823" w:rsidRDefault="001367C8" w:rsidP="00AC3823">
      <w:pPr>
        <w:pStyle w:val="Footer"/>
        <w:tabs>
          <w:tab w:val="right" w:pos="2155"/>
        </w:tabs>
        <w:spacing w:after="80" w:line="240" w:lineRule="atLeast"/>
        <w:ind w:left="680"/>
        <w:rPr>
          <w:u w:val="single"/>
        </w:rPr>
      </w:pPr>
      <w:r>
        <w:rPr>
          <w:u w:val="single"/>
        </w:rPr>
        <w:tab/>
      </w:r>
    </w:p>
  </w:footnote>
  <w:footnote w:type="continuationSeparator" w:id="0">
    <w:p w14:paraId="263DAAFF" w14:textId="77777777" w:rsidR="001367C8" w:rsidRPr="00AC3823" w:rsidRDefault="001367C8" w:rsidP="00AC3823">
      <w:pPr>
        <w:pStyle w:val="Footer"/>
        <w:tabs>
          <w:tab w:val="right" w:pos="2155"/>
        </w:tabs>
        <w:spacing w:after="80" w:line="240" w:lineRule="atLeast"/>
        <w:ind w:left="680"/>
        <w:rPr>
          <w:u w:val="single"/>
        </w:rPr>
      </w:pPr>
      <w:r>
        <w:rPr>
          <w:u w:val="single"/>
        </w:rPr>
        <w:tab/>
      </w:r>
    </w:p>
  </w:footnote>
  <w:footnote w:type="continuationNotice" w:id="1">
    <w:p w14:paraId="722F588D" w14:textId="77777777" w:rsidR="001367C8" w:rsidRPr="00AC3823" w:rsidRDefault="001367C8">
      <w:pPr>
        <w:spacing w:line="240" w:lineRule="auto"/>
        <w:rPr>
          <w:sz w:val="2"/>
          <w:szCs w:val="2"/>
        </w:rPr>
      </w:pPr>
    </w:p>
  </w:footnote>
  <w:footnote w:id="2">
    <w:p w14:paraId="4CB1B90E" w14:textId="77777777" w:rsidR="007D3028" w:rsidRPr="007D3028" w:rsidRDefault="007D3028">
      <w:pPr>
        <w:pStyle w:val="FootnoteText"/>
        <w:rPr>
          <w:szCs w:val="18"/>
        </w:rPr>
      </w:pPr>
      <w:r>
        <w:rPr>
          <w:rStyle w:val="FootnoteReference"/>
        </w:rPr>
        <w:tab/>
      </w:r>
      <w:r w:rsidRPr="007D3028">
        <w:rPr>
          <w:rStyle w:val="FootnoteReference"/>
          <w:sz w:val="20"/>
          <w:vertAlign w:val="baseline"/>
        </w:rPr>
        <w:t>*</w:t>
      </w:r>
      <w:r>
        <w:rPr>
          <w:rStyle w:val="FootnoteReference"/>
          <w:sz w:val="20"/>
          <w:vertAlign w:val="baseline"/>
        </w:rPr>
        <w:tab/>
      </w:r>
      <w:r w:rsidRPr="007D3028">
        <w:rPr>
          <w:szCs w:val="18"/>
        </w:rPr>
        <w:t>Sous-programme 2 du budget-programme pour 2020 (A/74/6 (sect. 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20AF7" w14:textId="6F5362A9" w:rsidR="007D058A" w:rsidRPr="007D058A" w:rsidRDefault="00F548F4">
    <w:pPr>
      <w:pStyle w:val="Header"/>
    </w:pPr>
    <w:r>
      <w:fldChar w:fldCharType="begin"/>
    </w:r>
    <w:r>
      <w:instrText xml:space="preserve"> TITLE  \* MERGEFORMAT </w:instrText>
    </w:r>
    <w:r>
      <w:fldChar w:fldCharType="separate"/>
    </w:r>
    <w:r w:rsidR="00392238">
      <w:t>ST/SG/AC.10/C.4/2020/6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A3723" w14:textId="39938D9D" w:rsidR="007D058A" w:rsidRPr="007D058A" w:rsidRDefault="00F548F4" w:rsidP="007D058A">
    <w:pPr>
      <w:pStyle w:val="Header"/>
      <w:jc w:val="right"/>
    </w:pPr>
    <w:r>
      <w:fldChar w:fldCharType="begin"/>
    </w:r>
    <w:r>
      <w:instrText xml:space="preserve"> TITLE  \* MERGEFORMAT </w:instrText>
    </w:r>
    <w:r>
      <w:fldChar w:fldCharType="separate"/>
    </w:r>
    <w:r w:rsidR="00392238">
      <w:t>ST/SG/AC.10/C.4/2020/6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7C8"/>
    <w:rsid w:val="00017F94"/>
    <w:rsid w:val="00023842"/>
    <w:rsid w:val="000305D3"/>
    <w:rsid w:val="000334F9"/>
    <w:rsid w:val="0007796D"/>
    <w:rsid w:val="000B7790"/>
    <w:rsid w:val="00111F2F"/>
    <w:rsid w:val="00132EA9"/>
    <w:rsid w:val="001367C8"/>
    <w:rsid w:val="0014365E"/>
    <w:rsid w:val="00176178"/>
    <w:rsid w:val="001F525A"/>
    <w:rsid w:val="00223272"/>
    <w:rsid w:val="0024779E"/>
    <w:rsid w:val="00283190"/>
    <w:rsid w:val="002832AC"/>
    <w:rsid w:val="002D7C93"/>
    <w:rsid w:val="00392238"/>
    <w:rsid w:val="00441C3B"/>
    <w:rsid w:val="00446FE5"/>
    <w:rsid w:val="00452396"/>
    <w:rsid w:val="004E468C"/>
    <w:rsid w:val="005505B7"/>
    <w:rsid w:val="00573BE5"/>
    <w:rsid w:val="00584DC4"/>
    <w:rsid w:val="00586ED3"/>
    <w:rsid w:val="00596AA9"/>
    <w:rsid w:val="0068456F"/>
    <w:rsid w:val="0071601D"/>
    <w:rsid w:val="007A62E6"/>
    <w:rsid w:val="007D058A"/>
    <w:rsid w:val="007D3028"/>
    <w:rsid w:val="0080684C"/>
    <w:rsid w:val="00871C75"/>
    <w:rsid w:val="008776DC"/>
    <w:rsid w:val="008B40CD"/>
    <w:rsid w:val="009705C8"/>
    <w:rsid w:val="009C1CF4"/>
    <w:rsid w:val="00A30353"/>
    <w:rsid w:val="00AC3823"/>
    <w:rsid w:val="00AE323C"/>
    <w:rsid w:val="00B00181"/>
    <w:rsid w:val="00B00B0D"/>
    <w:rsid w:val="00B23E5B"/>
    <w:rsid w:val="00B765F7"/>
    <w:rsid w:val="00BA0CA9"/>
    <w:rsid w:val="00C02897"/>
    <w:rsid w:val="00D3439C"/>
    <w:rsid w:val="00DB1831"/>
    <w:rsid w:val="00DD3BFD"/>
    <w:rsid w:val="00DF6678"/>
    <w:rsid w:val="00EF2E22"/>
    <w:rsid w:val="00F01738"/>
    <w:rsid w:val="00F548F4"/>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957F1E"/>
  <w15:docId w15:val="{E1FEC6FD-0D4D-4A5D-AE1E-F190E4BE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7AB114-EC8C-476B-905E-E99C019DC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5B16E7-7CA5-47E5-B3F9-9101CA1BDA4F}">
  <ds:schemaRefs>
    <ds:schemaRef ds:uri="http://schemas.microsoft.com/sharepoint/v3/contenttype/forms"/>
  </ds:schemaRefs>
</ds:datastoreItem>
</file>

<file path=customXml/itemProps3.xml><?xml version="1.0" encoding="utf-8"?>
<ds:datastoreItem xmlns:ds="http://schemas.openxmlformats.org/officeDocument/2006/customXml" ds:itemID="{C3BBC074-76D4-43AA-9384-D316C0C3B0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ST/SG/AC.10/C.4/2020/6</vt:lpstr>
    </vt:vector>
  </TitlesOfParts>
  <Company>DCM</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ST/SG/AC.10/C.4/2020/6</dc:title>
  <dc:subject/>
  <dc:creator>Christine CHAUTAGNAT</dc:creator>
  <cp:keywords/>
  <cp:lastModifiedBy>Laurence Berthet</cp:lastModifiedBy>
  <cp:revision>2</cp:revision>
  <cp:lastPrinted>2020-05-14T08:48:00Z</cp:lastPrinted>
  <dcterms:created xsi:type="dcterms:W3CDTF">2020-10-28T13:23:00Z</dcterms:created>
  <dcterms:modified xsi:type="dcterms:W3CDTF">2020-10-28T13:23:00Z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