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7D68AA" w14:paraId="1C1331DA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667EAE" w14:textId="77777777" w:rsidR="00132EA9" w:rsidRPr="00DB58B5" w:rsidRDefault="00132EA9" w:rsidP="006735F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169B39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0C4DB486" w14:textId="77777777" w:rsidR="00132EA9" w:rsidRPr="006735F6" w:rsidRDefault="006735F6" w:rsidP="006735F6">
            <w:pPr>
              <w:jc w:val="right"/>
              <w:rPr>
                <w:lang w:val="en-US"/>
              </w:rPr>
            </w:pPr>
            <w:r w:rsidRPr="006735F6">
              <w:rPr>
                <w:sz w:val="40"/>
                <w:lang w:val="en-US"/>
              </w:rPr>
              <w:t>ST</w:t>
            </w:r>
            <w:r w:rsidRPr="006735F6">
              <w:rPr>
                <w:lang w:val="en-US"/>
              </w:rPr>
              <w:t>/SG/AC.10/C.4/2020/6/Add.1</w:t>
            </w:r>
          </w:p>
        </w:tc>
      </w:tr>
      <w:tr w:rsidR="00132EA9" w:rsidRPr="00DB58B5" w14:paraId="56CA7AD8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76C4260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C9E4259" wp14:editId="5E64390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3B2FF8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CAC27CB" w14:textId="77777777" w:rsidR="00132EA9" w:rsidRDefault="006735F6" w:rsidP="00F01738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137F6367" w14:textId="77777777" w:rsidR="006735F6" w:rsidRDefault="006735F6" w:rsidP="006735F6">
            <w:pPr>
              <w:spacing w:line="240" w:lineRule="exact"/>
            </w:pPr>
            <w:r>
              <w:t>9 septembre 2020</w:t>
            </w:r>
          </w:p>
          <w:p w14:paraId="191512EE" w14:textId="77777777" w:rsidR="006735F6" w:rsidRDefault="006735F6" w:rsidP="006735F6">
            <w:pPr>
              <w:spacing w:line="240" w:lineRule="exact"/>
            </w:pPr>
            <w:r>
              <w:t>Français</w:t>
            </w:r>
          </w:p>
          <w:p w14:paraId="5883E3E4" w14:textId="77777777" w:rsidR="006735F6" w:rsidRPr="00DB58B5" w:rsidRDefault="006735F6" w:rsidP="006735F6">
            <w:pPr>
              <w:spacing w:line="240" w:lineRule="exact"/>
            </w:pPr>
            <w:r>
              <w:t>Original : anglais</w:t>
            </w:r>
          </w:p>
        </w:tc>
      </w:tr>
    </w:tbl>
    <w:p w14:paraId="30D78237" w14:textId="77777777" w:rsidR="008D13F3" w:rsidRPr="00CA0680" w:rsidRDefault="008D13F3" w:rsidP="000305D3">
      <w:pPr>
        <w:spacing w:before="120"/>
        <w:rPr>
          <w:b/>
          <w:sz w:val="24"/>
          <w:szCs w:val="24"/>
        </w:rPr>
      </w:pPr>
      <w:r w:rsidRPr="00CA0680">
        <w:rPr>
          <w:b/>
          <w:sz w:val="24"/>
          <w:szCs w:val="24"/>
        </w:rPr>
        <w:t>Comité d’experts du transport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marchandises dangereuses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 xml:space="preserve">du </w:t>
      </w:r>
      <w:r>
        <w:rPr>
          <w:b/>
          <w:sz w:val="24"/>
          <w:szCs w:val="24"/>
        </w:rPr>
        <w:t>S</w:t>
      </w:r>
      <w:r w:rsidRPr="00CA0680">
        <w:rPr>
          <w:b/>
          <w:sz w:val="24"/>
          <w:szCs w:val="24"/>
        </w:rPr>
        <w:t>ystème général harmonisé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 classification</w:t>
      </w:r>
      <w:r>
        <w:rPr>
          <w:b/>
          <w:sz w:val="24"/>
          <w:szCs w:val="24"/>
        </w:rPr>
        <w:br/>
      </w:r>
      <w:r w:rsidRPr="00CA0680">
        <w:rPr>
          <w:b/>
          <w:sz w:val="24"/>
          <w:szCs w:val="24"/>
        </w:rPr>
        <w:t>et d’étiquetage</w:t>
      </w:r>
      <w:r>
        <w:rPr>
          <w:b/>
          <w:sz w:val="24"/>
          <w:szCs w:val="24"/>
        </w:rPr>
        <w:t xml:space="preserve"> </w:t>
      </w:r>
      <w:r w:rsidRPr="00CA0680">
        <w:rPr>
          <w:b/>
          <w:sz w:val="24"/>
          <w:szCs w:val="24"/>
        </w:rPr>
        <w:t>des produits chimiques</w:t>
      </w:r>
    </w:p>
    <w:p w14:paraId="56AB5856" w14:textId="77777777" w:rsidR="008D13F3" w:rsidRPr="00CA0680" w:rsidRDefault="008D13F3" w:rsidP="000305D3">
      <w:pPr>
        <w:spacing w:before="120"/>
        <w:rPr>
          <w:b/>
        </w:rPr>
      </w:pPr>
      <w:r w:rsidRPr="00CA0680">
        <w:rPr>
          <w:b/>
        </w:rPr>
        <w:t>Sous</w:t>
      </w:r>
      <w:r>
        <w:rPr>
          <w:b/>
        </w:rPr>
        <w:t>-</w:t>
      </w:r>
      <w:r w:rsidRPr="00CA0680">
        <w:rPr>
          <w:b/>
        </w:rPr>
        <w:t xml:space="preserve">Comité d’experts </w:t>
      </w:r>
      <w:r>
        <w:rPr>
          <w:b/>
        </w:rPr>
        <w:t>du Système général harmonisé</w:t>
      </w:r>
      <w:r>
        <w:rPr>
          <w:b/>
        </w:rPr>
        <w:br/>
        <w:t>de classification et d’étiquetage des produits chimiques</w:t>
      </w:r>
    </w:p>
    <w:p w14:paraId="0668CBB7" w14:textId="77777777" w:rsidR="008D13F3" w:rsidRPr="00F45CE1" w:rsidRDefault="008D13F3" w:rsidP="008D13F3">
      <w:pPr>
        <w:spacing w:before="120"/>
        <w:rPr>
          <w:b/>
          <w:lang w:val="fr-FR"/>
        </w:rPr>
      </w:pPr>
      <w:r w:rsidRPr="00F45CE1">
        <w:rPr>
          <w:b/>
          <w:bCs/>
          <w:lang w:val="fr-FR"/>
        </w:rPr>
        <w:t>Trente-neuvième session</w:t>
      </w:r>
    </w:p>
    <w:p w14:paraId="7D5BD13E" w14:textId="77777777" w:rsidR="008D13F3" w:rsidRPr="00F45CE1" w:rsidRDefault="008D13F3" w:rsidP="008D13F3">
      <w:pPr>
        <w:rPr>
          <w:lang w:val="fr-FR"/>
        </w:rPr>
      </w:pPr>
      <w:r w:rsidRPr="00F45CE1">
        <w:rPr>
          <w:lang w:val="fr-FR"/>
        </w:rPr>
        <w:t xml:space="preserve">Genève, 9-11 décembre 2020 </w:t>
      </w:r>
    </w:p>
    <w:p w14:paraId="46772658" w14:textId="77777777" w:rsidR="008D13F3" w:rsidRPr="00F45CE1" w:rsidRDefault="008D13F3" w:rsidP="008D13F3">
      <w:pPr>
        <w:rPr>
          <w:lang w:val="fr-FR"/>
        </w:rPr>
      </w:pPr>
      <w:r w:rsidRPr="00F45CE1">
        <w:rPr>
          <w:lang w:val="fr-FR"/>
        </w:rPr>
        <w:t>Point 3 i) de l</w:t>
      </w:r>
      <w:r>
        <w:rPr>
          <w:lang w:val="fr-FR"/>
        </w:rPr>
        <w:t>’</w:t>
      </w:r>
      <w:r w:rsidRPr="00F45CE1">
        <w:rPr>
          <w:lang w:val="fr-FR"/>
        </w:rPr>
        <w:t>ordre du jour provisoire</w:t>
      </w:r>
    </w:p>
    <w:p w14:paraId="6406CA52" w14:textId="77777777" w:rsidR="008D13F3" w:rsidRPr="00F45CE1" w:rsidRDefault="008D13F3" w:rsidP="008D13F3">
      <w:pPr>
        <w:rPr>
          <w:b/>
          <w:bCs/>
          <w:lang w:val="fr-FR"/>
        </w:rPr>
      </w:pPr>
      <w:r w:rsidRPr="00F45CE1">
        <w:rPr>
          <w:b/>
          <w:bCs/>
          <w:lang w:val="fr-FR"/>
        </w:rPr>
        <w:t xml:space="preserve">Critères de classification et communication </w:t>
      </w:r>
      <w:r w:rsidR="007A75D3">
        <w:rPr>
          <w:b/>
          <w:bCs/>
          <w:lang w:val="fr-FR"/>
        </w:rPr>
        <w:br/>
      </w:r>
      <w:r w:rsidRPr="00F45CE1">
        <w:rPr>
          <w:b/>
          <w:bCs/>
          <w:lang w:val="fr-FR"/>
        </w:rPr>
        <w:t>des dangers s</w:t>
      </w:r>
      <w:r>
        <w:rPr>
          <w:b/>
          <w:bCs/>
          <w:lang w:val="fr-FR"/>
        </w:rPr>
        <w:t>’</w:t>
      </w:r>
      <w:r w:rsidRPr="00F45CE1">
        <w:rPr>
          <w:b/>
          <w:bCs/>
          <w:lang w:val="fr-FR"/>
        </w:rPr>
        <w:t>y rapportant</w:t>
      </w:r>
      <w:r w:rsidR="007A75D3">
        <w:rPr>
          <w:b/>
          <w:bCs/>
          <w:lang w:val="fr-FR"/>
        </w:rPr>
        <w:t> </w:t>
      </w:r>
      <w:r w:rsidRPr="00F45CE1">
        <w:rPr>
          <w:b/>
          <w:bCs/>
          <w:lang w:val="fr-FR"/>
        </w:rPr>
        <w:t xml:space="preserve">: </w:t>
      </w:r>
      <w:r w:rsidR="007A75D3">
        <w:rPr>
          <w:b/>
          <w:bCs/>
          <w:lang w:val="fr-FR"/>
        </w:rPr>
        <w:t>a</w:t>
      </w:r>
      <w:r w:rsidRPr="00F45CE1">
        <w:rPr>
          <w:b/>
          <w:bCs/>
          <w:lang w:val="fr-FR"/>
        </w:rPr>
        <w:t>utres questions</w:t>
      </w:r>
    </w:p>
    <w:p w14:paraId="738C8926" w14:textId="77777777" w:rsidR="008D13F3" w:rsidRPr="00F45CE1" w:rsidRDefault="008D13F3" w:rsidP="00AC1718">
      <w:pPr>
        <w:pStyle w:val="HChG"/>
        <w:rPr>
          <w:lang w:val="fr-FR"/>
        </w:rPr>
      </w:pPr>
      <w:r w:rsidRPr="00F45CE1">
        <w:rPr>
          <w:lang w:val="fr-FR"/>
        </w:rPr>
        <w:tab/>
      </w:r>
      <w:r w:rsidRPr="00F45CE1">
        <w:rPr>
          <w:lang w:val="fr-FR"/>
        </w:rPr>
        <w:tab/>
        <w:t xml:space="preserve">Étiquetage pour le milieu de travail (éclaircissements </w:t>
      </w:r>
      <w:r w:rsidR="004B5AC7">
        <w:rPr>
          <w:lang w:val="fr-FR"/>
        </w:rPr>
        <w:br/>
      </w:r>
      <w:proofErr w:type="gramStart"/>
      <w:r w:rsidRPr="00F45CE1">
        <w:rPr>
          <w:lang w:val="fr-FR"/>
        </w:rPr>
        <w:t>à</w:t>
      </w:r>
      <w:proofErr w:type="gramEnd"/>
      <w:r w:rsidRPr="00F45CE1">
        <w:rPr>
          <w:lang w:val="fr-FR"/>
        </w:rPr>
        <w:t xml:space="preserve"> apporter au 1.4.10.5.5.1) : autres solutions</w:t>
      </w:r>
    </w:p>
    <w:p w14:paraId="71765D14" w14:textId="77777777" w:rsidR="008D13F3" w:rsidRPr="00F45CE1" w:rsidRDefault="008D13F3" w:rsidP="00AC1718">
      <w:pPr>
        <w:pStyle w:val="H1G"/>
        <w:rPr>
          <w:sz w:val="20"/>
          <w:lang w:val="fr-FR"/>
        </w:rPr>
      </w:pPr>
      <w:r w:rsidRPr="00F45CE1">
        <w:rPr>
          <w:lang w:val="fr-FR"/>
        </w:rPr>
        <w:tab/>
      </w:r>
      <w:r w:rsidRPr="00F45CE1">
        <w:rPr>
          <w:lang w:val="fr-FR"/>
        </w:rPr>
        <w:tab/>
        <w:t xml:space="preserve">Note du </w:t>
      </w:r>
      <w:r w:rsidR="004B5AC7">
        <w:rPr>
          <w:lang w:val="fr-FR"/>
        </w:rPr>
        <w:t>S</w:t>
      </w:r>
      <w:r w:rsidRPr="00F45CE1">
        <w:rPr>
          <w:lang w:val="fr-FR"/>
        </w:rPr>
        <w:t>ecrétariat</w:t>
      </w:r>
      <w:r w:rsidRPr="004B5AC7">
        <w:rPr>
          <w:rStyle w:val="FootnoteReference"/>
          <w:b w:val="0"/>
          <w:bCs/>
          <w:sz w:val="20"/>
          <w:vertAlign w:val="baseline"/>
          <w:lang w:val="fr-FR"/>
        </w:rPr>
        <w:footnoteReference w:customMarkFollows="1" w:id="2"/>
        <w:t>*</w:t>
      </w:r>
    </w:p>
    <w:p w14:paraId="64DDC638" w14:textId="77777777" w:rsidR="008D13F3" w:rsidRPr="00F45CE1" w:rsidRDefault="008D13F3" w:rsidP="00AC1718">
      <w:pPr>
        <w:pStyle w:val="H23G"/>
        <w:rPr>
          <w:lang w:val="fr-FR"/>
        </w:rPr>
      </w:pPr>
      <w:r w:rsidRPr="00F45CE1">
        <w:rPr>
          <w:lang w:val="fr-FR"/>
        </w:rPr>
        <w:tab/>
      </w:r>
      <w:r w:rsidRPr="00F45CE1">
        <w:rPr>
          <w:lang w:val="fr-FR"/>
        </w:rPr>
        <w:tab/>
        <w:t>Additif</w:t>
      </w:r>
    </w:p>
    <w:p w14:paraId="2B0A3939" w14:textId="77777777" w:rsidR="008D13F3" w:rsidRPr="00F45CE1" w:rsidRDefault="008D13F3" w:rsidP="004B5AC7">
      <w:pPr>
        <w:pStyle w:val="H1G"/>
        <w:rPr>
          <w:lang w:val="fr-FR"/>
        </w:rPr>
      </w:pPr>
      <w:r w:rsidRPr="00F45CE1">
        <w:rPr>
          <w:lang w:val="fr-FR"/>
        </w:rPr>
        <w:tab/>
      </w:r>
      <w:r w:rsidRPr="00F45CE1">
        <w:rPr>
          <w:lang w:val="fr-FR"/>
        </w:rPr>
        <w:tab/>
        <w:t>Historique de la question</w:t>
      </w:r>
    </w:p>
    <w:p w14:paraId="4242023E" w14:textId="77777777" w:rsidR="008D13F3" w:rsidRPr="00F45CE1" w:rsidRDefault="008D13F3" w:rsidP="004B5AC7">
      <w:pPr>
        <w:pStyle w:val="SingleTxtG"/>
        <w:rPr>
          <w:lang w:val="fr-FR"/>
        </w:rPr>
      </w:pPr>
      <w:r w:rsidRPr="00F45CE1">
        <w:rPr>
          <w:lang w:val="fr-FR"/>
        </w:rPr>
        <w:t>1.</w:t>
      </w:r>
      <w:r w:rsidRPr="00F45CE1">
        <w:rPr>
          <w:lang w:val="fr-FR"/>
        </w:rPr>
        <w:tab/>
        <w:t>Lors des consultations informelles tenues en juillet en vue de la session de décembre, plusieurs délégations ont formulé des observations au sujet des options</w:t>
      </w:r>
      <w:r w:rsidR="00501B7C">
        <w:rPr>
          <w:lang w:val="fr-FR"/>
        </w:rPr>
        <w:t> </w:t>
      </w:r>
      <w:r w:rsidRPr="00F45CE1">
        <w:rPr>
          <w:lang w:val="fr-FR"/>
        </w:rPr>
        <w:t>1 et</w:t>
      </w:r>
      <w:r w:rsidR="00501B7C">
        <w:rPr>
          <w:lang w:val="fr-FR"/>
        </w:rPr>
        <w:t> </w:t>
      </w:r>
      <w:r w:rsidRPr="00F45CE1">
        <w:rPr>
          <w:lang w:val="fr-FR"/>
        </w:rPr>
        <w:t>2 proposées dans le document ST/SG/AC.10/C.4/2020/6, ainsi que sur le sens de l</w:t>
      </w:r>
      <w:r>
        <w:rPr>
          <w:lang w:val="fr-FR"/>
        </w:rPr>
        <w:t>’</w:t>
      </w:r>
      <w:r w:rsidRPr="00F45CE1">
        <w:rPr>
          <w:lang w:val="fr-FR"/>
        </w:rPr>
        <w:t xml:space="preserve">expression </w:t>
      </w:r>
      <w:r>
        <w:rPr>
          <w:lang w:val="fr-FR"/>
        </w:rPr>
        <w:t>« </w:t>
      </w:r>
      <w:proofErr w:type="spellStart"/>
      <w:r w:rsidRPr="00F45CE1">
        <w:rPr>
          <w:i/>
          <w:iCs/>
          <w:lang w:val="fr-FR"/>
        </w:rPr>
        <w:t>labelled</w:t>
      </w:r>
      <w:proofErr w:type="spellEnd"/>
      <w:r w:rsidRPr="00F45CE1">
        <w:rPr>
          <w:i/>
          <w:iCs/>
          <w:lang w:val="fr-FR"/>
        </w:rPr>
        <w:t xml:space="preserve"> </w:t>
      </w:r>
      <w:proofErr w:type="spellStart"/>
      <w:r w:rsidRPr="00F45CE1">
        <w:rPr>
          <w:i/>
          <w:iCs/>
          <w:lang w:val="fr-FR"/>
        </w:rPr>
        <w:t>with</w:t>
      </w:r>
      <w:proofErr w:type="spellEnd"/>
      <w:r w:rsidRPr="00F45CE1">
        <w:rPr>
          <w:i/>
          <w:iCs/>
          <w:lang w:val="fr-FR"/>
        </w:rPr>
        <w:t xml:space="preserve"> the main components</w:t>
      </w:r>
      <w:r>
        <w:rPr>
          <w:lang w:val="fr-FR"/>
        </w:rPr>
        <w:t> »</w:t>
      </w:r>
      <w:r w:rsidRPr="00F45CE1">
        <w:rPr>
          <w:lang w:val="fr-FR"/>
        </w:rPr>
        <w:t xml:space="preserve"> (</w:t>
      </w:r>
      <w:r>
        <w:rPr>
          <w:lang w:val="fr-FR"/>
        </w:rPr>
        <w:t>« </w:t>
      </w:r>
      <w:r w:rsidRPr="00F45CE1">
        <w:rPr>
          <w:lang w:val="fr-FR"/>
        </w:rPr>
        <w:t>ne dispenser que les éléments d</w:t>
      </w:r>
      <w:r>
        <w:rPr>
          <w:lang w:val="fr-FR"/>
        </w:rPr>
        <w:t>’</w:t>
      </w:r>
      <w:r w:rsidRPr="00F45CE1">
        <w:rPr>
          <w:lang w:val="fr-FR"/>
        </w:rPr>
        <w:t>information principaux</w:t>
      </w:r>
      <w:r>
        <w:rPr>
          <w:lang w:val="fr-FR"/>
        </w:rPr>
        <w:t> »</w:t>
      </w:r>
      <w:r w:rsidRPr="00F45CE1">
        <w:rPr>
          <w:lang w:val="fr-FR"/>
        </w:rPr>
        <w:t>) au</w:t>
      </w:r>
      <w:r w:rsidR="00501B7C">
        <w:rPr>
          <w:lang w:val="fr-FR"/>
        </w:rPr>
        <w:t> </w:t>
      </w:r>
      <w:r w:rsidRPr="00F45CE1">
        <w:rPr>
          <w:lang w:val="fr-FR"/>
        </w:rPr>
        <w:t xml:space="preserve">1.4.10.5.5.1. </w:t>
      </w:r>
    </w:p>
    <w:p w14:paraId="795CE9C0" w14:textId="77777777" w:rsidR="008D13F3" w:rsidRPr="00F45CE1" w:rsidRDefault="008D13F3" w:rsidP="004B5AC7">
      <w:pPr>
        <w:pStyle w:val="SingleTxtG"/>
        <w:rPr>
          <w:lang w:val="fr-FR"/>
        </w:rPr>
      </w:pPr>
      <w:r w:rsidRPr="00F45CE1">
        <w:rPr>
          <w:lang w:val="fr-FR"/>
        </w:rPr>
        <w:t>2.</w:t>
      </w:r>
      <w:r w:rsidRPr="00F45CE1">
        <w:rPr>
          <w:lang w:val="fr-FR"/>
        </w:rPr>
        <w:tab/>
        <w:t>Plusieurs experts étaient d</w:t>
      </w:r>
      <w:r>
        <w:rPr>
          <w:lang w:val="fr-FR"/>
        </w:rPr>
        <w:t>’</w:t>
      </w:r>
      <w:r w:rsidRPr="00F45CE1">
        <w:rPr>
          <w:lang w:val="fr-FR"/>
        </w:rPr>
        <w:t xml:space="preserve">avis que les </w:t>
      </w:r>
      <w:r>
        <w:rPr>
          <w:lang w:val="fr-FR"/>
        </w:rPr>
        <w:t>« </w:t>
      </w:r>
      <w:r w:rsidRPr="00A90781">
        <w:rPr>
          <w:i/>
          <w:iCs/>
          <w:lang w:val="fr-FR"/>
        </w:rPr>
        <w:t>main components</w:t>
      </w:r>
      <w:r>
        <w:rPr>
          <w:lang w:val="fr-FR"/>
        </w:rPr>
        <w:t> »</w:t>
      </w:r>
      <w:r w:rsidRPr="00F45CE1">
        <w:rPr>
          <w:lang w:val="fr-FR"/>
        </w:rPr>
        <w:t>, dans le contexte de l</w:t>
      </w:r>
      <w:r>
        <w:rPr>
          <w:lang w:val="fr-FR"/>
        </w:rPr>
        <w:t>’</w:t>
      </w:r>
      <w:r w:rsidRPr="00F45CE1">
        <w:rPr>
          <w:lang w:val="fr-FR"/>
        </w:rPr>
        <w:t>étiquetage des récipients temporaires décrits au</w:t>
      </w:r>
      <w:r w:rsidR="00501B7C">
        <w:rPr>
          <w:lang w:val="fr-FR"/>
        </w:rPr>
        <w:t> </w:t>
      </w:r>
      <w:r w:rsidRPr="00F45CE1">
        <w:rPr>
          <w:lang w:val="fr-FR"/>
        </w:rPr>
        <w:t>1.4.10.5.5.1, devraient correspondre à l</w:t>
      </w:r>
      <w:r>
        <w:rPr>
          <w:lang w:val="fr-FR"/>
        </w:rPr>
        <w:t>’</w:t>
      </w:r>
      <w:r w:rsidRPr="00F45CE1">
        <w:rPr>
          <w:lang w:val="fr-FR"/>
        </w:rPr>
        <w:t>identifiant du produit (c</w:t>
      </w:r>
      <w:r>
        <w:rPr>
          <w:lang w:val="fr-FR"/>
        </w:rPr>
        <w:t>’</w:t>
      </w:r>
      <w:r w:rsidRPr="00F45CE1">
        <w:rPr>
          <w:lang w:val="fr-FR"/>
        </w:rPr>
        <w:t>est-à-dire le nom ou l</w:t>
      </w:r>
      <w:r>
        <w:rPr>
          <w:lang w:val="fr-FR"/>
        </w:rPr>
        <w:t>’</w:t>
      </w:r>
      <w:r w:rsidRPr="00F45CE1">
        <w:rPr>
          <w:lang w:val="fr-FR"/>
        </w:rPr>
        <w:t xml:space="preserve">identifiant de la substance ou des composants du mélange transvasé qui contribuent au(x) danger(s) identifié(s)). </w:t>
      </w:r>
    </w:p>
    <w:p w14:paraId="7C8053CC" w14:textId="77777777" w:rsidR="008D13F3" w:rsidRPr="00F45CE1" w:rsidRDefault="008D13F3" w:rsidP="004B5AC7">
      <w:pPr>
        <w:pStyle w:val="SingleTxtG"/>
        <w:rPr>
          <w:lang w:val="fr-FR"/>
        </w:rPr>
      </w:pPr>
      <w:r w:rsidRPr="00F45CE1">
        <w:rPr>
          <w:lang w:val="fr-FR"/>
        </w:rPr>
        <w:t>3.</w:t>
      </w:r>
      <w:r w:rsidRPr="00F45CE1">
        <w:rPr>
          <w:lang w:val="fr-FR"/>
        </w:rPr>
        <w:tab/>
        <w:t>Il a toutefois été reconnu qu</w:t>
      </w:r>
      <w:r>
        <w:rPr>
          <w:lang w:val="fr-FR"/>
        </w:rPr>
        <w:t>’</w:t>
      </w:r>
      <w:r w:rsidRPr="00F45CE1">
        <w:rPr>
          <w:lang w:val="fr-FR"/>
        </w:rPr>
        <w:t>on pouvait également comprendre qu</w:t>
      </w:r>
      <w:r>
        <w:rPr>
          <w:lang w:val="fr-FR"/>
        </w:rPr>
        <w:t>’</w:t>
      </w:r>
      <w:r w:rsidRPr="00F45CE1">
        <w:rPr>
          <w:lang w:val="fr-FR"/>
        </w:rPr>
        <w:t>il s</w:t>
      </w:r>
      <w:r>
        <w:rPr>
          <w:lang w:val="fr-FR"/>
        </w:rPr>
        <w:t>’</w:t>
      </w:r>
      <w:r w:rsidRPr="00F45CE1">
        <w:rPr>
          <w:lang w:val="fr-FR"/>
        </w:rPr>
        <w:t>agissait des éléments d</w:t>
      </w:r>
      <w:r>
        <w:rPr>
          <w:lang w:val="fr-FR"/>
        </w:rPr>
        <w:t>’</w:t>
      </w:r>
      <w:r w:rsidRPr="00F45CE1">
        <w:rPr>
          <w:lang w:val="fr-FR"/>
        </w:rPr>
        <w:t>étiquetage, c</w:t>
      </w:r>
      <w:r>
        <w:rPr>
          <w:lang w:val="fr-FR"/>
        </w:rPr>
        <w:t>’</w:t>
      </w:r>
      <w:r w:rsidRPr="00F45CE1">
        <w:rPr>
          <w:lang w:val="fr-FR"/>
        </w:rPr>
        <w:t>est-à-dire les éléments qui composent l</w:t>
      </w:r>
      <w:r>
        <w:rPr>
          <w:lang w:val="fr-FR"/>
        </w:rPr>
        <w:t>’</w:t>
      </w:r>
      <w:r w:rsidRPr="00F45CE1">
        <w:rPr>
          <w:lang w:val="fr-FR"/>
        </w:rPr>
        <w:t>étiquette tels que définis au chapitre</w:t>
      </w:r>
      <w:r w:rsidR="00501B7C">
        <w:rPr>
          <w:lang w:val="fr-FR"/>
        </w:rPr>
        <w:t> </w:t>
      </w:r>
      <w:r w:rsidRPr="00F45CE1">
        <w:rPr>
          <w:lang w:val="fr-FR"/>
        </w:rPr>
        <w:t>1.2 et à la section</w:t>
      </w:r>
      <w:r w:rsidR="00501B7C">
        <w:rPr>
          <w:lang w:val="fr-FR"/>
        </w:rPr>
        <w:t> </w:t>
      </w:r>
      <w:r w:rsidRPr="00F45CE1">
        <w:rPr>
          <w:lang w:val="fr-FR"/>
        </w:rPr>
        <w:t>1.4.10.5.2 du chapitre</w:t>
      </w:r>
      <w:r w:rsidR="00501B7C">
        <w:rPr>
          <w:lang w:val="fr-FR"/>
        </w:rPr>
        <w:t> </w:t>
      </w:r>
      <w:r w:rsidRPr="00F45CE1">
        <w:rPr>
          <w:lang w:val="fr-FR"/>
        </w:rPr>
        <w:t>1.4 et</w:t>
      </w:r>
      <w:r w:rsidR="00696608" w:rsidRPr="00F45CE1">
        <w:rPr>
          <w:lang w:val="fr-FR"/>
        </w:rPr>
        <w:t>,</w:t>
      </w:r>
      <w:r w:rsidRPr="00F45CE1">
        <w:rPr>
          <w:lang w:val="fr-FR"/>
        </w:rPr>
        <w:t xml:space="preserve"> à cet égard, plusieurs experts ont exprimé leur soutien à l</w:t>
      </w:r>
      <w:r>
        <w:rPr>
          <w:lang w:val="fr-FR"/>
        </w:rPr>
        <w:t>’</w:t>
      </w:r>
      <w:r w:rsidRPr="00F45CE1">
        <w:rPr>
          <w:lang w:val="fr-FR"/>
        </w:rPr>
        <w:t>option</w:t>
      </w:r>
      <w:r w:rsidR="00696608">
        <w:rPr>
          <w:lang w:val="fr-FR"/>
        </w:rPr>
        <w:t> </w:t>
      </w:r>
      <w:r w:rsidRPr="00F45CE1">
        <w:rPr>
          <w:lang w:val="fr-FR"/>
        </w:rPr>
        <w:t>1. Il a été souligné que si cette interprétation était retenue par le Sous-Comité, il conviendrait de préciser si l</w:t>
      </w:r>
      <w:r>
        <w:rPr>
          <w:lang w:val="fr-FR"/>
        </w:rPr>
        <w:t>’</w:t>
      </w:r>
      <w:r w:rsidRPr="00F45CE1">
        <w:rPr>
          <w:lang w:val="fr-FR"/>
        </w:rPr>
        <w:t xml:space="preserve">adjectif </w:t>
      </w:r>
      <w:r>
        <w:rPr>
          <w:lang w:val="fr-FR"/>
        </w:rPr>
        <w:t>« </w:t>
      </w:r>
      <w:r w:rsidRPr="00F45CE1">
        <w:rPr>
          <w:lang w:val="fr-FR"/>
        </w:rPr>
        <w:t>principaux</w:t>
      </w:r>
      <w:r>
        <w:rPr>
          <w:lang w:val="fr-FR"/>
        </w:rPr>
        <w:t> »</w:t>
      </w:r>
      <w:r w:rsidRPr="00F45CE1">
        <w:rPr>
          <w:lang w:val="fr-FR"/>
        </w:rPr>
        <w:t xml:space="preserve"> désignait uniquement les éléments d</w:t>
      </w:r>
      <w:r>
        <w:rPr>
          <w:lang w:val="fr-FR"/>
        </w:rPr>
        <w:t>’</w:t>
      </w:r>
      <w:r w:rsidRPr="00F45CE1">
        <w:rPr>
          <w:lang w:val="fr-FR"/>
        </w:rPr>
        <w:t xml:space="preserve">étiquetage normalisés ou également les éléments non normalisés (voir </w:t>
      </w:r>
      <w:r>
        <w:rPr>
          <w:lang w:val="fr-FR"/>
        </w:rPr>
        <w:t>le</w:t>
      </w:r>
      <w:r w:rsidR="00696608">
        <w:rPr>
          <w:lang w:val="fr-FR"/>
        </w:rPr>
        <w:t> </w:t>
      </w:r>
      <w:r w:rsidRPr="00F45CE1">
        <w:rPr>
          <w:lang w:val="fr-FR"/>
        </w:rPr>
        <w:t xml:space="preserve">1.4.6.2). </w:t>
      </w:r>
    </w:p>
    <w:p w14:paraId="621BAC6C" w14:textId="77777777" w:rsidR="008D13F3" w:rsidRPr="00F45CE1" w:rsidRDefault="008D13F3" w:rsidP="004B5AC7">
      <w:pPr>
        <w:pStyle w:val="SingleTxtG"/>
        <w:rPr>
          <w:lang w:val="fr-FR"/>
        </w:rPr>
      </w:pPr>
      <w:r w:rsidRPr="00F45CE1">
        <w:rPr>
          <w:lang w:val="fr-FR"/>
        </w:rPr>
        <w:t>4.</w:t>
      </w:r>
      <w:r w:rsidRPr="00F45CE1">
        <w:rPr>
          <w:lang w:val="fr-FR"/>
        </w:rPr>
        <w:tab/>
        <w:t xml:space="preserve">Un expert a suggéré, en outre, de remplacer </w:t>
      </w:r>
      <w:r>
        <w:rPr>
          <w:lang w:val="fr-FR"/>
        </w:rPr>
        <w:t>« </w:t>
      </w:r>
      <w:r w:rsidRPr="00D71054">
        <w:rPr>
          <w:i/>
          <w:iCs/>
          <w:lang w:val="fr-FR"/>
        </w:rPr>
        <w:t>label components</w:t>
      </w:r>
      <w:r>
        <w:rPr>
          <w:lang w:val="fr-FR"/>
        </w:rPr>
        <w:t> »</w:t>
      </w:r>
      <w:r w:rsidRPr="00F45CE1">
        <w:rPr>
          <w:lang w:val="fr-FR"/>
        </w:rPr>
        <w:t xml:space="preserve"> par </w:t>
      </w:r>
      <w:r>
        <w:rPr>
          <w:lang w:val="fr-FR"/>
        </w:rPr>
        <w:t>« </w:t>
      </w:r>
      <w:r w:rsidRPr="00D71054">
        <w:rPr>
          <w:i/>
          <w:iCs/>
          <w:lang w:val="fr-FR"/>
        </w:rPr>
        <w:t xml:space="preserve">label </w:t>
      </w:r>
      <w:proofErr w:type="spellStart"/>
      <w:r w:rsidRPr="00D71054">
        <w:rPr>
          <w:i/>
          <w:iCs/>
          <w:lang w:val="fr-FR"/>
        </w:rPr>
        <w:t>elements</w:t>
      </w:r>
      <w:proofErr w:type="spellEnd"/>
      <w:r>
        <w:rPr>
          <w:lang w:val="fr-FR"/>
        </w:rPr>
        <w:t> »</w:t>
      </w:r>
      <w:r w:rsidRPr="00F45CE1">
        <w:rPr>
          <w:lang w:val="fr-FR"/>
        </w:rPr>
        <w:t xml:space="preserve"> </w:t>
      </w:r>
      <w:r>
        <w:rPr>
          <w:lang w:val="fr-FR"/>
        </w:rPr>
        <w:t>dans le texte anglais du</w:t>
      </w:r>
      <w:r w:rsidRPr="00F45CE1">
        <w:rPr>
          <w:lang w:val="fr-FR"/>
        </w:rPr>
        <w:t xml:space="preserve"> paragraphe</w:t>
      </w:r>
      <w:r w:rsidR="00501B7C">
        <w:rPr>
          <w:lang w:val="fr-FR"/>
        </w:rPr>
        <w:t> </w:t>
      </w:r>
      <w:r w:rsidRPr="00F45CE1">
        <w:rPr>
          <w:lang w:val="fr-FR"/>
        </w:rPr>
        <w:t xml:space="preserve">1.4.4.3. </w:t>
      </w:r>
    </w:p>
    <w:p w14:paraId="5AB29A0D" w14:textId="77777777" w:rsidR="008D13F3" w:rsidRPr="00F45CE1" w:rsidRDefault="008D13F3" w:rsidP="00F44C68">
      <w:pPr>
        <w:pStyle w:val="SingleTxtG"/>
        <w:rPr>
          <w:lang w:val="fr-FR"/>
        </w:rPr>
      </w:pPr>
      <w:r w:rsidRPr="00F45CE1">
        <w:rPr>
          <w:lang w:val="fr-FR"/>
        </w:rPr>
        <w:lastRenderedPageBreak/>
        <w:t>5.</w:t>
      </w:r>
      <w:r w:rsidRPr="00F45CE1">
        <w:rPr>
          <w:lang w:val="fr-FR"/>
        </w:rPr>
        <w:tab/>
        <w:t xml:space="preserve">Afin que les observations reçues soient prises en compte, le secrétariat a été </w:t>
      </w:r>
      <w:r>
        <w:rPr>
          <w:lang w:val="fr-FR"/>
        </w:rPr>
        <w:t>prié d’</w:t>
      </w:r>
      <w:r w:rsidRPr="00F45CE1">
        <w:rPr>
          <w:lang w:val="fr-FR"/>
        </w:rPr>
        <w:t>inclure les options</w:t>
      </w:r>
      <w:r w:rsidR="00783C07">
        <w:rPr>
          <w:lang w:val="fr-FR"/>
        </w:rPr>
        <w:t> </w:t>
      </w:r>
      <w:r w:rsidRPr="00F45CE1">
        <w:rPr>
          <w:lang w:val="fr-FR"/>
        </w:rPr>
        <w:t>3</w:t>
      </w:r>
      <w:r w:rsidR="00783C07">
        <w:rPr>
          <w:lang w:val="fr-FR"/>
        </w:rPr>
        <w:t> </w:t>
      </w:r>
      <w:r w:rsidRPr="00F45CE1">
        <w:rPr>
          <w:lang w:val="fr-FR"/>
        </w:rPr>
        <w:t>a) et 3</w:t>
      </w:r>
      <w:r w:rsidR="00783C07">
        <w:rPr>
          <w:lang w:val="fr-FR"/>
        </w:rPr>
        <w:t> </w:t>
      </w:r>
      <w:r w:rsidRPr="00F45CE1">
        <w:rPr>
          <w:lang w:val="fr-FR"/>
        </w:rPr>
        <w:t>b) ci-après, en remplacement des options</w:t>
      </w:r>
      <w:r w:rsidR="00783C07">
        <w:rPr>
          <w:lang w:val="fr-FR"/>
        </w:rPr>
        <w:t> </w:t>
      </w:r>
      <w:r w:rsidRPr="00F45CE1">
        <w:rPr>
          <w:lang w:val="fr-FR"/>
        </w:rPr>
        <w:t xml:space="preserve">1 et 2 proposées dans le document ST/SG/AC.10/C.4/2020/6, pour examen par le Sous-Comité. </w:t>
      </w:r>
    </w:p>
    <w:p w14:paraId="10CCD75E" w14:textId="77777777" w:rsidR="008D13F3" w:rsidRPr="00F45CE1" w:rsidRDefault="008D13F3" w:rsidP="00F44C68">
      <w:pPr>
        <w:pStyle w:val="SingleTxtG"/>
        <w:rPr>
          <w:lang w:val="fr-FR"/>
        </w:rPr>
      </w:pPr>
      <w:r w:rsidRPr="00F45CE1">
        <w:rPr>
          <w:lang w:val="fr-FR"/>
        </w:rPr>
        <w:t>6.</w:t>
      </w:r>
      <w:r w:rsidRPr="00F45CE1">
        <w:rPr>
          <w:lang w:val="fr-FR"/>
        </w:rPr>
        <w:tab/>
        <w:t>La proposition ci-après inclut également la modification suggérée au paragraphe</w:t>
      </w:r>
      <w:r w:rsidR="00783C07">
        <w:rPr>
          <w:lang w:val="fr-FR"/>
        </w:rPr>
        <w:t> </w:t>
      </w:r>
      <w:r w:rsidRPr="00F45CE1">
        <w:rPr>
          <w:lang w:val="fr-FR"/>
        </w:rPr>
        <w:t>1.4.4.3.</w:t>
      </w:r>
    </w:p>
    <w:p w14:paraId="1D6EE12E" w14:textId="77777777" w:rsidR="008D13F3" w:rsidRPr="00F45CE1" w:rsidRDefault="008D13F3" w:rsidP="00783C07">
      <w:pPr>
        <w:pStyle w:val="H1G"/>
        <w:rPr>
          <w:lang w:val="fr-FR"/>
        </w:rPr>
      </w:pPr>
      <w:r w:rsidRPr="00F45CE1">
        <w:rPr>
          <w:lang w:val="fr-FR"/>
        </w:rPr>
        <w:tab/>
      </w:r>
      <w:r w:rsidRPr="00F45CE1">
        <w:rPr>
          <w:lang w:val="fr-FR"/>
        </w:rPr>
        <w:tab/>
        <w:t>Proposition</w:t>
      </w:r>
    </w:p>
    <w:p w14:paraId="41C165BF" w14:textId="77777777" w:rsidR="008D13F3" w:rsidRPr="00F45CE1" w:rsidRDefault="008D13F3" w:rsidP="00F27657">
      <w:pPr>
        <w:pStyle w:val="SingleTxtG"/>
        <w:keepNext/>
        <w:rPr>
          <w:lang w:val="fr-FR"/>
        </w:rPr>
      </w:pPr>
      <w:r w:rsidRPr="00F45CE1">
        <w:rPr>
          <w:lang w:val="fr-FR"/>
        </w:rPr>
        <w:t>5.</w:t>
      </w:r>
      <w:r w:rsidRPr="00F45CE1">
        <w:rPr>
          <w:lang w:val="fr-FR"/>
        </w:rPr>
        <w:tab/>
        <w:t>Modifier la dernière phrase du troisième paragraphe sous</w:t>
      </w:r>
      <w:r w:rsidR="00783C07">
        <w:rPr>
          <w:lang w:val="fr-FR"/>
        </w:rPr>
        <w:t> </w:t>
      </w:r>
      <w:r w:rsidRPr="00F45CE1">
        <w:rPr>
          <w:lang w:val="fr-FR"/>
        </w:rPr>
        <w:t xml:space="preserve">1.4.10.5.5.1 comme suit (les ajouts figurent en caractères </w:t>
      </w:r>
      <w:r w:rsidRPr="00F45CE1">
        <w:rPr>
          <w:b/>
          <w:bCs/>
          <w:lang w:val="fr-FR"/>
        </w:rPr>
        <w:t>gras</w:t>
      </w:r>
      <w:r w:rsidRPr="00F45CE1">
        <w:rPr>
          <w:lang w:val="fr-FR"/>
        </w:rPr>
        <w:t xml:space="preserve">, les suppressions en caractères </w:t>
      </w:r>
      <w:r w:rsidRPr="00F45CE1">
        <w:rPr>
          <w:strike/>
          <w:lang w:val="fr-FR"/>
        </w:rPr>
        <w:t>biffés</w:t>
      </w:r>
      <w:r w:rsidRPr="00F45CE1">
        <w:rPr>
          <w:lang w:val="fr-FR"/>
        </w:rPr>
        <w:t>) :</w:t>
      </w:r>
    </w:p>
    <w:p w14:paraId="33692788" w14:textId="77777777" w:rsidR="008D13F3" w:rsidRPr="00F45CE1" w:rsidRDefault="008D13F3" w:rsidP="008D13F3">
      <w:pPr>
        <w:pStyle w:val="H23G"/>
        <w:rPr>
          <w:lang w:val="fr-FR"/>
        </w:rPr>
      </w:pPr>
      <w:r w:rsidRPr="00F45CE1">
        <w:rPr>
          <w:lang w:val="fr-FR"/>
        </w:rPr>
        <w:tab/>
      </w:r>
      <w:r w:rsidRPr="00F45CE1">
        <w:rPr>
          <w:lang w:val="fr-FR"/>
        </w:rPr>
        <w:tab/>
      </w:r>
      <w:r w:rsidRPr="00F45CE1">
        <w:rPr>
          <w:lang w:val="fr-FR"/>
        </w:rPr>
        <w:tab/>
      </w:r>
      <w:r w:rsidRPr="00F45CE1">
        <w:rPr>
          <w:bCs/>
          <w:lang w:val="fr-FR"/>
        </w:rPr>
        <w:t>Option 3 a)</w:t>
      </w:r>
    </w:p>
    <w:p w14:paraId="641E4965" w14:textId="77777777" w:rsidR="008D13F3" w:rsidRPr="00F45CE1" w:rsidRDefault="008D13F3" w:rsidP="008D13F3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F45CE1">
        <w:rPr>
          <w:lang w:val="fr-FR"/>
        </w:rPr>
        <w:t xml:space="preserve">Les étiquettes sur les récipients contenant des produits chimiques transvasés pour une utilisation immédiate pourraient se limiter à </w:t>
      </w:r>
      <w:r w:rsidRPr="00F45CE1">
        <w:rPr>
          <w:strike/>
          <w:lang w:val="fr-FR"/>
        </w:rPr>
        <w:t>ne dispenser que les éléments d</w:t>
      </w:r>
      <w:r>
        <w:rPr>
          <w:strike/>
          <w:lang w:val="fr-FR"/>
        </w:rPr>
        <w:t>’</w:t>
      </w:r>
      <w:r w:rsidRPr="00F45CE1">
        <w:rPr>
          <w:strike/>
          <w:lang w:val="fr-FR"/>
        </w:rPr>
        <w:t>information principaux</w:t>
      </w:r>
      <w:r w:rsidRPr="00F27657">
        <w:rPr>
          <w:strike/>
          <w:lang w:val="fr-FR"/>
        </w:rPr>
        <w:t xml:space="preserve"> </w:t>
      </w:r>
      <w:r w:rsidRPr="00F45CE1">
        <w:rPr>
          <w:b/>
          <w:bCs/>
          <w:lang w:val="fr-FR"/>
        </w:rPr>
        <w:t>une indication des principaux ingrédients</w:t>
      </w:r>
      <w:r w:rsidRPr="00F45CE1">
        <w:rPr>
          <w:lang w:val="fr-FR"/>
        </w:rPr>
        <w:t>, et référence serait faite à une information plus complète donnée par l</w:t>
      </w:r>
      <w:r>
        <w:rPr>
          <w:lang w:val="fr-FR"/>
        </w:rPr>
        <w:t>’</w:t>
      </w:r>
      <w:r w:rsidRPr="00F45CE1">
        <w:rPr>
          <w:lang w:val="fr-FR"/>
        </w:rPr>
        <w:t>étiquette et la FDS du fournisseur.</w:t>
      </w:r>
      <w:r>
        <w:rPr>
          <w:lang w:val="fr-FR"/>
        </w:rPr>
        <w:t> »</w:t>
      </w:r>
      <w:r w:rsidR="00F27657">
        <w:rPr>
          <w:lang w:val="fr-FR"/>
        </w:rPr>
        <w:t>.</w:t>
      </w:r>
    </w:p>
    <w:p w14:paraId="78F2A259" w14:textId="77777777" w:rsidR="008D13F3" w:rsidRPr="00F45CE1" w:rsidRDefault="008D13F3" w:rsidP="008D13F3">
      <w:pPr>
        <w:pStyle w:val="H23G"/>
        <w:rPr>
          <w:lang w:val="fr-FR"/>
        </w:rPr>
      </w:pPr>
      <w:r w:rsidRPr="00F45CE1">
        <w:rPr>
          <w:lang w:val="fr-FR"/>
        </w:rPr>
        <w:tab/>
      </w:r>
      <w:r w:rsidRPr="00F45CE1">
        <w:rPr>
          <w:lang w:val="fr-FR"/>
        </w:rPr>
        <w:tab/>
      </w:r>
      <w:r w:rsidRPr="00F45CE1">
        <w:rPr>
          <w:lang w:val="fr-FR"/>
        </w:rPr>
        <w:tab/>
      </w:r>
      <w:r w:rsidRPr="00F45CE1">
        <w:rPr>
          <w:bCs/>
          <w:lang w:val="fr-FR"/>
        </w:rPr>
        <w:t>Option 3 b)</w:t>
      </w:r>
    </w:p>
    <w:p w14:paraId="0F4B1770" w14:textId="77777777" w:rsidR="008D13F3" w:rsidRPr="00F45CE1" w:rsidRDefault="008D13F3" w:rsidP="008D13F3">
      <w:pPr>
        <w:pStyle w:val="SingleTxtG"/>
        <w:ind w:left="1701"/>
        <w:rPr>
          <w:lang w:val="fr-FR"/>
        </w:rPr>
      </w:pPr>
      <w:r>
        <w:rPr>
          <w:lang w:val="fr-FR"/>
        </w:rPr>
        <w:t>« </w:t>
      </w:r>
      <w:r w:rsidRPr="00F45CE1">
        <w:rPr>
          <w:lang w:val="fr-FR"/>
        </w:rPr>
        <w:t xml:space="preserve">Les étiquettes sur les récipients contenant des produits chimiques transvasés pour une utilisation immédiate pourraient se limiter à </w:t>
      </w:r>
      <w:r w:rsidRPr="00F45CE1">
        <w:rPr>
          <w:strike/>
          <w:lang w:val="fr-FR"/>
        </w:rPr>
        <w:t>ne dispenser que les éléments d</w:t>
      </w:r>
      <w:r>
        <w:rPr>
          <w:strike/>
          <w:lang w:val="fr-FR"/>
        </w:rPr>
        <w:t>’</w:t>
      </w:r>
      <w:r w:rsidRPr="00F45CE1">
        <w:rPr>
          <w:strike/>
          <w:lang w:val="fr-FR"/>
        </w:rPr>
        <w:t>information principaux</w:t>
      </w:r>
      <w:r w:rsidRPr="00F45CE1">
        <w:rPr>
          <w:lang w:val="fr-FR"/>
        </w:rPr>
        <w:t xml:space="preserve"> </w:t>
      </w:r>
      <w:r w:rsidR="007D68AA" w:rsidRPr="007D68AA">
        <w:rPr>
          <w:b/>
          <w:bCs/>
          <w:lang w:val="fr-FR"/>
        </w:rPr>
        <w:t xml:space="preserve">une </w:t>
      </w:r>
      <w:r w:rsidRPr="00F45CE1">
        <w:rPr>
          <w:b/>
          <w:bCs/>
          <w:lang w:val="fr-FR"/>
        </w:rPr>
        <w:t>indication de l</w:t>
      </w:r>
      <w:r>
        <w:rPr>
          <w:b/>
          <w:bCs/>
          <w:lang w:val="fr-FR"/>
        </w:rPr>
        <w:t>’</w:t>
      </w:r>
      <w:r w:rsidRPr="00F45CE1">
        <w:rPr>
          <w:b/>
          <w:bCs/>
          <w:lang w:val="fr-FR"/>
        </w:rPr>
        <w:t>identifiant du produit</w:t>
      </w:r>
      <w:r w:rsidRPr="00F45CE1">
        <w:rPr>
          <w:lang w:val="fr-FR"/>
        </w:rPr>
        <w:t>, et référence serait faite à une information plus complète donnée par l</w:t>
      </w:r>
      <w:r>
        <w:rPr>
          <w:lang w:val="fr-FR"/>
        </w:rPr>
        <w:t>’</w:t>
      </w:r>
      <w:r w:rsidRPr="00F45CE1">
        <w:rPr>
          <w:lang w:val="fr-FR"/>
        </w:rPr>
        <w:t>étiquette et la FDS du fournisseur.</w:t>
      </w:r>
      <w:r>
        <w:rPr>
          <w:lang w:val="fr-FR"/>
        </w:rPr>
        <w:t> »</w:t>
      </w:r>
      <w:r w:rsidR="001718E2">
        <w:rPr>
          <w:lang w:val="fr-FR"/>
        </w:rPr>
        <w:t>.</w:t>
      </w:r>
    </w:p>
    <w:p w14:paraId="4ECED4C4" w14:textId="77777777" w:rsidR="008D13F3" w:rsidRPr="00F45CE1" w:rsidRDefault="008D13F3" w:rsidP="008D13F3">
      <w:pPr>
        <w:pStyle w:val="SingleTxtG"/>
        <w:rPr>
          <w:lang w:val="fr-FR"/>
        </w:rPr>
      </w:pPr>
      <w:r w:rsidRPr="00F45CE1">
        <w:rPr>
          <w:lang w:val="fr-FR"/>
        </w:rPr>
        <w:t>6.</w:t>
      </w:r>
      <w:r w:rsidRPr="00F45CE1">
        <w:rPr>
          <w:lang w:val="fr-FR"/>
        </w:rPr>
        <w:tab/>
      </w:r>
      <w:r>
        <w:rPr>
          <w:lang w:val="fr-FR"/>
        </w:rPr>
        <w:t>Dans le texte anglais, a</w:t>
      </w:r>
      <w:r w:rsidRPr="00F45CE1">
        <w:rPr>
          <w:lang w:val="fr-FR"/>
        </w:rPr>
        <w:t xml:space="preserve">u 1.4.4.3, remplacer </w:t>
      </w:r>
      <w:r w:rsidRPr="00717338">
        <w:rPr>
          <w:lang w:val="fr-FR"/>
        </w:rPr>
        <w:t>« </w:t>
      </w:r>
      <w:r w:rsidRPr="00717338">
        <w:rPr>
          <w:i/>
          <w:iCs/>
          <w:lang w:val="fr-FR"/>
        </w:rPr>
        <w:t>label components</w:t>
      </w:r>
      <w:r w:rsidRPr="00717338">
        <w:rPr>
          <w:lang w:val="fr-FR"/>
        </w:rPr>
        <w:t> » par « </w:t>
      </w:r>
      <w:r w:rsidRPr="00717338">
        <w:rPr>
          <w:i/>
          <w:iCs/>
          <w:lang w:val="fr-FR"/>
        </w:rPr>
        <w:t xml:space="preserve">label </w:t>
      </w:r>
      <w:proofErr w:type="spellStart"/>
      <w:r w:rsidRPr="00717338">
        <w:rPr>
          <w:i/>
          <w:iCs/>
          <w:lang w:val="fr-FR"/>
        </w:rPr>
        <w:t>elements</w:t>
      </w:r>
      <w:proofErr w:type="spellEnd"/>
      <w:r w:rsidRPr="00717338">
        <w:rPr>
          <w:lang w:val="fr-FR"/>
        </w:rPr>
        <w:t> »</w:t>
      </w:r>
      <w:r w:rsidR="007D68AA">
        <w:rPr>
          <w:lang w:val="fr-FR"/>
        </w:rPr>
        <w:t xml:space="preserve"> (deux fois)</w:t>
      </w:r>
      <w:r w:rsidRPr="00F45CE1">
        <w:rPr>
          <w:lang w:val="fr-FR"/>
        </w:rPr>
        <w:t>.</w:t>
      </w:r>
    </w:p>
    <w:p w14:paraId="6FC53C11" w14:textId="77777777" w:rsidR="00446FE5" w:rsidRPr="001718E2" w:rsidRDefault="001718E2" w:rsidP="001718E2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46FE5" w:rsidRPr="001718E2" w:rsidSect="006735F6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0B260" w14:textId="77777777" w:rsidR="002B4100" w:rsidRDefault="002B4100" w:rsidP="00F95C08">
      <w:pPr>
        <w:spacing w:line="240" w:lineRule="auto"/>
      </w:pPr>
    </w:p>
  </w:endnote>
  <w:endnote w:type="continuationSeparator" w:id="0">
    <w:p w14:paraId="42345E72" w14:textId="77777777" w:rsidR="002B4100" w:rsidRPr="00AC3823" w:rsidRDefault="002B4100" w:rsidP="00AC3823">
      <w:pPr>
        <w:pStyle w:val="Footer"/>
      </w:pPr>
    </w:p>
  </w:endnote>
  <w:endnote w:type="continuationNotice" w:id="1">
    <w:p w14:paraId="2DC606D9" w14:textId="77777777" w:rsidR="002B4100" w:rsidRDefault="002B41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8D09" w14:textId="77777777" w:rsidR="006735F6" w:rsidRPr="006735F6" w:rsidRDefault="006735F6" w:rsidP="006735F6">
    <w:pPr>
      <w:pStyle w:val="Footer"/>
      <w:tabs>
        <w:tab w:val="right" w:pos="9638"/>
      </w:tabs>
    </w:pPr>
    <w:r w:rsidRPr="006735F6">
      <w:rPr>
        <w:b/>
        <w:sz w:val="18"/>
      </w:rPr>
      <w:fldChar w:fldCharType="begin"/>
    </w:r>
    <w:r w:rsidRPr="006735F6">
      <w:rPr>
        <w:b/>
        <w:sz w:val="18"/>
      </w:rPr>
      <w:instrText xml:space="preserve"> PAGE  \* MERGEFORMAT </w:instrText>
    </w:r>
    <w:r w:rsidRPr="006735F6">
      <w:rPr>
        <w:b/>
        <w:sz w:val="18"/>
      </w:rPr>
      <w:fldChar w:fldCharType="separate"/>
    </w:r>
    <w:r w:rsidRPr="006735F6">
      <w:rPr>
        <w:b/>
        <w:noProof/>
        <w:sz w:val="18"/>
      </w:rPr>
      <w:t>2</w:t>
    </w:r>
    <w:r w:rsidRPr="006735F6">
      <w:rPr>
        <w:b/>
        <w:sz w:val="18"/>
      </w:rPr>
      <w:fldChar w:fldCharType="end"/>
    </w:r>
    <w:r>
      <w:rPr>
        <w:b/>
        <w:sz w:val="18"/>
      </w:rPr>
      <w:tab/>
    </w:r>
    <w:r>
      <w:t>GE.20-11677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D08C9" w14:textId="77777777" w:rsidR="006735F6" w:rsidRPr="006735F6" w:rsidRDefault="006735F6" w:rsidP="006735F6">
    <w:pPr>
      <w:pStyle w:val="Footer"/>
      <w:tabs>
        <w:tab w:val="right" w:pos="9638"/>
      </w:tabs>
      <w:rPr>
        <w:b/>
        <w:sz w:val="18"/>
      </w:rPr>
    </w:pPr>
    <w:r>
      <w:t>GE.20-11677</w:t>
    </w:r>
    <w:r>
      <w:tab/>
    </w:r>
    <w:r w:rsidRPr="006735F6">
      <w:rPr>
        <w:b/>
        <w:sz w:val="18"/>
      </w:rPr>
      <w:fldChar w:fldCharType="begin"/>
    </w:r>
    <w:r w:rsidRPr="006735F6">
      <w:rPr>
        <w:b/>
        <w:sz w:val="18"/>
      </w:rPr>
      <w:instrText xml:space="preserve"> PAGE  \* MERGEFORMAT </w:instrText>
    </w:r>
    <w:r w:rsidRPr="006735F6">
      <w:rPr>
        <w:b/>
        <w:sz w:val="18"/>
      </w:rPr>
      <w:fldChar w:fldCharType="separate"/>
    </w:r>
    <w:r w:rsidRPr="006735F6">
      <w:rPr>
        <w:b/>
        <w:noProof/>
        <w:sz w:val="18"/>
      </w:rPr>
      <w:t>3</w:t>
    </w:r>
    <w:r w:rsidRPr="006735F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A85CA" w14:textId="77777777" w:rsidR="0068456F" w:rsidRPr="006735F6" w:rsidRDefault="006735F6" w:rsidP="006735F6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60C2FFDD" wp14:editId="33DEB713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</w:t>
    </w:r>
    <w:proofErr w:type="gramStart"/>
    <w:r>
      <w:rPr>
        <w:sz w:val="20"/>
      </w:rPr>
      <w:t>11677  (</w:t>
    </w:r>
    <w:proofErr w:type="gramEnd"/>
    <w:r>
      <w:rPr>
        <w:sz w:val="20"/>
      </w:rPr>
      <w:t>F)    191120    191120</w:t>
    </w:r>
    <w:r>
      <w:rPr>
        <w:sz w:val="20"/>
      </w:rPr>
      <w:br/>
    </w:r>
    <w:r w:rsidRPr="006735F6">
      <w:rPr>
        <w:rFonts w:ascii="C39T30Lfz" w:hAnsi="C39T30Lfz"/>
        <w:sz w:val="56"/>
      </w:rPr>
      <w:t>*2011677*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2221C10" wp14:editId="719B423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BD220" w14:textId="77777777" w:rsidR="002B4100" w:rsidRPr="00AC3823" w:rsidRDefault="002B41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A4E080" w14:textId="77777777" w:rsidR="002B4100" w:rsidRPr="00AC3823" w:rsidRDefault="002B410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AAFFD96" w14:textId="77777777" w:rsidR="002B4100" w:rsidRPr="00AC3823" w:rsidRDefault="002B4100">
      <w:pPr>
        <w:spacing w:line="240" w:lineRule="auto"/>
        <w:rPr>
          <w:sz w:val="2"/>
          <w:szCs w:val="2"/>
        </w:rPr>
      </w:pPr>
    </w:p>
  </w:footnote>
  <w:footnote w:id="2">
    <w:p w14:paraId="6C481EDB" w14:textId="77777777" w:rsidR="008D13F3" w:rsidRPr="00E27909" w:rsidRDefault="008D13F3" w:rsidP="008D13F3">
      <w:pPr>
        <w:pStyle w:val="FootnoteText"/>
      </w:pPr>
      <w:r>
        <w:rPr>
          <w:lang w:val="fr-FR"/>
        </w:rPr>
        <w:tab/>
      </w:r>
      <w:r w:rsidRPr="004B5AC7">
        <w:rPr>
          <w:sz w:val="20"/>
          <w:lang w:val="fr-FR"/>
        </w:rPr>
        <w:t>*</w:t>
      </w:r>
      <w:r>
        <w:rPr>
          <w:lang w:val="fr-FR"/>
        </w:rPr>
        <w:tab/>
        <w:t>Sous-programme 2 du budget-programme pour 2020 (A/74/6 (</w:t>
      </w:r>
      <w:r w:rsidR="00A822D1">
        <w:rPr>
          <w:lang w:val="fr-FR"/>
        </w:rPr>
        <w:t>s</w:t>
      </w:r>
      <w:r>
        <w:rPr>
          <w:lang w:val="fr-FR"/>
        </w:rPr>
        <w:t>ect.</w:t>
      </w:r>
      <w:r w:rsidR="00A822D1">
        <w:rPr>
          <w:lang w:val="fr-FR"/>
        </w:rPr>
        <w:t> </w:t>
      </w:r>
      <w:r>
        <w:rPr>
          <w:lang w:val="fr-FR"/>
        </w:rPr>
        <w:t>20) et informations complémentaires.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2C8B" w14:textId="77777777" w:rsidR="006735F6" w:rsidRPr="006735F6" w:rsidRDefault="00D72B5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6735F6">
      <w:t>ST/SG/AC.10/C.4/2020/6/Add.1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6C28E" w14:textId="77777777" w:rsidR="006735F6" w:rsidRPr="006735F6" w:rsidRDefault="00D72B5C" w:rsidP="006735F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735F6">
      <w:t>ST/SG/AC.10/C.4/2020/6/Add.1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00"/>
    <w:rsid w:val="00017F94"/>
    <w:rsid w:val="00023842"/>
    <w:rsid w:val="000305D3"/>
    <w:rsid w:val="000334F9"/>
    <w:rsid w:val="0007796D"/>
    <w:rsid w:val="000B7790"/>
    <w:rsid w:val="00111F2F"/>
    <w:rsid w:val="00132EA9"/>
    <w:rsid w:val="0014365E"/>
    <w:rsid w:val="001718E2"/>
    <w:rsid w:val="00176178"/>
    <w:rsid w:val="001F525A"/>
    <w:rsid w:val="00223272"/>
    <w:rsid w:val="0024779E"/>
    <w:rsid w:val="00283190"/>
    <w:rsid w:val="002832AC"/>
    <w:rsid w:val="002B4100"/>
    <w:rsid w:val="002D7C93"/>
    <w:rsid w:val="00441C3B"/>
    <w:rsid w:val="00446FE5"/>
    <w:rsid w:val="00452396"/>
    <w:rsid w:val="004B5AC7"/>
    <w:rsid w:val="004E468C"/>
    <w:rsid w:val="00501B7C"/>
    <w:rsid w:val="005505B7"/>
    <w:rsid w:val="00573BE5"/>
    <w:rsid w:val="00584DC4"/>
    <w:rsid w:val="00586ED3"/>
    <w:rsid w:val="00596AA9"/>
    <w:rsid w:val="006735F6"/>
    <w:rsid w:val="0068456F"/>
    <w:rsid w:val="00696608"/>
    <w:rsid w:val="0071601D"/>
    <w:rsid w:val="00783C07"/>
    <w:rsid w:val="007A62E6"/>
    <w:rsid w:val="007A75D3"/>
    <w:rsid w:val="007D68AA"/>
    <w:rsid w:val="0080684C"/>
    <w:rsid w:val="00871C75"/>
    <w:rsid w:val="008776DC"/>
    <w:rsid w:val="008B40CD"/>
    <w:rsid w:val="008D13F3"/>
    <w:rsid w:val="009705C8"/>
    <w:rsid w:val="009C1CF4"/>
    <w:rsid w:val="00A30353"/>
    <w:rsid w:val="00A822D1"/>
    <w:rsid w:val="00AC1718"/>
    <w:rsid w:val="00AC3823"/>
    <w:rsid w:val="00AE323C"/>
    <w:rsid w:val="00B00181"/>
    <w:rsid w:val="00B00B0D"/>
    <w:rsid w:val="00B765F7"/>
    <w:rsid w:val="00BA0CA9"/>
    <w:rsid w:val="00C02897"/>
    <w:rsid w:val="00D3439C"/>
    <w:rsid w:val="00D72B5C"/>
    <w:rsid w:val="00DA6244"/>
    <w:rsid w:val="00DB1831"/>
    <w:rsid w:val="00DD3BFD"/>
    <w:rsid w:val="00DF6678"/>
    <w:rsid w:val="00E90B8F"/>
    <w:rsid w:val="00EF2E22"/>
    <w:rsid w:val="00F01738"/>
    <w:rsid w:val="00F27657"/>
    <w:rsid w:val="00F44C6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EA044A"/>
  <w15:docId w15:val="{8EFAC328-33C5-4FF8-8935-419DD317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8D13F3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0B3C7-1803-4DC6-BF05-12159E1E1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FAC04-C680-415C-9E51-573C41159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2019D-536D-4246-80C0-BF6E4C7AC3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ST/SG/AC.10/C.4/2020/6/Add.1</vt:lpstr>
    </vt:vector>
  </TitlesOfParts>
  <Company>DCM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ST/SG/AC.10/C.4/2020/6/Add.1</dc:title>
  <dc:subject/>
  <dc:creator>Nathalie VITTOZ</dc:creator>
  <cp:keywords/>
  <cp:lastModifiedBy>Laurence Berthet</cp:lastModifiedBy>
  <cp:revision>2</cp:revision>
  <cp:lastPrinted>2014-05-14T10:59:00Z</cp:lastPrinted>
  <dcterms:created xsi:type="dcterms:W3CDTF">2020-11-19T12:34:00Z</dcterms:created>
  <dcterms:modified xsi:type="dcterms:W3CDTF">2020-11-19T12:34:00Z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