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4751634" w14:textId="77777777" w:rsidTr="00F01738">
        <w:trPr>
          <w:trHeight w:hRule="exact" w:val="851"/>
        </w:trPr>
        <w:tc>
          <w:tcPr>
            <w:tcW w:w="1276" w:type="dxa"/>
            <w:tcBorders>
              <w:bottom w:val="single" w:sz="4" w:space="0" w:color="auto"/>
            </w:tcBorders>
          </w:tcPr>
          <w:p w14:paraId="3926BC37" w14:textId="77777777" w:rsidR="00132EA9" w:rsidRPr="00DB58B5" w:rsidRDefault="00132EA9" w:rsidP="00C01243"/>
        </w:tc>
        <w:tc>
          <w:tcPr>
            <w:tcW w:w="2268" w:type="dxa"/>
            <w:tcBorders>
              <w:bottom w:val="single" w:sz="4" w:space="0" w:color="auto"/>
            </w:tcBorders>
            <w:vAlign w:val="bottom"/>
          </w:tcPr>
          <w:p w14:paraId="1E0F5A9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13B0DE" w14:textId="77777777" w:rsidR="00132EA9" w:rsidRPr="00DB58B5" w:rsidRDefault="00C01243" w:rsidP="00C01243">
            <w:pPr>
              <w:jc w:val="right"/>
            </w:pPr>
            <w:r w:rsidRPr="00C01243">
              <w:rPr>
                <w:sz w:val="40"/>
              </w:rPr>
              <w:t>ST</w:t>
            </w:r>
            <w:r>
              <w:t>/SG/AC.10/C.4/2020/1</w:t>
            </w:r>
          </w:p>
        </w:tc>
      </w:tr>
      <w:tr w:rsidR="00132EA9" w:rsidRPr="00DB58B5" w14:paraId="2DD183BE" w14:textId="77777777" w:rsidTr="00F01738">
        <w:trPr>
          <w:trHeight w:hRule="exact" w:val="2835"/>
        </w:trPr>
        <w:tc>
          <w:tcPr>
            <w:tcW w:w="1276" w:type="dxa"/>
            <w:tcBorders>
              <w:top w:val="single" w:sz="4" w:space="0" w:color="auto"/>
              <w:bottom w:val="single" w:sz="12" w:space="0" w:color="auto"/>
            </w:tcBorders>
          </w:tcPr>
          <w:p w14:paraId="7AE1B5C2" w14:textId="77777777" w:rsidR="00132EA9" w:rsidRPr="00DB58B5" w:rsidRDefault="00132EA9" w:rsidP="00F01738">
            <w:pPr>
              <w:spacing w:before="120"/>
              <w:jc w:val="center"/>
            </w:pPr>
            <w:r>
              <w:rPr>
                <w:noProof/>
                <w:lang w:eastAsia="fr-CH"/>
              </w:rPr>
              <w:drawing>
                <wp:inline distT="0" distB="0" distL="0" distR="0" wp14:anchorId="578300B0" wp14:editId="57BE4C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06D0C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08370ED" w14:textId="77777777" w:rsidR="00132EA9" w:rsidRDefault="00C01243" w:rsidP="00F01738">
            <w:pPr>
              <w:spacing w:before="240"/>
            </w:pPr>
            <w:proofErr w:type="spellStart"/>
            <w:r>
              <w:t>Distr</w:t>
            </w:r>
            <w:proofErr w:type="spellEnd"/>
            <w:r>
              <w:t xml:space="preserve">. </w:t>
            </w:r>
            <w:proofErr w:type="gramStart"/>
            <w:r>
              <w:t>générale</w:t>
            </w:r>
            <w:proofErr w:type="gramEnd"/>
          </w:p>
          <w:p w14:paraId="2D9014C2" w14:textId="77777777" w:rsidR="00C01243" w:rsidRDefault="00882068" w:rsidP="00C01243">
            <w:pPr>
              <w:spacing w:line="240" w:lineRule="exact"/>
            </w:pPr>
            <w:r>
              <w:t>9</w:t>
            </w:r>
            <w:r w:rsidR="00C01243">
              <w:t xml:space="preserve"> mars 2020</w:t>
            </w:r>
          </w:p>
          <w:p w14:paraId="0B791618" w14:textId="77777777" w:rsidR="00C01243" w:rsidRDefault="00C01243" w:rsidP="00C01243">
            <w:pPr>
              <w:spacing w:line="240" w:lineRule="exact"/>
            </w:pPr>
            <w:r>
              <w:t>Français</w:t>
            </w:r>
          </w:p>
          <w:p w14:paraId="3F51525D" w14:textId="77777777" w:rsidR="00C01243" w:rsidRPr="00DB58B5" w:rsidRDefault="00C01243" w:rsidP="00C01243">
            <w:pPr>
              <w:spacing w:line="240" w:lineRule="exact"/>
            </w:pPr>
            <w:r>
              <w:t>Original : anglais</w:t>
            </w:r>
          </w:p>
        </w:tc>
      </w:tr>
    </w:tbl>
    <w:p w14:paraId="59B7CE36" w14:textId="77777777" w:rsidR="00C01243" w:rsidRPr="00CA0680" w:rsidRDefault="00C01243"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7B6EE4AD" w14:textId="77777777" w:rsidR="00C01243" w:rsidRPr="00CA0680" w:rsidRDefault="00C01243" w:rsidP="000305D3">
      <w:pPr>
        <w:spacing w:before="120"/>
        <w:rPr>
          <w:b/>
        </w:rPr>
      </w:pPr>
      <w:r w:rsidRPr="00CA0680">
        <w:rPr>
          <w:b/>
        </w:rPr>
        <w:t>Sous</w:t>
      </w:r>
      <w:r>
        <w:rPr>
          <w:b/>
        </w:rPr>
        <w:t>-</w:t>
      </w:r>
      <w:r w:rsidRPr="00CA0680">
        <w:rPr>
          <w:b/>
        </w:rPr>
        <w:t>Comité d</w:t>
      </w:r>
      <w:r>
        <w:rPr>
          <w:b/>
        </w:rPr>
        <w:t>’</w:t>
      </w:r>
      <w:r w:rsidRPr="00CA0680">
        <w:rPr>
          <w:b/>
        </w:rPr>
        <w:t xml:space="preserve">experts </w:t>
      </w:r>
      <w:r>
        <w:rPr>
          <w:b/>
        </w:rPr>
        <w:t>du Système général harmonisé</w:t>
      </w:r>
      <w:r>
        <w:rPr>
          <w:b/>
        </w:rPr>
        <w:br/>
        <w:t>de classification et d’étiquetage des produits chimiques</w:t>
      </w:r>
    </w:p>
    <w:p w14:paraId="6847B2BD" w14:textId="77777777" w:rsidR="00C01243" w:rsidRDefault="00C01243" w:rsidP="000305D3">
      <w:pPr>
        <w:spacing w:before="120"/>
        <w:rPr>
          <w:b/>
        </w:rPr>
      </w:pPr>
      <w:r>
        <w:rPr>
          <w:b/>
          <w:bCs/>
          <w:lang w:val="fr-FR"/>
        </w:rPr>
        <w:t>Trente-neuvième</w:t>
      </w:r>
      <w:r w:rsidRPr="00CA0680">
        <w:rPr>
          <w:b/>
        </w:rPr>
        <w:t xml:space="preserve"> session</w:t>
      </w:r>
    </w:p>
    <w:p w14:paraId="21A0DA19" w14:textId="77777777" w:rsidR="00C01243" w:rsidRDefault="00C01243" w:rsidP="000305D3">
      <w:r>
        <w:t xml:space="preserve">Genève, </w:t>
      </w:r>
      <w:r>
        <w:rPr>
          <w:lang w:val="fr-FR"/>
        </w:rPr>
        <w:t>8-10 juillet 2020</w:t>
      </w:r>
    </w:p>
    <w:p w14:paraId="32DBB7F7" w14:textId="77777777" w:rsidR="00C01243" w:rsidRDefault="00C01243" w:rsidP="000305D3">
      <w:r>
        <w:t>Point 5 c) de l’ordre du jour provisoire</w:t>
      </w:r>
    </w:p>
    <w:p w14:paraId="322D5220" w14:textId="77777777" w:rsidR="00C01243" w:rsidRPr="00810D32" w:rsidRDefault="00C01243" w:rsidP="00C01243">
      <w:pPr>
        <w:rPr>
          <w:b/>
          <w:bCs/>
        </w:rPr>
      </w:pPr>
      <w:r>
        <w:rPr>
          <w:b/>
          <w:bCs/>
          <w:lang w:val="fr-FR"/>
        </w:rPr>
        <w:t xml:space="preserve">Mise en œuvre du SGH : coopération avec d’autres organes </w:t>
      </w:r>
      <w:r>
        <w:rPr>
          <w:b/>
          <w:bCs/>
          <w:lang w:val="fr-FR"/>
        </w:rPr>
        <w:br/>
        <w:t>ou organisations internationales</w:t>
      </w:r>
    </w:p>
    <w:p w14:paraId="0FB475D6" w14:textId="77777777" w:rsidR="00C01243" w:rsidRPr="00810D32" w:rsidRDefault="00C01243" w:rsidP="00C01243">
      <w:pPr>
        <w:pStyle w:val="HChG"/>
      </w:pPr>
      <w:r>
        <w:rPr>
          <w:lang w:val="fr-FR"/>
        </w:rPr>
        <w:tab/>
      </w:r>
      <w:r>
        <w:rPr>
          <w:lang w:val="fr-FR"/>
        </w:rPr>
        <w:tab/>
        <w:t>Examen et mise à jour des références aux documents d’orientation et aux lignes directrices pour les essais de l’OCDE aux annexes 9 et 10 du SGH</w:t>
      </w:r>
    </w:p>
    <w:p w14:paraId="19194EEA" w14:textId="77777777" w:rsidR="00C01243" w:rsidRPr="00810D32" w:rsidRDefault="00C01243" w:rsidP="00C01243">
      <w:pPr>
        <w:pStyle w:val="H1G"/>
      </w:pPr>
      <w:r>
        <w:rPr>
          <w:lang w:val="fr-FR"/>
        </w:rPr>
        <w:tab/>
      </w:r>
      <w:r>
        <w:rPr>
          <w:lang w:val="fr-FR"/>
        </w:rPr>
        <w:tab/>
        <w:t>Note du secrétariat</w:t>
      </w:r>
      <w:r w:rsidRPr="00C01243">
        <w:rPr>
          <w:rStyle w:val="FootnoteReference"/>
          <w:b w:val="0"/>
          <w:sz w:val="20"/>
          <w:vertAlign w:val="baseline"/>
        </w:rPr>
        <w:footnoteReference w:customMarkFollows="1" w:id="2"/>
        <w:t>*</w:t>
      </w:r>
    </w:p>
    <w:p w14:paraId="7AF51503" w14:textId="77777777" w:rsidR="00C01243" w:rsidRPr="00810D32" w:rsidRDefault="00C01243" w:rsidP="00C01243">
      <w:pPr>
        <w:pStyle w:val="HChG"/>
      </w:pPr>
      <w:r>
        <w:rPr>
          <w:lang w:val="fr-FR"/>
        </w:rPr>
        <w:tab/>
      </w:r>
      <w:r>
        <w:rPr>
          <w:lang w:val="fr-FR"/>
        </w:rPr>
        <w:tab/>
        <w:t>Contexte</w:t>
      </w:r>
    </w:p>
    <w:p w14:paraId="27340229" w14:textId="77777777" w:rsidR="00C01243" w:rsidRPr="00810D32" w:rsidRDefault="00C01243" w:rsidP="00C01243">
      <w:pPr>
        <w:pStyle w:val="SingleTxtG"/>
      </w:pPr>
      <w:r>
        <w:rPr>
          <w:lang w:val="fr-FR"/>
        </w:rPr>
        <w:t>1.</w:t>
      </w:r>
      <w:r>
        <w:rPr>
          <w:lang w:val="fr-FR"/>
        </w:rPr>
        <w:tab/>
        <w:t>À sa trente-huitième session, le Sous-Comité a examiné le document ST/SG/AC.10/ C.4/2019/14 ainsi que les documents informels INF.3 et INF.9, dans lesquels figurent des propositions relatives à l’examen et à la mise à jour des références aux documents d’orientation et aux lignes directrices pour les essais de l’OCDE dans le SGH.</w:t>
      </w:r>
    </w:p>
    <w:p w14:paraId="1143B24B" w14:textId="77777777" w:rsidR="00C01243" w:rsidRPr="00810D32" w:rsidRDefault="00C01243" w:rsidP="00C01243">
      <w:pPr>
        <w:pStyle w:val="SingleTxtG"/>
      </w:pPr>
      <w:r>
        <w:rPr>
          <w:lang w:val="fr-FR"/>
        </w:rPr>
        <w:t>2.</w:t>
      </w:r>
      <w:r>
        <w:rPr>
          <w:lang w:val="fr-FR"/>
        </w:rPr>
        <w:tab/>
        <w:t xml:space="preserve">Après avoir délibéré, le Sous-Comité a adopté les amendements aux chapitres 3.2 et 3.5 et au paragraphe A9.5.2.3.5 contenus dans le document ST/SG/AC.10/C.4/2019/14 et il a salué les propositions figurant dans le document informel INF.9. Les avis étant partagés sur ces propositions, le Sous-Comité a invité le secrétariat à les distribuer sous une cote officielle pour la trente-neuvième session (voir le rapport du Sous-Comité sur sa trente-huitième session, ST/SG/AC.10/C.4/76, par. 49 et 50). Le présent document fait suite à cette demande. </w:t>
      </w:r>
    </w:p>
    <w:p w14:paraId="6D1BA117" w14:textId="77777777" w:rsidR="00C01243" w:rsidRPr="00810D32" w:rsidRDefault="00C01243" w:rsidP="00C01243">
      <w:pPr>
        <w:pStyle w:val="HChG"/>
      </w:pPr>
      <w:r>
        <w:rPr>
          <w:lang w:val="fr-FR"/>
        </w:rPr>
        <w:tab/>
      </w:r>
      <w:r>
        <w:rPr>
          <w:lang w:val="fr-FR"/>
        </w:rPr>
        <w:tab/>
        <w:t>Introduction</w:t>
      </w:r>
    </w:p>
    <w:p w14:paraId="57FFD1E3" w14:textId="77777777" w:rsidR="00C01243" w:rsidRPr="00810D32" w:rsidRDefault="00C01243" w:rsidP="00C01243">
      <w:pPr>
        <w:pStyle w:val="SingleTxtG"/>
      </w:pPr>
      <w:r>
        <w:rPr>
          <w:lang w:val="fr-FR"/>
        </w:rPr>
        <w:t>3.</w:t>
      </w:r>
      <w:r>
        <w:rPr>
          <w:lang w:val="fr-FR"/>
        </w:rPr>
        <w:tab/>
        <w:t xml:space="preserve">Les annexes 9 et 10 du SGH contiennent de nombreux renvois à des normes et lignes directrices élaborées par différents organisations ou organismes de normalisation. Une liste exhaustive de ces références figure dans les appendices des annexes concernées. </w:t>
      </w:r>
    </w:p>
    <w:p w14:paraId="0C23C5EA" w14:textId="77777777" w:rsidR="00C01243" w:rsidRPr="00810D32" w:rsidRDefault="00C01243" w:rsidP="00C01243">
      <w:pPr>
        <w:pStyle w:val="SingleTxtG"/>
      </w:pPr>
      <w:r>
        <w:rPr>
          <w:lang w:val="fr-FR"/>
        </w:rPr>
        <w:lastRenderedPageBreak/>
        <w:t>4.</w:t>
      </w:r>
      <w:r>
        <w:rPr>
          <w:lang w:val="fr-FR"/>
        </w:rPr>
        <w:tab/>
        <w:t>Les normes et lignes directrices auxquelles renvoient les annexes 9 et 10 sont celles qui existaient au moment de l’adoption du SGH. Depuis, certains de ces documents ont été remplacés par des versions révisées ou de nouvelles versions, voire annulés.</w:t>
      </w:r>
    </w:p>
    <w:p w14:paraId="536C4A52" w14:textId="77777777" w:rsidR="00C01243" w:rsidRPr="00810D32" w:rsidRDefault="00C01243" w:rsidP="00C01243">
      <w:pPr>
        <w:pStyle w:val="SingleTxtG"/>
        <w:rPr>
          <w:rFonts w:asciiTheme="majorBidi" w:hAnsiTheme="majorBidi" w:cstheme="majorBidi"/>
        </w:rPr>
      </w:pPr>
      <w:r>
        <w:rPr>
          <w:lang w:val="fr-FR"/>
        </w:rPr>
        <w:t>5.</w:t>
      </w:r>
      <w:r>
        <w:rPr>
          <w:lang w:val="fr-FR"/>
        </w:rPr>
        <w:tab/>
        <w:t xml:space="preserve">La proposition du secrétariat de l’OCDE figurant dans le document ST/SG/AC.10/ C.4/2019/14 vise à ajouter, s’il y a lieu, une note de bas de page en regard des renvois aux documents de l’OCDE afin d’informer les lecteurs lorsqu’une version révisée plus récente est disponible. </w:t>
      </w:r>
    </w:p>
    <w:p w14:paraId="7C6BFAFC" w14:textId="77777777" w:rsidR="00C01243" w:rsidRPr="00810D32" w:rsidRDefault="00C01243" w:rsidP="00C01243">
      <w:pPr>
        <w:pStyle w:val="SingleTxtG"/>
        <w:rPr>
          <w:rFonts w:asciiTheme="majorBidi" w:hAnsiTheme="majorBidi" w:cstheme="majorBidi"/>
        </w:rPr>
      </w:pPr>
      <w:r>
        <w:rPr>
          <w:lang w:val="fr-FR"/>
        </w:rPr>
        <w:t>6.</w:t>
      </w:r>
      <w:r>
        <w:rPr>
          <w:lang w:val="fr-FR"/>
        </w:rPr>
        <w:tab/>
        <w:t xml:space="preserve">Ayant à l’esprit que le SGH contient des renvois à de nombreuses autres normes et lignes directrices pour les épreuves qui sont susceptibles d’être également obsolètes, le secrétariat souhaite inviter le Sous-Comité à envisager une méthode systématique de mise à jour de toutes les références aux normes et lignes directrices qui figurent dans les annexes 9 et 10, afin de faciliter les futures actualisations en évitant les répétitions et la prolifération  des notes de bas de page ainsi que la renumérotation fastidieuse de celles qui existent déjà. </w:t>
      </w:r>
    </w:p>
    <w:p w14:paraId="55889586" w14:textId="77777777" w:rsidR="00C01243" w:rsidRPr="00810D32" w:rsidRDefault="00C01243" w:rsidP="00C01243">
      <w:pPr>
        <w:pStyle w:val="SingleTxtG"/>
        <w:rPr>
          <w:rFonts w:asciiTheme="majorBidi" w:hAnsiTheme="majorBidi" w:cstheme="majorBidi"/>
        </w:rPr>
      </w:pPr>
      <w:r>
        <w:rPr>
          <w:lang w:val="fr-FR"/>
        </w:rPr>
        <w:t>7.</w:t>
      </w:r>
      <w:r>
        <w:rPr>
          <w:lang w:val="fr-FR"/>
        </w:rPr>
        <w:tab/>
        <w:t>Le Sous-Comité est invité à examiner les deux options ci-après en tant que solutions de rechange aux propositions de modification des annexes 9 et 10 qui figurent dans le document ST/SG/AC.10/C.4/2019/14, ainsi que les questions soulevées dans les observations du secrétariat qui figurent aux pages 6 et 7 du présent document.</w:t>
      </w:r>
    </w:p>
    <w:p w14:paraId="73DD18CF" w14:textId="43587834" w:rsidR="00C01243" w:rsidRPr="00810D32" w:rsidRDefault="00C01243" w:rsidP="00C01243">
      <w:pPr>
        <w:pStyle w:val="HChG"/>
      </w:pPr>
      <w:r>
        <w:rPr>
          <w:lang w:val="fr-FR"/>
        </w:rPr>
        <w:tab/>
      </w:r>
      <w:r>
        <w:rPr>
          <w:lang w:val="fr-FR"/>
        </w:rPr>
        <w:tab/>
      </w:r>
      <w:r>
        <w:rPr>
          <w:bCs/>
          <w:lang w:val="fr-FR"/>
        </w:rPr>
        <w:t>Option 1</w:t>
      </w:r>
      <w:r w:rsidR="007D3264">
        <w:rPr>
          <w:bCs/>
          <w:lang w:val="fr-FR"/>
        </w:rPr>
        <w:br/>
      </w:r>
      <w:r>
        <w:rPr>
          <w:bCs/>
          <w:lang w:val="fr-FR"/>
        </w:rPr>
        <w:t>Évoquer les mises à jour dans une indication générale</w:t>
      </w:r>
    </w:p>
    <w:p w14:paraId="040DA2F5" w14:textId="77777777" w:rsidR="00C01243" w:rsidRPr="00810D32" w:rsidRDefault="00C01243" w:rsidP="00C01243">
      <w:pPr>
        <w:pStyle w:val="SingleTxtG"/>
      </w:pPr>
      <w:r>
        <w:rPr>
          <w:lang w:val="fr-FR"/>
        </w:rPr>
        <w:t>8.</w:t>
      </w:r>
      <w:r>
        <w:rPr>
          <w:lang w:val="fr-FR"/>
        </w:rPr>
        <w:tab/>
        <w:t>Dans la liste des textes de référence concernant les lignes directrices pour les essais, à l’appendice V de l’annexe 9, on peut lire la note de bas de page suivante : « Il sera nécessaire de mettre à jour régulièrement la liste ci-dessus en fonction de l’adoption et de l’élaboration de nouvelles lignes directrices. »</w:t>
      </w:r>
      <w:r w:rsidR="00EB797D">
        <w:rPr>
          <w:lang w:val="fr-FR"/>
        </w:rPr>
        <w:t>.</w:t>
      </w:r>
      <w:r>
        <w:rPr>
          <w:lang w:val="fr-FR"/>
        </w:rPr>
        <w:t xml:space="preserve"> Néanmoins, depuis que la liste des lignes directrices a été ajoutée au SGH, elle n’a pas fait l’objet d’un examen régulier visant à recenser les révisions ou les nouvelles éditions, notamment en ce qui concerne les renvois au</w:t>
      </w:r>
      <w:r w:rsidR="00EB797D">
        <w:rPr>
          <w:lang w:val="fr-FR"/>
        </w:rPr>
        <w:t>x</w:t>
      </w:r>
      <w:r>
        <w:rPr>
          <w:lang w:val="fr-FR"/>
        </w:rPr>
        <w:t xml:space="preserve"> lignes directrices publiées par l’Agence de protection de l’environnement (EPA) des États-Unis d’Amérique ou par son Office of Prevention, Pesticides and </w:t>
      </w:r>
      <w:proofErr w:type="spellStart"/>
      <w:r>
        <w:rPr>
          <w:lang w:val="fr-FR"/>
        </w:rPr>
        <w:t>Toxic</w:t>
      </w:r>
      <w:proofErr w:type="spellEnd"/>
      <w:r>
        <w:rPr>
          <w:lang w:val="fr-FR"/>
        </w:rPr>
        <w:t xml:space="preserve"> Substances (OPPTS), par la Commission européenne (CE), par l’American Society for </w:t>
      </w:r>
      <w:proofErr w:type="spellStart"/>
      <w:r>
        <w:rPr>
          <w:lang w:val="fr-FR"/>
        </w:rPr>
        <w:t>Testing</w:t>
      </w:r>
      <w:proofErr w:type="spellEnd"/>
      <w:r>
        <w:rPr>
          <w:lang w:val="fr-FR"/>
        </w:rPr>
        <w:t xml:space="preserve"> and Materials (ASTM) ou par l’Organisation internationale de normalisation (ISO).</w:t>
      </w:r>
    </w:p>
    <w:p w14:paraId="1A3137E5" w14:textId="77777777" w:rsidR="00C01243" w:rsidRPr="00810D32" w:rsidRDefault="00C01243" w:rsidP="00C01243">
      <w:pPr>
        <w:pStyle w:val="SingleTxtG"/>
      </w:pPr>
      <w:r>
        <w:rPr>
          <w:lang w:val="fr-FR"/>
        </w:rPr>
        <w:t>9.</w:t>
      </w:r>
      <w:r>
        <w:rPr>
          <w:lang w:val="fr-FR"/>
        </w:rPr>
        <w:tab/>
        <w:t>Selon le paragraphe 1 de l’appendice V de l’annexe 9 du SGH, la plupart de ces documents peuvent être trouvés dans des compilations en ligne disponibles auprès des organisations qui les délivrent, par exemple la Commission européenne, l’ISO, l’OPPTS, l’EPA ou encore l’ASTM.</w:t>
      </w:r>
    </w:p>
    <w:p w14:paraId="6D3A0A14" w14:textId="77777777" w:rsidR="00C01243" w:rsidRPr="00810D32" w:rsidRDefault="00C01243" w:rsidP="00C01243">
      <w:pPr>
        <w:pStyle w:val="SingleTxtG"/>
      </w:pPr>
      <w:r>
        <w:rPr>
          <w:lang w:val="fr-FR"/>
        </w:rPr>
        <w:t>10.</w:t>
      </w:r>
      <w:r>
        <w:rPr>
          <w:lang w:val="fr-FR"/>
        </w:rPr>
        <w:tab/>
        <w:t xml:space="preserve">Compte tenu du nombre de renvois à des normes, lignes directrices pour les essais et autres documents d’orientation énumérés aux appendices V et VI de l’annexe 9, il peut s’avérer assez long et fastidieux de procéder régulièrement à des examens pour rechercher des mises à jour, des révisions ou des versions abrogées afin d’élaborer en conséquence les propositions d’amendement à la liste qui figure dans le SGH. </w:t>
      </w:r>
    </w:p>
    <w:p w14:paraId="66A1A2D1" w14:textId="77777777" w:rsidR="00C01243" w:rsidRPr="00810D32" w:rsidRDefault="00C01243" w:rsidP="00C01243">
      <w:pPr>
        <w:pStyle w:val="SingleTxtG"/>
      </w:pPr>
      <w:r>
        <w:rPr>
          <w:lang w:val="fr-FR"/>
        </w:rPr>
        <w:t>11.</w:t>
      </w:r>
      <w:r>
        <w:rPr>
          <w:lang w:val="fr-FR"/>
        </w:rPr>
        <w:tab/>
        <w:t>En outre, en gardant à l’esprit que :</w:t>
      </w:r>
    </w:p>
    <w:p w14:paraId="61F00803" w14:textId="77777777" w:rsidR="00C01243" w:rsidRPr="00810D32" w:rsidRDefault="00C01243" w:rsidP="00C01243">
      <w:pPr>
        <w:pStyle w:val="SingleTxtG"/>
        <w:ind w:left="2268" w:hanging="567"/>
      </w:pPr>
      <w:r>
        <w:rPr>
          <w:lang w:val="fr-FR"/>
        </w:rPr>
        <w:t>a)</w:t>
      </w:r>
      <w:r>
        <w:rPr>
          <w:lang w:val="fr-FR"/>
        </w:rPr>
        <w:tab/>
        <w:t>le texte des annexes 9 et 10 reste inchangé (y figurent les renvois aux normes qui étaient disponibles au moment de l’élaboration de ces annexes) ; et que</w:t>
      </w:r>
    </w:p>
    <w:p w14:paraId="50703DFF" w14:textId="77777777" w:rsidR="00C01243" w:rsidRPr="00810D32" w:rsidRDefault="00C01243" w:rsidP="00C01243">
      <w:pPr>
        <w:pStyle w:val="SingleTxtG"/>
        <w:ind w:left="2268" w:hanging="567"/>
      </w:pPr>
      <w:r>
        <w:rPr>
          <w:lang w:val="fr-FR"/>
        </w:rPr>
        <w:t>b)</w:t>
      </w:r>
      <w:r>
        <w:rPr>
          <w:lang w:val="fr-FR"/>
        </w:rPr>
        <w:tab/>
        <w:t>les renseignements concernant les versions nouvelles ou révisées des normes et des lignes directrices pour les épreuves et autres documents d’orientation peuvent être facilement consultés au prix d’une simple recherche sur les sites Web des organisations qui les ont publiés</w:t>
      </w:r>
      <w:r w:rsidR="00EB797D">
        <w:rPr>
          <w:lang w:val="fr-FR"/>
        </w:rPr>
        <w:t> ;</w:t>
      </w:r>
    </w:p>
    <w:p w14:paraId="7D07307B" w14:textId="77777777" w:rsidR="00C01243" w:rsidRPr="00810D32" w:rsidRDefault="00C01243" w:rsidP="00C01243">
      <w:pPr>
        <w:pStyle w:val="SingleTxtG"/>
        <w:ind w:firstLine="567"/>
      </w:pPr>
      <w:proofErr w:type="gramStart"/>
      <w:r>
        <w:rPr>
          <w:lang w:val="fr-FR"/>
        </w:rPr>
        <w:t>le</w:t>
      </w:r>
      <w:proofErr w:type="gramEnd"/>
      <w:r>
        <w:rPr>
          <w:lang w:val="fr-FR"/>
        </w:rPr>
        <w:t xml:space="preserve"> secrétariat voudrait inviter le Sous-Comité à examiner la proposition suivante. </w:t>
      </w:r>
    </w:p>
    <w:p w14:paraId="17DBDE84" w14:textId="77777777" w:rsidR="00C01243" w:rsidRPr="00810D32" w:rsidRDefault="00C01243" w:rsidP="00882068">
      <w:pPr>
        <w:pStyle w:val="H1G"/>
      </w:pPr>
      <w:bookmarkStart w:id="0" w:name="_GoBack"/>
      <w:bookmarkEnd w:id="0"/>
      <w:r>
        <w:rPr>
          <w:lang w:val="fr-FR"/>
        </w:rPr>
        <w:lastRenderedPageBreak/>
        <w:tab/>
      </w:r>
      <w:r>
        <w:rPr>
          <w:lang w:val="fr-FR"/>
        </w:rPr>
        <w:tab/>
        <w:t xml:space="preserve">Proposition </w:t>
      </w:r>
    </w:p>
    <w:p w14:paraId="68F41CEE" w14:textId="77777777" w:rsidR="00C01243" w:rsidRPr="00810D32" w:rsidRDefault="00C01243" w:rsidP="00882068">
      <w:pPr>
        <w:pStyle w:val="H23G"/>
      </w:pPr>
      <w:r>
        <w:rPr>
          <w:lang w:val="fr-FR"/>
        </w:rPr>
        <w:tab/>
      </w:r>
      <w:r w:rsidR="00882068">
        <w:rPr>
          <w:lang w:val="fr-FR"/>
        </w:rPr>
        <w:tab/>
      </w:r>
      <w:r>
        <w:rPr>
          <w:lang w:val="fr-FR"/>
        </w:rPr>
        <w:t>Annexe 9</w:t>
      </w:r>
    </w:p>
    <w:p w14:paraId="7806D264" w14:textId="77777777" w:rsidR="00C01243" w:rsidRPr="00810D32" w:rsidRDefault="00C01243" w:rsidP="00C01243">
      <w:pPr>
        <w:pStyle w:val="SingleTxtG"/>
        <w:rPr>
          <w:rFonts w:asciiTheme="majorBidi" w:hAnsiTheme="majorBidi" w:cstheme="majorBidi"/>
        </w:rPr>
      </w:pPr>
      <w:r>
        <w:rPr>
          <w:lang w:val="fr-FR"/>
        </w:rPr>
        <w:t xml:space="preserve">Ajouter, sous le titre de l’annexe 9, le nota ci-après et supprimer la note de bas de page 1 : </w:t>
      </w:r>
    </w:p>
    <w:p w14:paraId="38C230CD" w14:textId="77777777" w:rsidR="00C01243" w:rsidRPr="00810D32" w:rsidRDefault="00C01243" w:rsidP="00C01243">
      <w:pPr>
        <w:pStyle w:val="SingleTxtG"/>
        <w:ind w:left="1701"/>
        <w:rPr>
          <w:i/>
          <w:iCs/>
        </w:rPr>
      </w:pPr>
      <w:r>
        <w:rPr>
          <w:lang w:val="fr-FR"/>
        </w:rPr>
        <w:t>« </w:t>
      </w:r>
      <w:r>
        <w:rPr>
          <w:b/>
          <w:bCs/>
          <w:i/>
          <w:iCs/>
          <w:lang w:val="fr-FR"/>
        </w:rPr>
        <w:t>NOTA </w:t>
      </w:r>
      <w:r>
        <w:rPr>
          <w:i/>
          <w:iCs/>
          <w:lang w:val="fr-FR"/>
        </w:rPr>
        <w:t xml:space="preserve">: Le texte de l’annexe 9 s’inspire largement du “Document d’orientation pour l’utilisation du système harmonisé de classification des produits chimiques dangereux pour l’environnement aquatique”, publié par l’OCDE en 2001 dans le </w:t>
      </w:r>
      <w:r w:rsidR="00882068" w:rsidRPr="00882068">
        <w:rPr>
          <w:rFonts w:eastAsia="MS Mincho"/>
          <w:i/>
          <w:iCs/>
          <w:szCs w:val="22"/>
          <w:lang w:val="fr-FR"/>
        </w:rPr>
        <w:t>n</w:t>
      </w:r>
      <w:r w:rsidR="00882068" w:rsidRPr="00882068">
        <w:rPr>
          <w:rFonts w:eastAsia="MS Mincho"/>
          <w:i/>
          <w:iCs/>
          <w:szCs w:val="22"/>
          <w:vertAlign w:val="superscript"/>
          <w:lang w:val="fr-FR"/>
        </w:rPr>
        <w:t>o</w:t>
      </w:r>
      <w:r w:rsidR="00882068">
        <w:rPr>
          <w:i/>
          <w:iCs/>
          <w:lang w:val="fr-FR"/>
        </w:rPr>
        <w:t> </w:t>
      </w:r>
      <w:r>
        <w:rPr>
          <w:i/>
          <w:iCs/>
          <w:lang w:val="fr-FR"/>
        </w:rPr>
        <w:t>27 de la série de l’OCDE sur les essais et évaluations (ENV/JM/</w:t>
      </w:r>
      <w:proofErr w:type="gramStart"/>
      <w:r>
        <w:rPr>
          <w:i/>
          <w:iCs/>
          <w:lang w:val="fr-FR"/>
        </w:rPr>
        <w:t>MONO(</w:t>
      </w:r>
      <w:proofErr w:type="gramEnd"/>
      <w:r>
        <w:rPr>
          <w:i/>
          <w:iCs/>
          <w:lang w:val="fr-FR"/>
        </w:rPr>
        <w:t>2001)8).</w:t>
      </w:r>
      <w:r>
        <w:rPr>
          <w:lang w:val="fr-FR"/>
        </w:rPr>
        <w:t xml:space="preserve"> </w:t>
      </w:r>
      <w:r>
        <w:rPr>
          <w:i/>
          <w:iCs/>
          <w:lang w:val="fr-FR"/>
        </w:rPr>
        <w:t>Le Document d’orientation est resté inchangé depuis sa publication en 2001 mais l’OCDE a adopté entre-temps de nouvelles lignes directrices pour les essais de produits chimiques et documents d’orientation, qui constituent une source additionnelle d’information (voir par</w:t>
      </w:r>
      <w:r w:rsidR="00EB797D">
        <w:rPr>
          <w:i/>
          <w:iCs/>
          <w:lang w:val="fr-FR"/>
        </w:rPr>
        <w:t>.</w:t>
      </w:r>
      <w:r>
        <w:rPr>
          <w:i/>
          <w:iCs/>
          <w:lang w:val="fr-FR"/>
        </w:rPr>
        <w:t> 1 de l’appendice V de la présente annexe).</w:t>
      </w:r>
      <w:r>
        <w:rPr>
          <w:lang w:val="fr-FR"/>
        </w:rPr>
        <w:t> »</w:t>
      </w:r>
      <w:r w:rsidR="00882068">
        <w:rPr>
          <w:lang w:val="fr-FR"/>
        </w:rPr>
        <w:t>.</w:t>
      </w:r>
    </w:p>
    <w:p w14:paraId="0CD706A9" w14:textId="77777777" w:rsidR="00C01243" w:rsidRPr="00810D32" w:rsidRDefault="00C01243" w:rsidP="00882068">
      <w:pPr>
        <w:pStyle w:val="H23G"/>
      </w:pPr>
      <w:r>
        <w:rPr>
          <w:lang w:val="fr-FR"/>
        </w:rPr>
        <w:tab/>
      </w:r>
      <w:r w:rsidR="00882068">
        <w:rPr>
          <w:lang w:val="fr-FR"/>
        </w:rPr>
        <w:tab/>
      </w:r>
      <w:r>
        <w:rPr>
          <w:lang w:val="fr-FR"/>
        </w:rPr>
        <w:t>Annexe 9, appendice V</w:t>
      </w:r>
    </w:p>
    <w:p w14:paraId="3027413C" w14:textId="77777777" w:rsidR="00C01243" w:rsidRPr="00810D32" w:rsidRDefault="00C01243" w:rsidP="00C01243">
      <w:pPr>
        <w:pStyle w:val="SingleTxtG"/>
        <w:rPr>
          <w:i/>
          <w:iCs/>
        </w:rPr>
      </w:pPr>
      <w:r>
        <w:rPr>
          <w:lang w:val="fr-FR"/>
        </w:rPr>
        <w:t>Modifier le texte actuel du paragraphe 1 de l’appendice V de l’annexe 9, comme suit (</w:t>
      </w:r>
      <w:r>
        <w:rPr>
          <w:i/>
          <w:iCs/>
          <w:lang w:val="fr-FR"/>
        </w:rPr>
        <w:t xml:space="preserve">les suppressions figurent en caractères </w:t>
      </w:r>
      <w:r w:rsidRPr="00DD6C00">
        <w:rPr>
          <w:i/>
          <w:iCs/>
          <w:strike/>
          <w:color w:val="FF0000"/>
          <w:lang w:val="fr-FR"/>
        </w:rPr>
        <w:t>rouges biffés</w:t>
      </w:r>
      <w:r w:rsidRPr="00DD6C00">
        <w:rPr>
          <w:i/>
          <w:iCs/>
          <w:lang w:val="fr-FR"/>
        </w:rPr>
        <w:t> </w:t>
      </w:r>
      <w:r>
        <w:rPr>
          <w:i/>
          <w:iCs/>
          <w:lang w:val="fr-FR"/>
        </w:rPr>
        <w:t>;</w:t>
      </w:r>
      <w:r>
        <w:rPr>
          <w:lang w:val="fr-FR"/>
        </w:rPr>
        <w:t xml:space="preserve"> </w:t>
      </w:r>
      <w:r>
        <w:rPr>
          <w:i/>
          <w:iCs/>
          <w:lang w:val="fr-FR"/>
        </w:rPr>
        <w:t xml:space="preserve">les ajouts en </w:t>
      </w:r>
      <w:r w:rsidRPr="000809A0">
        <w:rPr>
          <w:i/>
          <w:iCs/>
          <w:lang w:val="fr-FR"/>
        </w:rPr>
        <w:t xml:space="preserve">caractères </w:t>
      </w:r>
      <w:r w:rsidRPr="000809A0">
        <w:rPr>
          <w:i/>
          <w:iCs/>
          <w:color w:val="4F81BD" w:themeColor="accent1"/>
          <w:u w:val="single"/>
          <w:lang w:val="fr-FR"/>
        </w:rPr>
        <w:t>bleus soulignés</w:t>
      </w:r>
      <w:r>
        <w:rPr>
          <w:lang w:val="fr-FR"/>
        </w:rPr>
        <w:t xml:space="preserve">) : </w:t>
      </w:r>
    </w:p>
    <w:p w14:paraId="6CFE6B58" w14:textId="77777777" w:rsidR="00C01243" w:rsidRPr="00810D32" w:rsidRDefault="00C01243" w:rsidP="00C01243">
      <w:pPr>
        <w:pStyle w:val="SingleTxtG"/>
        <w:ind w:left="1701"/>
      </w:pPr>
      <w:r>
        <w:rPr>
          <w:lang w:val="fr-FR"/>
        </w:rPr>
        <w:t>« </w:t>
      </w:r>
      <w:r w:rsidRPr="000809A0">
        <w:rPr>
          <w:color w:val="4F81BD" w:themeColor="accent1"/>
          <w:u w:val="single"/>
          <w:lang w:val="fr-FR"/>
        </w:rPr>
        <w:t xml:space="preserve">Les lignes directrices mentionnées </w:t>
      </w:r>
      <w:r>
        <w:rPr>
          <w:color w:val="4F81BD" w:themeColor="accent1"/>
          <w:u w:val="single"/>
          <w:lang w:val="fr-FR"/>
        </w:rPr>
        <w:t>à</w:t>
      </w:r>
      <w:r w:rsidRPr="000809A0">
        <w:rPr>
          <w:color w:val="4F81BD" w:themeColor="accent1"/>
          <w:u w:val="single"/>
          <w:lang w:val="fr-FR"/>
        </w:rPr>
        <w:t xml:space="preserve"> l</w:t>
      </w:r>
      <w:r>
        <w:rPr>
          <w:color w:val="4F81BD" w:themeColor="accent1"/>
          <w:u w:val="single"/>
          <w:lang w:val="fr-FR"/>
        </w:rPr>
        <w:t>’</w:t>
      </w:r>
      <w:r w:rsidRPr="000809A0">
        <w:rPr>
          <w:color w:val="4F81BD" w:themeColor="accent1"/>
          <w:u w:val="single"/>
          <w:lang w:val="fr-FR"/>
        </w:rPr>
        <w:t>annexe 9 sont celles qui étaient disponibles au moment de l</w:t>
      </w:r>
      <w:r>
        <w:rPr>
          <w:color w:val="4F81BD" w:themeColor="accent1"/>
          <w:u w:val="single"/>
          <w:lang w:val="fr-FR"/>
        </w:rPr>
        <w:t>’</w:t>
      </w:r>
      <w:r w:rsidRPr="000809A0">
        <w:rPr>
          <w:color w:val="4F81BD" w:themeColor="accent1"/>
          <w:u w:val="single"/>
          <w:lang w:val="fr-FR"/>
        </w:rPr>
        <w:t xml:space="preserve">adoption du SGH en </w:t>
      </w:r>
      <w:r w:rsidRPr="003A3DE1">
        <w:rPr>
          <w:color w:val="4F81BD" w:themeColor="accent1"/>
          <w:u w:val="single"/>
          <w:lang w:val="fr-FR"/>
        </w:rPr>
        <w:t>2002. Certaines d</w:t>
      </w:r>
      <w:r>
        <w:rPr>
          <w:color w:val="4F81BD" w:themeColor="accent1"/>
          <w:u w:val="single"/>
          <w:lang w:val="fr-FR"/>
        </w:rPr>
        <w:t>’</w:t>
      </w:r>
      <w:r w:rsidRPr="003A3DE1">
        <w:rPr>
          <w:color w:val="4F81BD" w:themeColor="accent1"/>
          <w:u w:val="single"/>
          <w:lang w:val="fr-FR"/>
        </w:rPr>
        <w:t>entre elles ont pu depuis être révisées ou actualisées. On pourra obtenir des renseignements</w:t>
      </w:r>
      <w:r w:rsidRPr="000809A0">
        <w:rPr>
          <w:color w:val="4F81BD" w:themeColor="accent1"/>
          <w:u w:val="single"/>
          <w:lang w:val="fr-FR"/>
        </w:rPr>
        <w:t xml:space="preserve"> concernant l</w:t>
      </w:r>
      <w:r>
        <w:rPr>
          <w:color w:val="4F81BD" w:themeColor="accent1"/>
          <w:u w:val="single"/>
          <w:lang w:val="fr-FR"/>
        </w:rPr>
        <w:t>’</w:t>
      </w:r>
      <w:r w:rsidRPr="000809A0">
        <w:rPr>
          <w:color w:val="4F81BD" w:themeColor="accent1"/>
          <w:u w:val="single"/>
          <w:lang w:val="fr-FR"/>
        </w:rPr>
        <w:t xml:space="preserve">état des lignes directrices auxquelles il est fait référence dans le SGH directement auprès de </w:t>
      </w:r>
      <w:r w:rsidRPr="0055444D">
        <w:rPr>
          <w:strike/>
          <w:color w:val="FF0000"/>
          <w:lang w:val="fr-FR"/>
        </w:rPr>
        <w:t xml:space="preserve">La plupart des lignes directrices mentionnées sont regroupées dans des compilations constituées </w:t>
      </w:r>
      <w:proofErr w:type="spellStart"/>
      <w:r w:rsidRPr="0055444D">
        <w:rPr>
          <w:strike/>
          <w:color w:val="FF0000"/>
          <w:lang w:val="fr-FR"/>
        </w:rPr>
        <w:t>par</w:t>
      </w:r>
      <w:r>
        <w:rPr>
          <w:lang w:val="fr-FR"/>
        </w:rPr>
        <w:t>l’organisation</w:t>
      </w:r>
      <w:proofErr w:type="spellEnd"/>
      <w:r>
        <w:rPr>
          <w:lang w:val="fr-FR"/>
        </w:rPr>
        <w:t xml:space="preserve"> qui les publie. </w:t>
      </w:r>
      <w:r w:rsidRPr="0055444D">
        <w:rPr>
          <w:strike/>
          <w:color w:val="FF0000"/>
          <w:lang w:val="fr-FR"/>
        </w:rPr>
        <w:t>Les principales références sont les suivantes :</w:t>
      </w:r>
    </w:p>
    <w:p w14:paraId="7768F2EC" w14:textId="77777777" w:rsidR="00C01243" w:rsidRPr="00810D32" w:rsidRDefault="00C01243" w:rsidP="00C01243">
      <w:pPr>
        <w:pStyle w:val="SingleTxtG"/>
        <w:ind w:left="2268" w:hanging="567"/>
      </w:pPr>
      <w:r>
        <w:rPr>
          <w:lang w:val="fr-FR"/>
        </w:rPr>
        <w:t>a)</w:t>
      </w:r>
      <w:r>
        <w:rPr>
          <w:lang w:val="fr-FR"/>
        </w:rPr>
        <w:tab/>
        <w:t>Lignes directrices de la CE</w:t>
      </w:r>
      <w:r w:rsidR="001733CD">
        <w:rPr>
          <w:lang w:val="fr-FR"/>
        </w:rPr>
        <w:t> </w:t>
      </w:r>
      <w:r>
        <w:rPr>
          <w:lang w:val="fr-FR"/>
        </w:rPr>
        <w:t xml:space="preserve">: Règlement (CE) </w:t>
      </w:r>
      <w:r w:rsidR="001733CD" w:rsidRPr="001733CD">
        <w:rPr>
          <w:rFonts w:eastAsia="MS Mincho"/>
          <w:szCs w:val="22"/>
          <w:lang w:val="fr-FR"/>
        </w:rPr>
        <w:t>n</w:t>
      </w:r>
      <w:r w:rsidR="001733CD" w:rsidRPr="001733CD">
        <w:rPr>
          <w:rFonts w:eastAsia="MS Mincho"/>
          <w:szCs w:val="22"/>
          <w:vertAlign w:val="superscript"/>
          <w:lang w:val="fr-FR"/>
        </w:rPr>
        <w:t>o</w:t>
      </w:r>
      <w:r w:rsidR="001733CD">
        <w:rPr>
          <w:rFonts w:eastAsia="MS Mincho"/>
          <w:szCs w:val="22"/>
          <w:lang w:val="fr-FR"/>
        </w:rPr>
        <w:t> </w:t>
      </w:r>
      <w:r>
        <w:rPr>
          <w:lang w:val="fr-FR"/>
        </w:rPr>
        <w:t>440/2008 de la Commission du 30</w:t>
      </w:r>
      <w:r w:rsidR="001733CD">
        <w:rPr>
          <w:lang w:val="fr-FR"/>
        </w:rPr>
        <w:t> </w:t>
      </w:r>
      <w:r>
        <w:rPr>
          <w:lang w:val="fr-FR"/>
        </w:rPr>
        <w:t xml:space="preserve">mai 2008 établissant des méthodes d’essai conformément au règlement (CE) </w:t>
      </w:r>
      <w:r w:rsidR="001733CD" w:rsidRPr="001733CD">
        <w:rPr>
          <w:rFonts w:eastAsia="MS Mincho"/>
          <w:szCs w:val="22"/>
          <w:lang w:val="fr-FR"/>
        </w:rPr>
        <w:t>n</w:t>
      </w:r>
      <w:r w:rsidR="001733CD" w:rsidRPr="001733CD">
        <w:rPr>
          <w:rFonts w:eastAsia="MS Mincho"/>
          <w:szCs w:val="22"/>
          <w:vertAlign w:val="superscript"/>
          <w:lang w:val="fr-FR"/>
        </w:rPr>
        <w:t>o</w:t>
      </w:r>
      <w:r w:rsidR="001733CD">
        <w:rPr>
          <w:lang w:val="fr-FR"/>
        </w:rPr>
        <w:t> </w:t>
      </w:r>
      <w:r>
        <w:rPr>
          <w:lang w:val="fr-FR"/>
        </w:rPr>
        <w:t>1907/2006 du Parlement européen et du Conseil concernant l’enregistrement, l’évaluation et l’autorisation des substances chimiques, ainsi que les restrictions applicables à ces substances (REACH)</w:t>
      </w:r>
      <w:r w:rsidR="001733CD">
        <w:rPr>
          <w:lang w:val="fr-FR"/>
        </w:rPr>
        <w:t> </w:t>
      </w:r>
      <w:r>
        <w:rPr>
          <w:lang w:val="fr-FR"/>
        </w:rPr>
        <w:t>;</w:t>
      </w:r>
    </w:p>
    <w:p w14:paraId="103C2D91" w14:textId="77777777" w:rsidR="00C01243" w:rsidRPr="00810D32" w:rsidRDefault="00C01243" w:rsidP="00C01243">
      <w:pPr>
        <w:pStyle w:val="SingleTxtG"/>
        <w:ind w:left="2268" w:hanging="567"/>
      </w:pPr>
      <w:r>
        <w:rPr>
          <w:lang w:val="fr-FR"/>
        </w:rPr>
        <w:t xml:space="preserve">b) </w:t>
      </w:r>
      <w:r>
        <w:rPr>
          <w:lang w:val="fr-FR"/>
        </w:rPr>
        <w:tab/>
        <w:t>Lignes directrices de l’ISO</w:t>
      </w:r>
      <w:r w:rsidR="001733CD">
        <w:rPr>
          <w:lang w:val="fr-FR"/>
        </w:rPr>
        <w:t> </w:t>
      </w:r>
      <w:r>
        <w:rPr>
          <w:lang w:val="fr-FR"/>
        </w:rPr>
        <w:t>: disponibles auprès des organismes de normalisation nationaux ou de l’ISO (</w:t>
      </w:r>
      <w:r w:rsidRPr="0055444D">
        <w:rPr>
          <w:strike/>
          <w:color w:val="FF0000"/>
          <w:lang w:val="fr-FR"/>
        </w:rPr>
        <w:t>page d</w:t>
      </w:r>
      <w:r>
        <w:rPr>
          <w:strike/>
          <w:color w:val="FF0000"/>
          <w:lang w:val="fr-FR"/>
        </w:rPr>
        <w:t>’</w:t>
      </w:r>
      <w:r w:rsidRPr="0055444D">
        <w:rPr>
          <w:strike/>
          <w:color w:val="FF0000"/>
          <w:lang w:val="fr-FR"/>
        </w:rPr>
        <w:t xml:space="preserve">accueil : </w:t>
      </w:r>
      <w:r>
        <w:rPr>
          <w:lang w:val="fr-FR"/>
        </w:rPr>
        <w:t>http://www.iso.org/iso/home.htm</w:t>
      </w:r>
      <w:r w:rsidRPr="00FC6A36">
        <w:rPr>
          <w:color w:val="4F81BD" w:themeColor="accent1"/>
          <w:u w:val="single"/>
          <w:lang w:val="fr-FR"/>
        </w:rPr>
        <w:t>l</w:t>
      </w:r>
      <w:r>
        <w:rPr>
          <w:lang w:val="fr-FR"/>
        </w:rPr>
        <w:t>)</w:t>
      </w:r>
      <w:r w:rsidR="001733CD">
        <w:rPr>
          <w:lang w:val="fr-FR"/>
        </w:rPr>
        <w:t> </w:t>
      </w:r>
      <w:r>
        <w:rPr>
          <w:lang w:val="fr-FR"/>
        </w:rPr>
        <w:t>;</w:t>
      </w:r>
    </w:p>
    <w:p w14:paraId="6FACC174" w14:textId="77777777" w:rsidR="00C01243" w:rsidRPr="00810D32" w:rsidRDefault="00C01243" w:rsidP="00C01243">
      <w:pPr>
        <w:pStyle w:val="SingleTxtG"/>
        <w:ind w:left="2268" w:hanging="567"/>
      </w:pPr>
      <w:r>
        <w:rPr>
          <w:lang w:val="fr-FR"/>
        </w:rPr>
        <w:t xml:space="preserve">c) </w:t>
      </w:r>
      <w:r>
        <w:rPr>
          <w:lang w:val="fr-FR"/>
        </w:rPr>
        <w:tab/>
        <w:t>Lignes directrices de l’OCDE pour les essais de produits chimiques. OCDE, Paris, 1993, avec mises à jour régulières</w:t>
      </w:r>
      <w:r w:rsidRPr="0055444D">
        <w:rPr>
          <w:strike/>
          <w:color w:val="FF0000"/>
          <w:lang w:val="fr-FR"/>
        </w:rPr>
        <w:t xml:space="preserve"> (Page d</w:t>
      </w:r>
      <w:r>
        <w:rPr>
          <w:strike/>
          <w:color w:val="FF0000"/>
          <w:lang w:val="fr-FR"/>
        </w:rPr>
        <w:t>’</w:t>
      </w:r>
      <w:r w:rsidRPr="0055444D">
        <w:rPr>
          <w:strike/>
          <w:color w:val="FF0000"/>
          <w:lang w:val="fr-FR"/>
        </w:rPr>
        <w:t>accueil : http://www.oecd.org/env/testguidelines) ;</w:t>
      </w:r>
      <w:r>
        <w:rPr>
          <w:lang w:val="fr-FR"/>
        </w:rPr>
        <w:t xml:space="preserve"> </w:t>
      </w:r>
      <w:r w:rsidRPr="005C0290">
        <w:rPr>
          <w:color w:val="4F81BD" w:themeColor="accent1"/>
          <w:u w:val="single"/>
          <w:lang w:val="fr-FR"/>
        </w:rPr>
        <w:t>(http://www.oecd.org/fr/env/ess/essais/lignesdirectricesdelocdepourlesessaisdeproduitschimiques.htm)</w:t>
      </w:r>
      <w:r>
        <w:rPr>
          <w:u w:val="single"/>
          <w:lang w:val="fr-FR"/>
        </w:rPr>
        <w:t> ;</w:t>
      </w:r>
    </w:p>
    <w:p w14:paraId="51867EAB" w14:textId="77777777" w:rsidR="00C01243" w:rsidRPr="00810D32" w:rsidRDefault="00C01243" w:rsidP="00C01243">
      <w:pPr>
        <w:pStyle w:val="SingleTxtG"/>
        <w:ind w:left="2268" w:hanging="567"/>
        <w:jc w:val="left"/>
      </w:pPr>
      <w:r>
        <w:rPr>
          <w:lang w:val="fr-FR"/>
        </w:rPr>
        <w:t xml:space="preserve">d) </w:t>
      </w:r>
      <w:r>
        <w:rPr>
          <w:lang w:val="fr-FR"/>
        </w:rPr>
        <w:tab/>
        <w:t>Lignes directrices de l’OPPTS</w:t>
      </w:r>
      <w:r w:rsidR="001733CD">
        <w:rPr>
          <w:lang w:val="fr-FR"/>
        </w:rPr>
        <w:t> </w:t>
      </w:r>
      <w:r>
        <w:rPr>
          <w:lang w:val="fr-FR"/>
        </w:rPr>
        <w:t xml:space="preserve">: </w:t>
      </w:r>
      <w:r w:rsidRPr="00933FCE">
        <w:rPr>
          <w:lang w:val="fr-FR"/>
        </w:rPr>
        <w:t>page</w:t>
      </w:r>
      <w:r>
        <w:rPr>
          <w:lang w:val="fr-FR"/>
        </w:rPr>
        <w:t xml:space="preserve"> d’accueil de l’US-EPA</w:t>
      </w:r>
      <w:r w:rsidRPr="0055444D">
        <w:rPr>
          <w:strike/>
          <w:color w:val="FF0000"/>
          <w:lang w:val="fr-FR"/>
        </w:rPr>
        <w:t xml:space="preserve"> : http ://www.epa.gov/opptsfrs/home/guidelin.htm ;</w:t>
      </w:r>
      <w:r>
        <w:rPr>
          <w:lang w:val="fr-FR"/>
        </w:rPr>
        <w:t xml:space="preserve"> </w:t>
      </w:r>
      <w:r w:rsidRPr="00D52FDE">
        <w:rPr>
          <w:color w:val="4F81BD" w:themeColor="accent1"/>
          <w:u w:val="single"/>
          <w:lang w:val="fr-FR"/>
        </w:rPr>
        <w:t>(https://www.epa.gov/test-guidelines-pesticides-and-toxic-substances) ;</w:t>
      </w:r>
      <w:r>
        <w:rPr>
          <w:color w:val="4F81BD" w:themeColor="accent1"/>
          <w:u w:val="single"/>
          <w:lang w:val="fr-FR"/>
        </w:rPr>
        <w:t xml:space="preserve"> </w:t>
      </w:r>
    </w:p>
    <w:p w14:paraId="2FB645F5" w14:textId="77777777" w:rsidR="00C01243" w:rsidRPr="00810D32" w:rsidRDefault="00C01243" w:rsidP="00C01243">
      <w:pPr>
        <w:pStyle w:val="SingleTxtG"/>
        <w:ind w:left="2268" w:hanging="567"/>
        <w:rPr>
          <w:color w:val="4F81BD" w:themeColor="accent1"/>
          <w:u w:val="single"/>
        </w:rPr>
      </w:pPr>
      <w:r>
        <w:rPr>
          <w:lang w:val="fr-FR"/>
        </w:rPr>
        <w:t xml:space="preserve">e) </w:t>
      </w:r>
      <w:r>
        <w:rPr>
          <w:lang w:val="fr-FR"/>
        </w:rPr>
        <w:tab/>
        <w:t>ASTM</w:t>
      </w:r>
      <w:r w:rsidR="001733CD">
        <w:rPr>
          <w:lang w:val="fr-FR"/>
        </w:rPr>
        <w:t> </w:t>
      </w:r>
      <w:r>
        <w:rPr>
          <w:lang w:val="fr-FR"/>
        </w:rPr>
        <w:t>:</w:t>
      </w:r>
      <w:r w:rsidRPr="0055444D">
        <w:rPr>
          <w:strike/>
          <w:color w:val="FF0000"/>
          <w:lang w:val="fr-FR"/>
        </w:rPr>
        <w:t xml:space="preserve"> page d</w:t>
      </w:r>
      <w:r>
        <w:rPr>
          <w:strike/>
          <w:color w:val="FF0000"/>
          <w:lang w:val="fr-FR"/>
        </w:rPr>
        <w:t>’</w:t>
      </w:r>
      <w:r w:rsidRPr="0055444D">
        <w:rPr>
          <w:strike/>
          <w:color w:val="FF0000"/>
          <w:lang w:val="fr-FR"/>
        </w:rPr>
        <w:t>accueil de l</w:t>
      </w:r>
      <w:r>
        <w:rPr>
          <w:strike/>
          <w:color w:val="FF0000"/>
          <w:lang w:val="fr-FR"/>
        </w:rPr>
        <w:t>’</w:t>
      </w:r>
      <w:r w:rsidRPr="0055444D">
        <w:rPr>
          <w:strike/>
          <w:color w:val="FF0000"/>
          <w:lang w:val="fr-FR"/>
        </w:rPr>
        <w:t>ASTM : http ://www.astm.org.</w:t>
      </w:r>
      <w:r w:rsidRPr="0055444D">
        <w:rPr>
          <w:color w:val="FF0000"/>
          <w:lang w:val="fr-FR"/>
        </w:rPr>
        <w:t xml:space="preserve"> </w:t>
      </w:r>
      <w:r w:rsidRPr="0055444D">
        <w:rPr>
          <w:strike/>
          <w:color w:val="FF0000"/>
          <w:lang w:val="fr-FR"/>
        </w:rPr>
        <w:t>Poursuivre la recherche via le terme</w:t>
      </w:r>
      <w:proofErr w:type="gramStart"/>
      <w:r w:rsidRPr="0055444D">
        <w:rPr>
          <w:strike/>
          <w:color w:val="FF0000"/>
          <w:lang w:val="fr-FR"/>
        </w:rPr>
        <w:t xml:space="preserve"> «standards</w:t>
      </w:r>
      <w:proofErr w:type="gramEnd"/>
      <w:r w:rsidRPr="0055444D">
        <w:rPr>
          <w:strike/>
          <w:color w:val="FF0000"/>
          <w:lang w:val="fr-FR"/>
        </w:rPr>
        <w:t>».</w:t>
      </w:r>
      <w:r>
        <w:rPr>
          <w:lang w:val="fr-FR"/>
        </w:rPr>
        <w:t xml:space="preserve"> </w:t>
      </w:r>
      <w:r w:rsidRPr="00933FCE">
        <w:rPr>
          <w:color w:val="4F81BD" w:themeColor="accent1"/>
          <w:u w:val="single"/>
          <w:lang w:val="fr-FR"/>
        </w:rPr>
        <w:t>(</w:t>
      </w:r>
      <w:proofErr w:type="gramStart"/>
      <w:r w:rsidRPr="00933FCE">
        <w:rPr>
          <w:color w:val="4F81BD" w:themeColor="accent1"/>
          <w:u w:val="single"/>
          <w:lang w:val="fr-FR"/>
        </w:rPr>
        <w:t>https://www.astm.org/Standard/standards-and-publications.html</w:t>
      </w:r>
      <w:proofErr w:type="gramEnd"/>
      <w:r w:rsidRPr="00933FCE">
        <w:rPr>
          <w:color w:val="4F81BD" w:themeColor="accent1"/>
          <w:u w:val="single"/>
          <w:lang w:val="fr-FR"/>
        </w:rPr>
        <w:t>)</w:t>
      </w:r>
      <w:r>
        <w:rPr>
          <w:lang w:val="fr-FR"/>
        </w:rPr>
        <w:t> ».</w:t>
      </w:r>
    </w:p>
    <w:p w14:paraId="7EA687B1" w14:textId="77777777" w:rsidR="00C01243" w:rsidRPr="00810D32" w:rsidRDefault="00C01243" w:rsidP="00C01243">
      <w:pPr>
        <w:pStyle w:val="SingleTxtG"/>
        <w:rPr>
          <w:color w:val="000000" w:themeColor="text1"/>
        </w:rPr>
      </w:pPr>
      <w:r>
        <w:rPr>
          <w:lang w:val="fr-FR"/>
        </w:rPr>
        <w:t>Supprimer les notes de bas de page 1, 2 et 3.</w:t>
      </w:r>
    </w:p>
    <w:p w14:paraId="55B07A46" w14:textId="77777777" w:rsidR="00C01243" w:rsidRPr="00810D32" w:rsidRDefault="00C01243" w:rsidP="00C01243">
      <w:pPr>
        <w:pStyle w:val="SingleTxtG"/>
        <w:ind w:left="1701"/>
        <w:rPr>
          <w:i/>
          <w:iCs/>
          <w:color w:val="000000" w:themeColor="text1"/>
        </w:rPr>
      </w:pPr>
      <w:r>
        <w:rPr>
          <w:i/>
          <w:iCs/>
          <w:lang w:val="fr-FR"/>
        </w:rPr>
        <w:t>Amendement corollaire :</w:t>
      </w:r>
    </w:p>
    <w:p w14:paraId="6E4FBBB3" w14:textId="77777777" w:rsidR="00C01243" w:rsidRPr="00810D32" w:rsidRDefault="00882068" w:rsidP="00C01243">
      <w:pPr>
        <w:pStyle w:val="SingleTxtG"/>
        <w:ind w:left="1701"/>
        <w:rPr>
          <w:color w:val="4F81BD" w:themeColor="accent1"/>
          <w:u w:val="single"/>
        </w:rPr>
      </w:pPr>
      <w:r>
        <w:rPr>
          <w:lang w:val="fr-FR"/>
        </w:rPr>
        <w:t>À</w:t>
      </w:r>
      <w:r w:rsidR="00C01243">
        <w:rPr>
          <w:lang w:val="fr-FR"/>
        </w:rPr>
        <w:t xml:space="preserve"> l’appendice de l’annexe 10, remplacer </w:t>
      </w:r>
      <w:r>
        <w:rPr>
          <w:lang w:val="fr-FR"/>
        </w:rPr>
        <w:t>« </w:t>
      </w:r>
      <w:r w:rsidR="00C01243">
        <w:rPr>
          <w:b/>
          <w:bCs/>
          <w:lang w:val="fr-FR"/>
        </w:rPr>
        <w:t>Bibliographie</w:t>
      </w:r>
      <w:r>
        <w:rPr>
          <w:lang w:val="fr-FR"/>
        </w:rPr>
        <w:t> »</w:t>
      </w:r>
      <w:r w:rsidR="00C01243">
        <w:rPr>
          <w:lang w:val="fr-FR"/>
        </w:rPr>
        <w:t xml:space="preserve"> par </w:t>
      </w:r>
      <w:r>
        <w:rPr>
          <w:lang w:val="fr-FR"/>
        </w:rPr>
        <w:t>« </w:t>
      </w:r>
      <w:r w:rsidR="00C01243">
        <w:rPr>
          <w:b/>
          <w:bCs/>
          <w:lang w:val="fr-FR"/>
        </w:rPr>
        <w:t>Bibliographie*</w:t>
      </w:r>
      <w:r>
        <w:rPr>
          <w:lang w:val="fr-FR"/>
        </w:rPr>
        <w:t> »</w:t>
      </w:r>
      <w:r w:rsidR="00C01243">
        <w:rPr>
          <w:lang w:val="fr-FR"/>
        </w:rPr>
        <w:t xml:space="preserve"> et ajouter une note de bas de page ainsi conçue : « </w:t>
      </w:r>
      <w:r w:rsidR="00C01243" w:rsidRPr="00CB1C2B">
        <w:rPr>
          <w:color w:val="4F81BD" w:themeColor="accent1"/>
          <w:u w:val="single"/>
          <w:lang w:val="fr-FR"/>
        </w:rPr>
        <w:t>*On trouvera des renseignements sur les mises à jour existantes sur le site Web de l</w:t>
      </w:r>
      <w:r w:rsidR="00C01243">
        <w:rPr>
          <w:color w:val="4F81BD" w:themeColor="accent1"/>
          <w:u w:val="single"/>
          <w:lang w:val="fr-FR"/>
        </w:rPr>
        <w:t>’</w:t>
      </w:r>
      <w:r w:rsidR="00C01243" w:rsidRPr="00CB1C2B">
        <w:rPr>
          <w:color w:val="4F81BD" w:themeColor="accent1"/>
          <w:u w:val="single"/>
          <w:lang w:val="fr-FR"/>
        </w:rPr>
        <w:t>OCDE :</w:t>
      </w:r>
      <w:r w:rsidR="00C01243" w:rsidRPr="00CB1C2B">
        <w:rPr>
          <w:color w:val="4F81BD" w:themeColor="accent1"/>
          <w:lang w:val="fr-FR"/>
        </w:rPr>
        <w:t xml:space="preserve"> </w:t>
      </w:r>
      <w:r w:rsidR="00C01243" w:rsidRPr="00CB1C2B">
        <w:rPr>
          <w:color w:val="4F81BD" w:themeColor="accent1"/>
          <w:u w:val="single"/>
          <w:lang w:val="fr-FR"/>
        </w:rPr>
        <w:t>http://www.oecd.org/env/ehs/testing/oecdguidelinesforthetestingofchemicals.htm</w:t>
      </w:r>
      <w:r w:rsidR="00C01243" w:rsidRPr="009469AC">
        <w:rPr>
          <w:color w:val="4F81BD" w:themeColor="accent1"/>
          <w:u w:val="single"/>
          <w:lang w:val="fr-FR"/>
        </w:rPr>
        <w:t>.</w:t>
      </w:r>
      <w:r w:rsidR="00C01243">
        <w:rPr>
          <w:lang w:val="fr-FR"/>
        </w:rPr>
        <w:t> ».</w:t>
      </w:r>
    </w:p>
    <w:p w14:paraId="03E0ADEE" w14:textId="77777777" w:rsidR="00C01243" w:rsidRPr="00810D32" w:rsidRDefault="00C01243" w:rsidP="00C01243">
      <w:pPr>
        <w:pStyle w:val="H4G"/>
        <w:ind w:left="1701"/>
        <w:jc w:val="both"/>
        <w:rPr>
          <w:color w:val="000000" w:themeColor="text1"/>
        </w:rPr>
      </w:pPr>
      <w:r>
        <w:rPr>
          <w:lang w:val="fr-FR"/>
        </w:rPr>
        <w:lastRenderedPageBreak/>
        <w:tab/>
      </w:r>
      <w:r>
        <w:rPr>
          <w:lang w:val="fr-FR"/>
        </w:rPr>
        <w:tab/>
      </w:r>
      <w:r>
        <w:rPr>
          <w:iCs/>
          <w:u w:val="single"/>
          <w:lang w:val="fr-FR"/>
        </w:rPr>
        <w:t>Justification </w:t>
      </w:r>
      <w:r>
        <w:rPr>
          <w:iCs/>
          <w:lang w:val="fr-FR"/>
        </w:rPr>
        <w:t>: L’indication générale au paragraphe 1 de l’appendice V de l’annexe 9 permet de faire savoir aux lecteurs que les références aux lignes directrices qui figurent dans cette annexe n’ont pas évolué et qu’ils devraient s’adresser à leurs auteurs pour obtenir davantage de renseignements concernant les mises à jour disponibles.</w:t>
      </w:r>
      <w:r>
        <w:rPr>
          <w:lang w:val="fr-FR"/>
        </w:rPr>
        <w:t xml:space="preserve"> </w:t>
      </w:r>
      <w:r>
        <w:rPr>
          <w:iCs/>
          <w:lang w:val="fr-FR"/>
        </w:rPr>
        <w:t>C’est toujours auprès des auteurs que les lecteurs auront accès aux renseignements les plus récents sur les mises à jour, sans devoir attendre une nouvelle version révisée du SGH.</w:t>
      </w:r>
      <w:r>
        <w:rPr>
          <w:lang w:val="fr-FR"/>
        </w:rPr>
        <w:t xml:space="preserve"> </w:t>
      </w:r>
      <w:r>
        <w:rPr>
          <w:iCs/>
          <w:lang w:val="fr-FR"/>
        </w:rPr>
        <w:t>L’indication générale permettrait en outre de s’épargner un examen fastidieux de toutes les références citées dans le SGH, tous les deux ans, en recherchant les mises à jour disponibles.</w:t>
      </w:r>
      <w:r>
        <w:rPr>
          <w:lang w:val="fr-FR"/>
        </w:rPr>
        <w:t xml:space="preserve"> </w:t>
      </w:r>
    </w:p>
    <w:p w14:paraId="5D7D2627" w14:textId="5DE38877" w:rsidR="00C01243" w:rsidRPr="00810D32" w:rsidRDefault="00C01243" w:rsidP="00F8208D">
      <w:pPr>
        <w:pStyle w:val="HChG"/>
      </w:pPr>
      <w:r>
        <w:rPr>
          <w:lang w:val="fr-FR"/>
        </w:rPr>
        <w:tab/>
      </w:r>
      <w:r>
        <w:rPr>
          <w:lang w:val="fr-FR"/>
        </w:rPr>
        <w:tab/>
        <w:t>Option 2</w:t>
      </w:r>
      <w:r w:rsidR="007D3264">
        <w:rPr>
          <w:lang w:val="fr-FR"/>
        </w:rPr>
        <w:br/>
      </w:r>
      <w:r>
        <w:rPr>
          <w:lang w:val="fr-FR"/>
        </w:rPr>
        <w:t>Aborder les mises à jour séparément</w:t>
      </w:r>
    </w:p>
    <w:p w14:paraId="252D83D5" w14:textId="77777777" w:rsidR="00C01243" w:rsidRPr="00810D32" w:rsidRDefault="00C01243" w:rsidP="00C01243">
      <w:pPr>
        <w:pStyle w:val="SingleTxtG"/>
        <w:rPr>
          <w:rFonts w:asciiTheme="majorBidi" w:hAnsiTheme="majorBidi" w:cstheme="majorBidi"/>
        </w:rPr>
      </w:pPr>
      <w:r>
        <w:rPr>
          <w:lang w:val="fr-FR"/>
        </w:rPr>
        <w:t>12.</w:t>
      </w:r>
      <w:r>
        <w:rPr>
          <w:lang w:val="fr-FR"/>
        </w:rPr>
        <w:tab/>
        <w:t>Si l’approche simplifiée proposée dans l’option 1 n’est pas jugée acceptable, le Sous-Comité souhaitera peut-être envisager d’actualiser toutes les références séparément (c’est</w:t>
      </w:r>
      <w:r w:rsidR="007A6846">
        <w:rPr>
          <w:lang w:val="fr-FR"/>
        </w:rPr>
        <w:t>-</w:t>
      </w:r>
      <w:r>
        <w:rPr>
          <w:lang w:val="fr-FR"/>
        </w:rPr>
        <w:t>à</w:t>
      </w:r>
      <w:r w:rsidR="007A6846">
        <w:rPr>
          <w:lang w:val="fr-FR"/>
        </w:rPr>
        <w:t>-</w:t>
      </w:r>
      <w:r>
        <w:rPr>
          <w:lang w:val="fr-FR"/>
        </w:rPr>
        <w:t>dire les références aux documents de la Commission européenne, de l’ISO, de l’OPPTS, de l’ASTM et de l’OCDE).</w:t>
      </w:r>
    </w:p>
    <w:p w14:paraId="5E2737CD" w14:textId="77777777" w:rsidR="00C01243" w:rsidRPr="00810D32" w:rsidRDefault="00C01243" w:rsidP="00C01243">
      <w:pPr>
        <w:pStyle w:val="SingleTxtG"/>
        <w:tabs>
          <w:tab w:val="left" w:pos="1701"/>
        </w:tabs>
      </w:pPr>
      <w:r>
        <w:rPr>
          <w:lang w:val="fr-FR"/>
        </w:rPr>
        <w:t>13.</w:t>
      </w:r>
      <w:r>
        <w:rPr>
          <w:lang w:val="fr-FR"/>
        </w:rPr>
        <w:tab/>
        <w:t xml:space="preserve">La proposition du secrétariat de l’OCDE figurant dans le document ST/SG/AC.10/C.4/2019/14 vise à ajouter, s’il y a lieu, une note de bas de page en regard des renvois aux documents de l’OCDE afin d’informer les lecteurs lorsqu’une version révisée plus récente est disponible. Cela entraînerait la prolifération de nouvelles notes de bas de page dans les annexes 9 et 10, dont certaines devraient être répétées, ainsi que la renumérotation des notes existantes. </w:t>
      </w:r>
    </w:p>
    <w:p w14:paraId="2194A0DF" w14:textId="77777777" w:rsidR="00C01243" w:rsidRPr="00810D32" w:rsidRDefault="00C01243" w:rsidP="00C01243">
      <w:pPr>
        <w:pStyle w:val="SingleTxtG"/>
        <w:tabs>
          <w:tab w:val="left" w:pos="1701"/>
        </w:tabs>
      </w:pPr>
      <w:r>
        <w:rPr>
          <w:lang w:val="fr-FR"/>
        </w:rPr>
        <w:t>14.</w:t>
      </w:r>
      <w:r>
        <w:rPr>
          <w:lang w:val="fr-FR"/>
        </w:rPr>
        <w:tab/>
        <w:t>Comme il est probable que les lignes directrices continuent d’être révisées à l’avenir et que de nouvelles lignes directrices soient élaborées, mettre à jour toutes ces références en ajoutant, remplaçant ou modifiant des notes de bas de page risque d’être fastidieux et de prendre du temps.</w:t>
      </w:r>
    </w:p>
    <w:p w14:paraId="5DEC45FB" w14:textId="77777777" w:rsidR="00C01243" w:rsidRPr="00810D32" w:rsidRDefault="00C01243" w:rsidP="00C01243">
      <w:pPr>
        <w:pStyle w:val="SingleTxtG"/>
      </w:pPr>
      <w:r>
        <w:rPr>
          <w:lang w:val="fr-FR"/>
        </w:rPr>
        <w:t>15.</w:t>
      </w:r>
      <w:r>
        <w:rPr>
          <w:lang w:val="fr-FR"/>
        </w:rPr>
        <w:tab/>
        <w:t xml:space="preserve">Gardant à l’esprit que la liste complète des lignes directrices, références et méthodes d’essai mentionnées dans les annexes 9 et 10 est reproduite dans les appendices V et VI de l’annexe 9 et dans l’appendice de l’annexe 10, le secrétariat suggère de donner tous les renseignements relatifs aux mises à jour dans les appendices plutôt que de les ajouter sous forme de note de bas de page dans les annexes pour chaque entrée concernée. Les lecteurs seront informés, dans la note introductive sous le titre de l’annexe 9, qu’une liste de références peut être consultée et comprend des détails sur les éventuelles mises à jour. </w:t>
      </w:r>
    </w:p>
    <w:p w14:paraId="4C458626" w14:textId="77777777" w:rsidR="00C01243" w:rsidRPr="00810D32" w:rsidRDefault="00C01243" w:rsidP="00C01243">
      <w:pPr>
        <w:pStyle w:val="SingleTxtG"/>
      </w:pPr>
      <w:r>
        <w:rPr>
          <w:lang w:val="fr-FR"/>
        </w:rPr>
        <w:t>16.</w:t>
      </w:r>
      <w:r>
        <w:rPr>
          <w:lang w:val="fr-FR"/>
        </w:rPr>
        <w:tab/>
        <w:t xml:space="preserve">L’approche suivie pour l’option 2 permet de centraliser l’information sur les mises à jour en un seul endroit et d’éviter un recours fastidieux à des références ainsi que la prolifération des notes de bas de page dans le texte des annexes 9 et 10, tout en simplifiant les futures mises à jour. </w:t>
      </w:r>
    </w:p>
    <w:p w14:paraId="22384316" w14:textId="77777777" w:rsidR="00C01243" w:rsidRPr="00810D32" w:rsidRDefault="00C01243" w:rsidP="00C01243">
      <w:pPr>
        <w:pStyle w:val="SingleTxtG"/>
      </w:pPr>
      <w:r>
        <w:rPr>
          <w:lang w:val="fr-FR"/>
        </w:rPr>
        <w:t>17.</w:t>
      </w:r>
      <w:r>
        <w:rPr>
          <w:lang w:val="fr-FR"/>
        </w:rPr>
        <w:tab/>
        <w:t>La liste des amendements visant à mettre à jour les références aux documents de l’OCDE, suivant l’option 2, est reproduite ci-après et tient compte des propositions faites par le secrétariat de cette organisation dans le document ST/SG/AC.10/C.4/2019/14.</w:t>
      </w:r>
    </w:p>
    <w:p w14:paraId="63727051" w14:textId="77777777" w:rsidR="00C01243" w:rsidRPr="00810D32" w:rsidRDefault="00C01243" w:rsidP="00C01243">
      <w:pPr>
        <w:pStyle w:val="SingleTxtG"/>
      </w:pPr>
      <w:r>
        <w:rPr>
          <w:lang w:val="fr-FR"/>
        </w:rPr>
        <w:t>18.</w:t>
      </w:r>
      <w:r>
        <w:rPr>
          <w:lang w:val="fr-FR"/>
        </w:rPr>
        <w:tab/>
        <w:t xml:space="preserve">Le </w:t>
      </w:r>
      <w:r>
        <w:rPr>
          <w:b/>
          <w:bCs/>
          <w:lang w:val="fr-FR"/>
        </w:rPr>
        <w:t>Sous-Comité est invité à noter</w:t>
      </w:r>
      <w:r>
        <w:rPr>
          <w:lang w:val="fr-FR"/>
        </w:rPr>
        <w:t xml:space="preserve"> que si l’option 2 est retenue, il conviendrait également de procéder à une révision des références actuelles aux normes, lignes directrices et méthodes d’essai de la Commission européenne, de l’ISO, de l’OPPTS et de l’ASTM qui figurent dans l’annexe 9. </w:t>
      </w:r>
    </w:p>
    <w:p w14:paraId="384BBEA6" w14:textId="77777777" w:rsidR="00C01243" w:rsidRPr="00810D32" w:rsidRDefault="00C01243" w:rsidP="00F8208D">
      <w:pPr>
        <w:pStyle w:val="H1G"/>
      </w:pPr>
      <w:r>
        <w:rPr>
          <w:lang w:val="fr-FR"/>
        </w:rPr>
        <w:tab/>
      </w:r>
      <w:r>
        <w:rPr>
          <w:lang w:val="fr-FR"/>
        </w:rPr>
        <w:tab/>
        <w:t>Proposition</w:t>
      </w:r>
    </w:p>
    <w:p w14:paraId="4CDDBD5F" w14:textId="77777777" w:rsidR="00C01243" w:rsidRPr="00810D32" w:rsidRDefault="00F8208D" w:rsidP="00F8208D">
      <w:pPr>
        <w:pStyle w:val="H23G"/>
      </w:pPr>
      <w:r>
        <w:rPr>
          <w:lang w:val="fr-FR"/>
        </w:rPr>
        <w:tab/>
      </w:r>
      <w:r w:rsidR="00C01243">
        <w:rPr>
          <w:lang w:val="fr-FR"/>
        </w:rPr>
        <w:tab/>
        <w:t>Annexe 9</w:t>
      </w:r>
    </w:p>
    <w:p w14:paraId="71B6C1E5" w14:textId="77777777" w:rsidR="00C01243" w:rsidRPr="00810D32" w:rsidRDefault="00C01243" w:rsidP="00C01243">
      <w:pPr>
        <w:pStyle w:val="SingleTxtG"/>
        <w:rPr>
          <w:rFonts w:asciiTheme="majorBidi" w:hAnsiTheme="majorBidi" w:cstheme="majorBidi"/>
        </w:rPr>
      </w:pPr>
      <w:r>
        <w:rPr>
          <w:lang w:val="fr-FR"/>
        </w:rPr>
        <w:t>Ajouter, après le titre de l’annexe 9, le nota ci-après et supprimer la note de bas de page 1</w:t>
      </w:r>
      <w:r w:rsidR="00F8208D">
        <w:rPr>
          <w:lang w:val="fr-FR"/>
        </w:rPr>
        <w:t> </w:t>
      </w:r>
      <w:r>
        <w:rPr>
          <w:lang w:val="fr-FR"/>
        </w:rPr>
        <w:t xml:space="preserve">: </w:t>
      </w:r>
    </w:p>
    <w:p w14:paraId="0B396CF9" w14:textId="77777777" w:rsidR="00C01243" w:rsidRPr="00810D32" w:rsidRDefault="00C01243" w:rsidP="00C01243">
      <w:pPr>
        <w:pStyle w:val="SingleTxtG"/>
        <w:ind w:left="1701"/>
        <w:rPr>
          <w:i/>
          <w:iCs/>
        </w:rPr>
      </w:pPr>
      <w:r w:rsidRPr="00F8208D">
        <w:rPr>
          <w:iCs/>
          <w:lang w:val="fr-FR"/>
        </w:rPr>
        <w:t>«</w:t>
      </w:r>
      <w:r w:rsidR="00F8208D" w:rsidRPr="00F8208D">
        <w:rPr>
          <w:iCs/>
          <w:lang w:val="fr-FR"/>
        </w:rPr>
        <w:t> </w:t>
      </w:r>
      <w:r>
        <w:rPr>
          <w:b/>
          <w:bCs/>
          <w:i/>
          <w:iCs/>
          <w:lang w:val="fr-FR"/>
        </w:rPr>
        <w:t>NOTA</w:t>
      </w:r>
      <w:r w:rsidR="00F8208D">
        <w:rPr>
          <w:i/>
          <w:iCs/>
          <w:lang w:val="fr-FR"/>
        </w:rPr>
        <w:t> </w:t>
      </w:r>
      <w:r>
        <w:rPr>
          <w:i/>
          <w:iCs/>
          <w:lang w:val="fr-FR"/>
        </w:rPr>
        <w:t xml:space="preserve">: Le texte de l’annexe 9 s’inspire largement du </w:t>
      </w:r>
      <w:r w:rsidR="00F8208D">
        <w:rPr>
          <w:i/>
          <w:iCs/>
          <w:lang w:val="fr-FR"/>
        </w:rPr>
        <w:t>“</w:t>
      </w:r>
      <w:r>
        <w:rPr>
          <w:i/>
          <w:iCs/>
          <w:lang w:val="fr-FR"/>
        </w:rPr>
        <w:t>Document d’orientation pour l’utilisation du système harmonisé de classification des produits chimiques dangereux pour l’environnement aquatique</w:t>
      </w:r>
      <w:r w:rsidR="00F8208D">
        <w:rPr>
          <w:i/>
          <w:iCs/>
          <w:lang w:val="fr-FR"/>
        </w:rPr>
        <w:t>”</w:t>
      </w:r>
      <w:r>
        <w:rPr>
          <w:i/>
          <w:iCs/>
          <w:lang w:val="fr-FR"/>
        </w:rPr>
        <w:t xml:space="preserve"> publié par l’OCDE en 2001 dans le </w:t>
      </w:r>
      <w:r w:rsidR="00F8208D" w:rsidRPr="00F8208D">
        <w:rPr>
          <w:rFonts w:eastAsia="MS Mincho"/>
          <w:i/>
          <w:iCs/>
          <w:szCs w:val="22"/>
          <w:lang w:val="fr-FR"/>
        </w:rPr>
        <w:lastRenderedPageBreak/>
        <w:t>n</w:t>
      </w:r>
      <w:r w:rsidR="00F8208D" w:rsidRPr="00F8208D">
        <w:rPr>
          <w:rFonts w:eastAsia="MS Mincho"/>
          <w:i/>
          <w:iCs/>
          <w:szCs w:val="22"/>
          <w:vertAlign w:val="superscript"/>
          <w:lang w:val="fr-FR"/>
        </w:rPr>
        <w:t>o</w:t>
      </w:r>
      <w:r w:rsidR="00F8208D">
        <w:rPr>
          <w:i/>
          <w:iCs/>
          <w:lang w:val="fr-FR"/>
        </w:rPr>
        <w:t> </w:t>
      </w:r>
      <w:r>
        <w:rPr>
          <w:i/>
          <w:iCs/>
          <w:lang w:val="fr-FR"/>
        </w:rPr>
        <w:t>27 de la série de l’OCDE sur les essais et évaluations (ENV/JM/</w:t>
      </w:r>
      <w:proofErr w:type="gramStart"/>
      <w:r>
        <w:rPr>
          <w:i/>
          <w:iCs/>
          <w:lang w:val="fr-FR"/>
        </w:rPr>
        <w:t>MONO(</w:t>
      </w:r>
      <w:proofErr w:type="gramEnd"/>
      <w:r>
        <w:rPr>
          <w:i/>
          <w:iCs/>
          <w:lang w:val="fr-FR"/>
        </w:rPr>
        <w:t>2001)8).</w:t>
      </w:r>
      <w:r>
        <w:rPr>
          <w:lang w:val="fr-FR"/>
        </w:rPr>
        <w:t xml:space="preserve"> </w:t>
      </w:r>
      <w:r>
        <w:rPr>
          <w:i/>
          <w:iCs/>
          <w:lang w:val="fr-FR"/>
        </w:rPr>
        <w:t>Le Document d’orientation est resté inchangé depuis sa publication en 2001 mais l’OCDE a adopté entre-temps de nouvelles lignes directrices pour les essais de produits chimiques et documents d’orientation, qui constituent une source additionnelle d’information.</w:t>
      </w:r>
      <w:r>
        <w:rPr>
          <w:lang w:val="fr-FR"/>
        </w:rPr>
        <w:t xml:space="preserve"> </w:t>
      </w:r>
      <w:r>
        <w:rPr>
          <w:i/>
          <w:iCs/>
          <w:lang w:val="fr-FR"/>
        </w:rPr>
        <w:t>On trouvera une liste des références mises à jour dans les appendices V et VI de l’annexe 9.</w:t>
      </w:r>
      <w:r>
        <w:rPr>
          <w:lang w:val="fr-FR"/>
        </w:rPr>
        <w:t> ».</w:t>
      </w:r>
    </w:p>
    <w:p w14:paraId="35164CD2" w14:textId="77777777" w:rsidR="00C01243" w:rsidRPr="00810D32" w:rsidRDefault="00C01243" w:rsidP="00C01243">
      <w:pPr>
        <w:pStyle w:val="FootnoteText"/>
        <w:ind w:firstLine="0"/>
        <w:jc w:val="both"/>
        <w:rPr>
          <w:rFonts w:asciiTheme="majorBidi" w:hAnsiTheme="majorBidi" w:cstheme="majorBidi"/>
          <w:i/>
          <w:sz w:val="20"/>
        </w:rPr>
      </w:pPr>
      <w:bookmarkStart w:id="1" w:name="_Hlk19887703"/>
      <w:r w:rsidRPr="00D2364E">
        <w:rPr>
          <w:sz w:val="20"/>
          <w:lang w:val="fr-FR"/>
        </w:rPr>
        <w:t>A9.3.2.7.2</w:t>
      </w:r>
      <w:r w:rsidRPr="00D2364E">
        <w:rPr>
          <w:sz w:val="20"/>
          <w:lang w:val="fr-FR"/>
        </w:rPr>
        <w:tab/>
        <w:t xml:space="preserve">Remplacer « essais portant sur </w:t>
      </w:r>
      <w:proofErr w:type="spellStart"/>
      <w:r w:rsidRPr="00D2364E">
        <w:rPr>
          <w:i/>
          <w:iCs/>
          <w:sz w:val="20"/>
          <w:lang w:val="fr-FR"/>
        </w:rPr>
        <w:t>Lemna</w:t>
      </w:r>
      <w:proofErr w:type="spellEnd"/>
      <w:r w:rsidRPr="00D2364E">
        <w:rPr>
          <w:i/>
          <w:iCs/>
          <w:sz w:val="20"/>
          <w:lang w:val="fr-FR"/>
        </w:rPr>
        <w:t xml:space="preserve"> </w:t>
      </w:r>
      <w:r w:rsidRPr="00D2364E">
        <w:rPr>
          <w:sz w:val="20"/>
          <w:lang w:val="fr-FR"/>
        </w:rPr>
        <w:t>(en préparation) » par «</w:t>
      </w:r>
      <w:r w:rsidR="00F8208D">
        <w:rPr>
          <w:sz w:val="20"/>
          <w:lang w:val="fr-FR"/>
        </w:rPr>
        <w:t> </w:t>
      </w:r>
      <w:r w:rsidRPr="00D2364E">
        <w:rPr>
          <w:sz w:val="20"/>
          <w:lang w:val="fr-FR"/>
        </w:rPr>
        <w:t xml:space="preserve">essais portant sur </w:t>
      </w:r>
      <w:proofErr w:type="spellStart"/>
      <w:r w:rsidRPr="006A3926">
        <w:rPr>
          <w:i/>
          <w:iCs/>
          <w:sz w:val="20"/>
          <w:lang w:val="fr-FR"/>
        </w:rPr>
        <w:t>Lemna</w:t>
      </w:r>
      <w:proofErr w:type="spellEnd"/>
      <w:r w:rsidRPr="00D2364E">
        <w:rPr>
          <w:sz w:val="20"/>
          <w:lang w:val="fr-FR"/>
        </w:rPr>
        <w:t xml:space="preserve"> (en </w:t>
      </w:r>
      <w:proofErr w:type="gramStart"/>
      <w:r w:rsidRPr="00D2364E">
        <w:rPr>
          <w:sz w:val="20"/>
          <w:lang w:val="fr-FR"/>
        </w:rPr>
        <w:t>préparation)*</w:t>
      </w:r>
      <w:proofErr w:type="gramEnd"/>
      <w:r>
        <w:rPr>
          <w:sz w:val="20"/>
          <w:lang w:val="fr-FR"/>
        </w:rPr>
        <w:t> </w:t>
      </w:r>
      <w:r w:rsidRPr="00D2364E">
        <w:rPr>
          <w:sz w:val="20"/>
          <w:lang w:val="fr-FR"/>
        </w:rPr>
        <w:t>» et ajouter la note de bas de page suivant</w:t>
      </w:r>
      <w:r>
        <w:rPr>
          <w:sz w:val="20"/>
          <w:lang w:val="fr-FR"/>
        </w:rPr>
        <w:t>e</w:t>
      </w:r>
      <w:r w:rsidRPr="00D2364E">
        <w:rPr>
          <w:sz w:val="20"/>
          <w:lang w:val="fr-FR"/>
        </w:rPr>
        <w:t> : « *</w:t>
      </w:r>
      <w:r w:rsidR="00F8208D">
        <w:rPr>
          <w:sz w:val="20"/>
          <w:lang w:val="fr-FR"/>
        </w:rPr>
        <w:t> </w:t>
      </w:r>
      <w:r w:rsidRPr="00D2364E">
        <w:rPr>
          <w:i/>
          <w:iCs/>
          <w:sz w:val="20"/>
          <w:lang w:val="fr-FR"/>
        </w:rPr>
        <w:t>Publiée</w:t>
      </w:r>
      <w:r w:rsidRPr="00D2364E">
        <w:rPr>
          <w:sz w:val="20"/>
          <w:lang w:val="fr-FR"/>
        </w:rPr>
        <w:t xml:space="preserve">. </w:t>
      </w:r>
      <w:r w:rsidRPr="00D2364E">
        <w:rPr>
          <w:i/>
          <w:iCs/>
          <w:sz w:val="20"/>
          <w:lang w:val="fr-FR"/>
        </w:rPr>
        <w:t>Lignes directrices de l</w:t>
      </w:r>
      <w:r>
        <w:rPr>
          <w:i/>
          <w:iCs/>
          <w:sz w:val="20"/>
          <w:lang w:val="fr-FR"/>
        </w:rPr>
        <w:t>’</w:t>
      </w:r>
      <w:r w:rsidRPr="00D2364E">
        <w:rPr>
          <w:i/>
          <w:iCs/>
          <w:sz w:val="20"/>
          <w:lang w:val="fr-FR"/>
        </w:rPr>
        <w:t xml:space="preserve">OCDE pour les essais de produits chimiques </w:t>
      </w:r>
      <w:r w:rsidR="00F8208D" w:rsidRPr="00F8208D">
        <w:rPr>
          <w:rFonts w:eastAsia="MS Mincho"/>
          <w:i/>
          <w:iCs/>
          <w:sz w:val="20"/>
          <w:szCs w:val="22"/>
          <w:lang w:val="fr-FR"/>
        </w:rPr>
        <w:t>n</w:t>
      </w:r>
      <w:r w:rsidR="00F8208D" w:rsidRPr="00F8208D">
        <w:rPr>
          <w:rFonts w:eastAsia="MS Mincho"/>
          <w:i/>
          <w:iCs/>
          <w:sz w:val="20"/>
          <w:szCs w:val="22"/>
          <w:vertAlign w:val="superscript"/>
          <w:lang w:val="fr-FR"/>
        </w:rPr>
        <w:t>o</w:t>
      </w:r>
      <w:r w:rsidR="00F8208D">
        <w:rPr>
          <w:i/>
          <w:iCs/>
          <w:sz w:val="20"/>
          <w:lang w:val="fr-FR"/>
        </w:rPr>
        <w:t> </w:t>
      </w:r>
      <w:r w:rsidRPr="00D2364E">
        <w:rPr>
          <w:i/>
          <w:iCs/>
          <w:sz w:val="20"/>
          <w:lang w:val="fr-FR"/>
        </w:rPr>
        <w:t>221</w:t>
      </w:r>
      <w:r w:rsidR="00F8208D">
        <w:rPr>
          <w:i/>
          <w:iCs/>
          <w:sz w:val="20"/>
          <w:lang w:val="fr-FR"/>
        </w:rPr>
        <w:t> </w:t>
      </w:r>
      <w:r w:rsidRPr="00D2364E">
        <w:rPr>
          <w:i/>
          <w:iCs/>
          <w:sz w:val="20"/>
          <w:lang w:val="fr-FR"/>
        </w:rPr>
        <w:t xml:space="preserve">: </w:t>
      </w:r>
      <w:proofErr w:type="spellStart"/>
      <w:r w:rsidRPr="003347D7">
        <w:rPr>
          <w:i/>
          <w:sz w:val="20"/>
          <w:lang w:val="fr-FR"/>
        </w:rPr>
        <w:t>Lemna</w:t>
      </w:r>
      <w:proofErr w:type="spellEnd"/>
      <w:r w:rsidRPr="003347D7">
        <w:rPr>
          <w:i/>
          <w:sz w:val="20"/>
          <w:lang w:val="fr-FR"/>
        </w:rPr>
        <w:t xml:space="preserve"> </w:t>
      </w:r>
      <w:proofErr w:type="spellStart"/>
      <w:r w:rsidRPr="00D2364E">
        <w:rPr>
          <w:i/>
          <w:iCs/>
          <w:sz w:val="20"/>
          <w:lang w:val="fr-FR"/>
        </w:rPr>
        <w:t>sp</w:t>
      </w:r>
      <w:proofErr w:type="spellEnd"/>
      <w:r w:rsidRPr="00D2364E">
        <w:rPr>
          <w:sz w:val="20"/>
          <w:lang w:val="fr-FR"/>
        </w:rPr>
        <w:t xml:space="preserve">. </w:t>
      </w:r>
      <w:r w:rsidRPr="00D2364E">
        <w:rPr>
          <w:i/>
          <w:iCs/>
          <w:sz w:val="20"/>
          <w:lang w:val="fr-FR"/>
        </w:rPr>
        <w:t>Essais d</w:t>
      </w:r>
      <w:r>
        <w:rPr>
          <w:i/>
          <w:iCs/>
          <w:sz w:val="20"/>
          <w:lang w:val="fr-FR"/>
        </w:rPr>
        <w:t>’</w:t>
      </w:r>
      <w:r w:rsidRPr="00D2364E">
        <w:rPr>
          <w:i/>
          <w:iCs/>
          <w:sz w:val="20"/>
          <w:lang w:val="fr-FR"/>
        </w:rPr>
        <w:t>inhibition de la croissance.</w:t>
      </w:r>
      <w:r w:rsidRPr="00D2364E">
        <w:rPr>
          <w:sz w:val="20"/>
          <w:lang w:val="fr-FR"/>
        </w:rPr>
        <w:t> ».</w:t>
      </w:r>
      <w:bookmarkEnd w:id="1"/>
    </w:p>
    <w:p w14:paraId="338DEF41" w14:textId="77777777" w:rsidR="00C01243" w:rsidRPr="00810D32" w:rsidRDefault="00C01243" w:rsidP="00C01243">
      <w:pPr>
        <w:pStyle w:val="SingleTxtG"/>
        <w:spacing w:before="120"/>
        <w:ind w:left="1418"/>
        <w:rPr>
          <w:b/>
          <w:bCs/>
        </w:rPr>
      </w:pPr>
      <w:r w:rsidRPr="00D2364E">
        <w:rPr>
          <w:i/>
          <w:iCs/>
          <w:u w:val="single"/>
          <w:lang w:val="fr-FR"/>
        </w:rPr>
        <w:t>Note du secrétariat</w:t>
      </w:r>
      <w:r w:rsidRPr="00D2364E">
        <w:rPr>
          <w:i/>
          <w:iCs/>
          <w:lang w:val="fr-FR"/>
        </w:rPr>
        <w:t> : Dans ce cas précis, il est pertinent d</w:t>
      </w:r>
      <w:r>
        <w:rPr>
          <w:i/>
          <w:iCs/>
          <w:lang w:val="fr-FR"/>
        </w:rPr>
        <w:t>’</w:t>
      </w:r>
      <w:r w:rsidRPr="00D2364E">
        <w:rPr>
          <w:i/>
          <w:iCs/>
          <w:lang w:val="fr-FR"/>
        </w:rPr>
        <w:t xml:space="preserve">ajouter une note de bas de page </w:t>
      </w:r>
      <w:r>
        <w:rPr>
          <w:i/>
          <w:iCs/>
          <w:lang w:val="fr-FR"/>
        </w:rPr>
        <w:t>à</w:t>
      </w:r>
      <w:r w:rsidRPr="00D2364E">
        <w:rPr>
          <w:i/>
          <w:iCs/>
          <w:lang w:val="fr-FR"/>
        </w:rPr>
        <w:t xml:space="preserve"> l</w:t>
      </w:r>
      <w:r>
        <w:rPr>
          <w:i/>
          <w:iCs/>
          <w:lang w:val="fr-FR"/>
        </w:rPr>
        <w:t>’</w:t>
      </w:r>
      <w:r w:rsidRPr="00D2364E">
        <w:rPr>
          <w:i/>
          <w:iCs/>
          <w:lang w:val="fr-FR"/>
        </w:rPr>
        <w:t xml:space="preserve">annexe 9 étant donné que le texte ne comprend aucune référence particulière à la </w:t>
      </w:r>
      <w:r>
        <w:rPr>
          <w:i/>
          <w:iCs/>
          <w:lang w:val="fr-FR"/>
        </w:rPr>
        <w:t>ligne directrice</w:t>
      </w:r>
      <w:r w:rsidRPr="00D2364E">
        <w:rPr>
          <w:i/>
          <w:iCs/>
          <w:lang w:val="fr-FR"/>
        </w:rPr>
        <w:t xml:space="preserve"> de l</w:t>
      </w:r>
      <w:r>
        <w:rPr>
          <w:i/>
          <w:iCs/>
          <w:lang w:val="fr-FR"/>
        </w:rPr>
        <w:t>’</w:t>
      </w:r>
      <w:r w:rsidRPr="00D2364E">
        <w:rPr>
          <w:i/>
          <w:iCs/>
          <w:lang w:val="fr-FR"/>
        </w:rPr>
        <w:t>OCDE qui était en cours d</w:t>
      </w:r>
      <w:r>
        <w:rPr>
          <w:i/>
          <w:iCs/>
          <w:lang w:val="fr-FR"/>
        </w:rPr>
        <w:t>’</w:t>
      </w:r>
      <w:r w:rsidRPr="00D2364E">
        <w:rPr>
          <w:i/>
          <w:iCs/>
          <w:lang w:val="fr-FR"/>
        </w:rPr>
        <w:t>élaboration au moment de l</w:t>
      </w:r>
      <w:r>
        <w:rPr>
          <w:i/>
          <w:iCs/>
          <w:lang w:val="fr-FR"/>
        </w:rPr>
        <w:t>’</w:t>
      </w:r>
      <w:r w:rsidRPr="00D2364E">
        <w:rPr>
          <w:i/>
          <w:iCs/>
          <w:lang w:val="fr-FR"/>
        </w:rPr>
        <w:t>adoption de l</w:t>
      </w:r>
      <w:r>
        <w:rPr>
          <w:i/>
          <w:iCs/>
          <w:lang w:val="fr-FR"/>
        </w:rPr>
        <w:t>’</w:t>
      </w:r>
      <w:r w:rsidRPr="00D2364E">
        <w:rPr>
          <w:i/>
          <w:iCs/>
          <w:lang w:val="fr-FR"/>
        </w:rPr>
        <w:t>annexe.</w:t>
      </w:r>
      <w:r w:rsidRPr="00D2364E">
        <w:rPr>
          <w:lang w:val="fr-FR"/>
        </w:rPr>
        <w:t xml:space="preserve"> </w:t>
      </w:r>
    </w:p>
    <w:p w14:paraId="672057B8" w14:textId="77777777" w:rsidR="00C01243" w:rsidRPr="00810D32" w:rsidRDefault="00C01243" w:rsidP="00C01243">
      <w:pPr>
        <w:pStyle w:val="H23G"/>
        <w:ind w:firstLine="0"/>
        <w:jc w:val="both"/>
        <w:rPr>
          <w:rFonts w:asciiTheme="majorBidi" w:hAnsiTheme="majorBidi" w:cstheme="majorBidi"/>
          <w:b w:val="0"/>
          <w:bCs/>
        </w:rPr>
      </w:pPr>
      <w:r w:rsidRPr="00DE276F">
        <w:rPr>
          <w:b w:val="0"/>
          <w:bCs/>
          <w:lang w:val="fr-FR"/>
        </w:rPr>
        <w:t>A9.4.2.4.9</w:t>
      </w:r>
      <w:r w:rsidRPr="00DE276F">
        <w:rPr>
          <w:b w:val="0"/>
          <w:bCs/>
          <w:lang w:val="fr-FR"/>
        </w:rPr>
        <w:tab/>
        <w:t>Remplacer « (par exemple, la Ligne directrice 303 de l</w:t>
      </w:r>
      <w:r>
        <w:rPr>
          <w:b w:val="0"/>
          <w:bCs/>
          <w:lang w:val="fr-FR"/>
        </w:rPr>
        <w:t>’</w:t>
      </w:r>
      <w:r w:rsidRPr="00DE276F">
        <w:rPr>
          <w:b w:val="0"/>
          <w:bCs/>
          <w:lang w:val="fr-FR"/>
        </w:rPr>
        <w:t xml:space="preserve">OCDE) » par « (par exemple, la Ligne directrice 303 de </w:t>
      </w:r>
      <w:proofErr w:type="gramStart"/>
      <w:r w:rsidRPr="00DE276F">
        <w:rPr>
          <w:b w:val="0"/>
          <w:bCs/>
          <w:lang w:val="fr-FR"/>
        </w:rPr>
        <w:t>l</w:t>
      </w:r>
      <w:r>
        <w:rPr>
          <w:b w:val="0"/>
          <w:bCs/>
          <w:lang w:val="fr-FR"/>
        </w:rPr>
        <w:t>’</w:t>
      </w:r>
      <w:r w:rsidRPr="00DE276F">
        <w:rPr>
          <w:b w:val="0"/>
          <w:bCs/>
          <w:lang w:val="fr-FR"/>
        </w:rPr>
        <w:t>OCDE)*</w:t>
      </w:r>
      <w:proofErr w:type="gramEnd"/>
      <w:r w:rsidRPr="00DE276F">
        <w:rPr>
          <w:b w:val="0"/>
          <w:bCs/>
          <w:lang w:val="fr-FR"/>
        </w:rPr>
        <w:t> » et ajouter la note de bas de page suivant</w:t>
      </w:r>
      <w:r>
        <w:rPr>
          <w:b w:val="0"/>
          <w:bCs/>
          <w:lang w:val="fr-FR"/>
        </w:rPr>
        <w:t> </w:t>
      </w:r>
      <w:r w:rsidRPr="00DE276F">
        <w:rPr>
          <w:b w:val="0"/>
          <w:bCs/>
          <w:lang w:val="fr-FR"/>
        </w:rPr>
        <w:t>: «</w:t>
      </w:r>
      <w:r>
        <w:rPr>
          <w:b w:val="0"/>
          <w:bCs/>
          <w:lang w:val="fr-FR"/>
        </w:rPr>
        <w:t> </w:t>
      </w:r>
      <w:r w:rsidRPr="00DE276F">
        <w:rPr>
          <w:b w:val="0"/>
          <w:bCs/>
          <w:lang w:val="fr-FR"/>
        </w:rPr>
        <w:t>*</w:t>
      </w:r>
      <w:r w:rsidR="00F8208D">
        <w:rPr>
          <w:b w:val="0"/>
          <w:bCs/>
          <w:lang w:val="fr-FR"/>
        </w:rPr>
        <w:t> </w:t>
      </w:r>
      <w:r w:rsidRPr="00DE276F">
        <w:rPr>
          <w:b w:val="0"/>
          <w:bCs/>
          <w:i/>
          <w:iCs/>
          <w:lang w:val="fr-FR"/>
        </w:rPr>
        <w:t>Les Lignes directrices 311 et 314 de l</w:t>
      </w:r>
      <w:r>
        <w:rPr>
          <w:b w:val="0"/>
          <w:bCs/>
          <w:i/>
          <w:iCs/>
          <w:lang w:val="fr-FR"/>
        </w:rPr>
        <w:t>’</w:t>
      </w:r>
      <w:r w:rsidRPr="00DE276F">
        <w:rPr>
          <w:b w:val="0"/>
          <w:bCs/>
          <w:i/>
          <w:iCs/>
          <w:lang w:val="fr-FR"/>
        </w:rPr>
        <w:t>OCDE sont également disponibles</w:t>
      </w:r>
      <w:r w:rsidRPr="00DE276F">
        <w:rPr>
          <w:b w:val="0"/>
          <w:bCs/>
          <w:lang w:val="fr-FR"/>
        </w:rPr>
        <w:t>. ».</w:t>
      </w:r>
    </w:p>
    <w:p w14:paraId="5ED21624" w14:textId="77777777" w:rsidR="00C01243" w:rsidRPr="00810D32" w:rsidRDefault="00C01243" w:rsidP="00F8208D">
      <w:pPr>
        <w:pStyle w:val="H23G"/>
      </w:pPr>
      <w:r>
        <w:rPr>
          <w:lang w:val="fr-FR"/>
        </w:rPr>
        <w:tab/>
      </w:r>
      <w:r w:rsidR="00F8208D">
        <w:rPr>
          <w:lang w:val="fr-FR"/>
        </w:rPr>
        <w:tab/>
      </w:r>
      <w:r>
        <w:rPr>
          <w:lang w:val="fr-FR"/>
        </w:rPr>
        <w:t>Appendice V de l’annexe 9</w:t>
      </w:r>
    </w:p>
    <w:p w14:paraId="3CA85D49" w14:textId="77777777" w:rsidR="00C01243" w:rsidRPr="00810D32" w:rsidRDefault="00C01243" w:rsidP="00C01243">
      <w:pPr>
        <w:pStyle w:val="SingleTxtG"/>
      </w:pPr>
      <w:r>
        <w:rPr>
          <w:lang w:val="fr-FR"/>
        </w:rPr>
        <w:t>Modifier les points suivants comme indiqué</w:t>
      </w:r>
      <w:r w:rsidR="00F8208D">
        <w:rPr>
          <w:lang w:val="fr-FR"/>
        </w:rPr>
        <w:t> </w:t>
      </w:r>
      <w:r>
        <w:rPr>
          <w:lang w:val="fr-FR"/>
        </w:rPr>
        <w:t>:</w:t>
      </w:r>
    </w:p>
    <w:p w14:paraId="220F9D2D" w14:textId="77777777" w:rsidR="00C01243" w:rsidRDefault="00C01243" w:rsidP="00C01243">
      <w:pPr>
        <w:pStyle w:val="Bullet1G"/>
        <w:numPr>
          <w:ilvl w:val="0"/>
          <w:numId w:val="17"/>
        </w:numPr>
        <w:tabs>
          <w:tab w:val="clear" w:pos="1701"/>
          <w:tab w:val="num" w:pos="1134"/>
        </w:tabs>
        <w:kinsoku/>
        <w:overflowPunct/>
        <w:autoSpaceDE/>
        <w:autoSpaceDN/>
        <w:adjustRightInd/>
        <w:snapToGrid/>
        <w:ind w:left="1418" w:hanging="284"/>
      </w:pPr>
      <w:r>
        <w:rPr>
          <w:lang w:val="fr-FR"/>
        </w:rPr>
        <w:t>Point 1</w:t>
      </w:r>
    </w:p>
    <w:p w14:paraId="4C0D9127" w14:textId="77777777" w:rsidR="00C01243" w:rsidRPr="00810D32" w:rsidRDefault="00C01243" w:rsidP="00C01243">
      <w:pPr>
        <w:pStyle w:val="Bullet1G"/>
        <w:numPr>
          <w:ilvl w:val="0"/>
          <w:numId w:val="0"/>
        </w:numPr>
        <w:ind w:left="1418"/>
      </w:pPr>
      <w:r>
        <w:rPr>
          <w:lang w:val="fr-FR"/>
        </w:rPr>
        <w:t>Modifier les alinéas b) à e), comme suit</w:t>
      </w:r>
      <w:r w:rsidR="00F8208D">
        <w:rPr>
          <w:lang w:val="fr-FR"/>
        </w:rPr>
        <w:t> </w:t>
      </w:r>
      <w:r>
        <w:rPr>
          <w:lang w:val="fr-FR"/>
        </w:rPr>
        <w:t xml:space="preserve">: </w:t>
      </w:r>
    </w:p>
    <w:p w14:paraId="3F865BC9" w14:textId="77777777" w:rsidR="00C01243" w:rsidRPr="00810D32" w:rsidRDefault="00C01243" w:rsidP="00C01243">
      <w:pPr>
        <w:pStyle w:val="SingleTxtG"/>
        <w:ind w:left="2268" w:hanging="567"/>
      </w:pPr>
      <w:r>
        <w:rPr>
          <w:lang w:val="fr-FR"/>
        </w:rPr>
        <w:t>« </w:t>
      </w:r>
      <w:proofErr w:type="gramStart"/>
      <w:r>
        <w:rPr>
          <w:lang w:val="fr-FR"/>
        </w:rPr>
        <w:t>b</w:t>
      </w:r>
      <w:proofErr w:type="gramEnd"/>
      <w:r>
        <w:rPr>
          <w:lang w:val="fr-FR"/>
        </w:rPr>
        <w:t>)</w:t>
      </w:r>
      <w:r>
        <w:rPr>
          <w:lang w:val="fr-FR"/>
        </w:rPr>
        <w:tab/>
        <w:t>Lignes directrices de l’ISO : disponibles auprès des organismes de normalisation nationaux ou de l’ISO (</w:t>
      </w:r>
      <w:r w:rsidRPr="000E2684">
        <w:rPr>
          <w:strike/>
          <w:color w:val="FF0000"/>
          <w:lang w:val="fr-FR"/>
        </w:rPr>
        <w:t>page d</w:t>
      </w:r>
      <w:r>
        <w:rPr>
          <w:strike/>
          <w:color w:val="FF0000"/>
          <w:lang w:val="fr-FR"/>
        </w:rPr>
        <w:t>’</w:t>
      </w:r>
      <w:r w:rsidRPr="000E2684">
        <w:rPr>
          <w:strike/>
          <w:color w:val="FF0000"/>
          <w:lang w:val="fr-FR"/>
        </w:rPr>
        <w:t xml:space="preserve">accueil : </w:t>
      </w:r>
      <w:r>
        <w:rPr>
          <w:lang w:val="fr-FR"/>
        </w:rPr>
        <w:t>http://www.iso.org/iso/home.htm</w:t>
      </w:r>
      <w:r w:rsidRPr="002A5BB9">
        <w:rPr>
          <w:color w:val="4F81BD" w:themeColor="accent1"/>
          <w:u w:val="single"/>
          <w:lang w:val="fr-FR"/>
        </w:rPr>
        <w:t>l</w:t>
      </w:r>
      <w:r>
        <w:rPr>
          <w:lang w:val="fr-FR"/>
        </w:rPr>
        <w:t>) ;</w:t>
      </w:r>
    </w:p>
    <w:p w14:paraId="207C06F6" w14:textId="77777777" w:rsidR="00C01243" w:rsidRPr="00810D32" w:rsidRDefault="00C01243" w:rsidP="00C01243">
      <w:pPr>
        <w:pStyle w:val="SingleTxtG"/>
        <w:ind w:left="2268" w:hanging="567"/>
      </w:pPr>
      <w:r>
        <w:rPr>
          <w:lang w:val="fr-FR"/>
        </w:rPr>
        <w:t>c)</w:t>
      </w:r>
      <w:r>
        <w:rPr>
          <w:lang w:val="fr-FR"/>
        </w:rPr>
        <w:tab/>
        <w:t>Lignes directrices de l’OCDE pour les essais de produits chimiques. OCDE, Paris, 1993, avec mises à jour régulières</w:t>
      </w:r>
      <w:r w:rsidRPr="000E2684">
        <w:rPr>
          <w:strike/>
          <w:color w:val="FF0000"/>
          <w:lang w:val="fr-FR"/>
        </w:rPr>
        <w:t xml:space="preserve"> (Page d</w:t>
      </w:r>
      <w:r>
        <w:rPr>
          <w:strike/>
          <w:color w:val="FF0000"/>
          <w:lang w:val="fr-FR"/>
        </w:rPr>
        <w:t>’</w:t>
      </w:r>
      <w:r w:rsidRPr="000E2684">
        <w:rPr>
          <w:strike/>
          <w:color w:val="FF0000"/>
          <w:lang w:val="fr-FR"/>
        </w:rPr>
        <w:t>accueil : http://www.oecd.org/env/testguidelines) ;</w:t>
      </w:r>
      <w:r w:rsidRPr="000E2684">
        <w:rPr>
          <w:color w:val="FF0000"/>
          <w:lang w:val="fr-FR"/>
        </w:rPr>
        <w:t xml:space="preserve"> </w:t>
      </w:r>
      <w:r w:rsidRPr="00EB6EA2">
        <w:rPr>
          <w:color w:val="4F81BD" w:themeColor="accent1"/>
          <w:lang w:val="fr-FR"/>
        </w:rPr>
        <w:t>(</w:t>
      </w:r>
      <w:r w:rsidRPr="00EB6EA2">
        <w:rPr>
          <w:color w:val="4F81BD" w:themeColor="accent1"/>
          <w:u w:val="single"/>
          <w:lang w:val="fr-FR"/>
        </w:rPr>
        <w:t>http://www.oecd.org/fr/env/ess/essais/lignesdirectricesdelocdepourlesessaisdeproduitschimiques.htm</w:t>
      </w:r>
      <w:r w:rsidRPr="00EB6EA2">
        <w:rPr>
          <w:color w:val="4F81BD" w:themeColor="accent1"/>
          <w:lang w:val="fr-FR"/>
        </w:rPr>
        <w:t>)</w:t>
      </w:r>
      <w:r w:rsidRPr="000E2684">
        <w:rPr>
          <w:u w:val="single"/>
          <w:lang w:val="fr-FR"/>
        </w:rPr>
        <w:t> </w:t>
      </w:r>
      <w:r>
        <w:rPr>
          <w:u w:val="single"/>
          <w:lang w:val="fr-FR"/>
        </w:rPr>
        <w:t>;</w:t>
      </w:r>
    </w:p>
    <w:p w14:paraId="5123D625" w14:textId="77777777" w:rsidR="00C01243" w:rsidRPr="00810D32" w:rsidRDefault="00C01243" w:rsidP="00C01243">
      <w:pPr>
        <w:pStyle w:val="SingleTxtG"/>
        <w:ind w:left="2268" w:hanging="567"/>
        <w:jc w:val="left"/>
      </w:pPr>
      <w:r>
        <w:rPr>
          <w:lang w:val="fr-FR"/>
        </w:rPr>
        <w:t>d)</w:t>
      </w:r>
      <w:r>
        <w:rPr>
          <w:lang w:val="fr-FR"/>
        </w:rPr>
        <w:tab/>
        <w:t>Lignes directrices de l’OPPTS</w:t>
      </w:r>
      <w:r w:rsidR="003347D7">
        <w:rPr>
          <w:lang w:val="fr-FR"/>
        </w:rPr>
        <w:t> </w:t>
      </w:r>
      <w:r>
        <w:rPr>
          <w:lang w:val="fr-FR"/>
        </w:rPr>
        <w:t>: page d’accueil de l’US-EPA</w:t>
      </w:r>
      <w:r w:rsidRPr="00034F15">
        <w:rPr>
          <w:strike/>
          <w:color w:val="FF0000"/>
          <w:lang w:val="fr-FR"/>
        </w:rPr>
        <w:t xml:space="preserve"> : http ://www.epa.gov/opptsfrs/home/guidelin.htm ;</w:t>
      </w:r>
      <w:r>
        <w:rPr>
          <w:lang w:val="fr-FR"/>
        </w:rPr>
        <w:t xml:space="preserve"> </w:t>
      </w:r>
      <w:r w:rsidRPr="00EB6EA2">
        <w:rPr>
          <w:color w:val="4F81BD" w:themeColor="accent1"/>
          <w:u w:val="single"/>
          <w:lang w:val="fr-FR"/>
        </w:rPr>
        <w:t>(https://www.epa.gov/test-guidelines-pesticides-and-toxic-substances)</w:t>
      </w:r>
      <w:r>
        <w:rPr>
          <w:color w:val="4F81BD" w:themeColor="accent1"/>
          <w:u w:val="single"/>
          <w:lang w:val="fr-FR"/>
        </w:rPr>
        <w:t> </w:t>
      </w:r>
      <w:r>
        <w:rPr>
          <w:lang w:val="fr-FR"/>
        </w:rPr>
        <w:t xml:space="preserve">; </w:t>
      </w:r>
    </w:p>
    <w:p w14:paraId="66DB2DEB" w14:textId="77777777" w:rsidR="00C01243" w:rsidRDefault="00C01243" w:rsidP="00C01243">
      <w:pPr>
        <w:pStyle w:val="SingleTxtG"/>
        <w:ind w:left="2268" w:hanging="567"/>
      </w:pPr>
      <w:r>
        <w:rPr>
          <w:lang w:val="fr-FR"/>
        </w:rPr>
        <w:t>e)</w:t>
      </w:r>
      <w:r>
        <w:rPr>
          <w:lang w:val="fr-FR"/>
        </w:rPr>
        <w:tab/>
        <w:t>ASTM</w:t>
      </w:r>
      <w:r w:rsidRPr="00034F15">
        <w:rPr>
          <w:strike/>
          <w:color w:val="FF0000"/>
          <w:lang w:val="fr-FR"/>
        </w:rPr>
        <w:t xml:space="preserve"> : page d</w:t>
      </w:r>
      <w:r>
        <w:rPr>
          <w:strike/>
          <w:color w:val="FF0000"/>
          <w:lang w:val="fr-FR"/>
        </w:rPr>
        <w:t>’</w:t>
      </w:r>
      <w:r w:rsidRPr="00034F15">
        <w:rPr>
          <w:strike/>
          <w:color w:val="FF0000"/>
          <w:lang w:val="fr-FR"/>
        </w:rPr>
        <w:t>accueil de l</w:t>
      </w:r>
      <w:r>
        <w:rPr>
          <w:strike/>
          <w:color w:val="FF0000"/>
          <w:lang w:val="fr-FR"/>
        </w:rPr>
        <w:t>’</w:t>
      </w:r>
      <w:r w:rsidRPr="00034F15">
        <w:rPr>
          <w:strike/>
          <w:color w:val="FF0000"/>
          <w:lang w:val="fr-FR"/>
        </w:rPr>
        <w:t>ASTM : http ://www.astm.org.</w:t>
      </w:r>
      <w:r w:rsidRPr="00034F15">
        <w:rPr>
          <w:color w:val="FF0000"/>
          <w:lang w:val="fr-FR"/>
        </w:rPr>
        <w:t xml:space="preserve"> </w:t>
      </w:r>
      <w:r w:rsidRPr="00034F15">
        <w:rPr>
          <w:strike/>
          <w:color w:val="FF0000"/>
          <w:lang w:val="fr-FR"/>
        </w:rPr>
        <w:t>Poursuivre la recherche via le terme</w:t>
      </w:r>
      <w:proofErr w:type="gramStart"/>
      <w:r w:rsidRPr="00034F15">
        <w:rPr>
          <w:strike/>
          <w:color w:val="FF0000"/>
          <w:lang w:val="fr-FR"/>
        </w:rPr>
        <w:t xml:space="preserve"> «standards</w:t>
      </w:r>
      <w:proofErr w:type="gramEnd"/>
      <w:r w:rsidRPr="00034F15">
        <w:rPr>
          <w:strike/>
          <w:color w:val="FF0000"/>
          <w:lang w:val="fr-FR"/>
        </w:rPr>
        <w:t>».</w:t>
      </w:r>
      <w:r w:rsidRPr="00034F15">
        <w:rPr>
          <w:color w:val="FF0000"/>
          <w:lang w:val="fr-FR"/>
        </w:rPr>
        <w:t xml:space="preserve"> </w:t>
      </w:r>
      <w:r w:rsidRPr="005C6F88">
        <w:rPr>
          <w:color w:val="4F81BD" w:themeColor="accent1"/>
          <w:u w:val="single"/>
          <w:lang w:val="fr-FR"/>
        </w:rPr>
        <w:t>(</w:t>
      </w:r>
      <w:proofErr w:type="gramStart"/>
      <w:r w:rsidRPr="005C6F88">
        <w:rPr>
          <w:color w:val="4F81BD" w:themeColor="accent1"/>
          <w:u w:val="single"/>
          <w:lang w:val="fr-FR"/>
        </w:rPr>
        <w:t>https://www.astm.org/Standard/</w:t>
      </w:r>
      <w:proofErr w:type="gramEnd"/>
      <w:r w:rsidR="00F8208D">
        <w:rPr>
          <w:color w:val="4F81BD" w:themeColor="accent1"/>
          <w:u w:val="single"/>
          <w:lang w:val="fr-FR"/>
        </w:rPr>
        <w:t xml:space="preserve"> </w:t>
      </w:r>
      <w:r w:rsidRPr="005C6F88">
        <w:rPr>
          <w:color w:val="4F81BD" w:themeColor="accent1"/>
          <w:u w:val="single"/>
          <w:lang w:val="fr-FR"/>
        </w:rPr>
        <w:t>standards-and-publications.html)</w:t>
      </w:r>
      <w:r>
        <w:rPr>
          <w:lang w:val="fr-FR"/>
        </w:rPr>
        <w:t> ».</w:t>
      </w:r>
    </w:p>
    <w:p w14:paraId="017D8078" w14:textId="77777777" w:rsidR="00C01243" w:rsidRPr="00BA74FD" w:rsidRDefault="00C01243" w:rsidP="00C01243">
      <w:pPr>
        <w:pStyle w:val="Bullet1G"/>
        <w:keepNext/>
        <w:keepLines/>
        <w:numPr>
          <w:ilvl w:val="0"/>
          <w:numId w:val="17"/>
        </w:numPr>
        <w:tabs>
          <w:tab w:val="clear" w:pos="1701"/>
          <w:tab w:val="num" w:pos="1134"/>
        </w:tabs>
        <w:kinsoku/>
        <w:overflowPunct/>
        <w:autoSpaceDE/>
        <w:autoSpaceDN/>
        <w:adjustRightInd/>
        <w:snapToGrid/>
        <w:ind w:left="1418" w:hanging="284"/>
      </w:pPr>
      <w:r>
        <w:rPr>
          <w:lang w:val="fr-FR"/>
        </w:rPr>
        <w:t>Point 2</w:t>
      </w:r>
    </w:p>
    <w:p w14:paraId="46B624E1" w14:textId="77777777" w:rsidR="00C01243" w:rsidRPr="00810D32" w:rsidRDefault="00C01243" w:rsidP="00C01243">
      <w:pPr>
        <w:pStyle w:val="SingleTxtG"/>
        <w:keepNext/>
        <w:keepLines/>
        <w:ind w:left="1418"/>
      </w:pPr>
      <w:r>
        <w:rPr>
          <w:lang w:val="fr-FR"/>
        </w:rPr>
        <w:t>Modifier les lignes suivantes comme indiqué</w:t>
      </w:r>
      <w:r w:rsidR="00F8208D">
        <w:rPr>
          <w:lang w:val="fr-FR"/>
        </w:rPr>
        <w:t> </w:t>
      </w:r>
      <w:r>
        <w:rPr>
          <w:lang w:val="fr-FR"/>
        </w:rPr>
        <w:t>: (</w:t>
      </w:r>
      <w:r>
        <w:rPr>
          <w:i/>
          <w:iCs/>
          <w:lang w:val="fr-FR"/>
        </w:rPr>
        <w:t xml:space="preserve">les ajouts figurent en caractères </w:t>
      </w:r>
      <w:r w:rsidRPr="002A4646">
        <w:rPr>
          <w:i/>
          <w:iCs/>
          <w:color w:val="4F81BD" w:themeColor="accent1"/>
          <w:u w:val="single"/>
          <w:lang w:val="fr-FR"/>
        </w:rPr>
        <w:t>bleus</w:t>
      </w:r>
      <w:r w:rsidRPr="002A4646">
        <w:rPr>
          <w:color w:val="4F81BD" w:themeColor="accent1"/>
          <w:lang w:val="fr-FR"/>
        </w:rPr>
        <w:t xml:space="preserve"> </w:t>
      </w:r>
      <w:r w:rsidRPr="002A4646">
        <w:rPr>
          <w:i/>
          <w:iCs/>
          <w:color w:val="4F81BD" w:themeColor="accent1"/>
          <w:u w:val="single"/>
          <w:lang w:val="fr-FR"/>
        </w:rPr>
        <w:t>soulignés</w:t>
      </w:r>
      <w:r>
        <w:rPr>
          <w:lang w:val="fr-FR"/>
        </w:rPr>
        <w:t>)</w:t>
      </w:r>
    </w:p>
    <w:p w14:paraId="54B1A8CD" w14:textId="77777777" w:rsidR="00C01243" w:rsidRPr="00810D32" w:rsidRDefault="00C01243" w:rsidP="00C01243">
      <w:pPr>
        <w:pStyle w:val="SingleTxtG"/>
        <w:spacing w:after="40" w:line="240" w:lineRule="auto"/>
        <w:ind w:left="1418"/>
        <w:rPr>
          <w:rFonts w:asciiTheme="majorBidi" w:hAnsiTheme="majorBidi" w:cstheme="majorBidi"/>
        </w:rPr>
      </w:pPr>
      <w:r>
        <w:rPr>
          <w:lang w:val="fr-FR"/>
        </w:rPr>
        <w:t>« Ligne directrice 201 de l’OCDE (1984)</w:t>
      </w:r>
      <w:r>
        <w:rPr>
          <w:u w:val="single"/>
          <w:lang w:val="fr-FR"/>
        </w:rPr>
        <w:t xml:space="preserve"> </w:t>
      </w:r>
      <w:r w:rsidRPr="00284035">
        <w:rPr>
          <w:color w:val="4F81BD" w:themeColor="accent1"/>
          <w:u w:val="single"/>
          <w:lang w:val="fr-FR"/>
        </w:rPr>
        <w:t>(</w:t>
      </w:r>
      <w:r>
        <w:rPr>
          <w:color w:val="4F81BD" w:themeColor="accent1"/>
          <w:u w:val="single"/>
          <w:lang w:val="fr-FR"/>
        </w:rPr>
        <w:t>m</w:t>
      </w:r>
      <w:r w:rsidRPr="00284035">
        <w:rPr>
          <w:color w:val="4F81BD" w:themeColor="accent1"/>
          <w:u w:val="single"/>
          <w:lang w:val="fr-FR"/>
        </w:rPr>
        <w:t>ise à jour en 2011)</w:t>
      </w:r>
      <w:r>
        <w:rPr>
          <w:lang w:val="fr-FR"/>
        </w:rPr>
        <w:t xml:space="preserve"> Algues, essai d’inhibition de la croissance ».</w:t>
      </w:r>
    </w:p>
    <w:p w14:paraId="3EA59657" w14:textId="77777777" w:rsidR="00C01243" w:rsidRPr="00810D32" w:rsidRDefault="00C01243" w:rsidP="00C01243">
      <w:pPr>
        <w:pStyle w:val="SingleTxtG"/>
        <w:spacing w:before="120"/>
        <w:ind w:left="1418"/>
        <w:rPr>
          <w:i/>
          <w:iCs/>
        </w:rPr>
      </w:pPr>
      <w:r>
        <w:rPr>
          <w:i/>
          <w:iCs/>
          <w:u w:val="single"/>
          <w:lang w:val="fr-FR"/>
        </w:rPr>
        <w:t>Note du secrétariat</w:t>
      </w:r>
      <w:r w:rsidR="00F8208D">
        <w:rPr>
          <w:i/>
          <w:iCs/>
          <w:lang w:val="fr-FR"/>
        </w:rPr>
        <w:t> </w:t>
      </w:r>
      <w:r>
        <w:rPr>
          <w:i/>
          <w:iCs/>
          <w:lang w:val="fr-FR"/>
        </w:rPr>
        <w:t>: Le renvoi à la Ligne directrice 201 de l’OCDE figure aux A9.3.2.2 et A9.3.2.7.1.</w:t>
      </w:r>
    </w:p>
    <w:p w14:paraId="71856796" w14:textId="77777777" w:rsidR="00C01243" w:rsidRPr="00810D32" w:rsidRDefault="00C01243" w:rsidP="00C01243">
      <w:pPr>
        <w:pStyle w:val="SingleTxtG"/>
        <w:spacing w:after="40" w:line="240" w:lineRule="auto"/>
        <w:ind w:left="1418"/>
        <w:rPr>
          <w:rFonts w:asciiTheme="majorBidi" w:hAnsiTheme="majorBidi" w:cstheme="majorBidi"/>
        </w:rPr>
      </w:pPr>
      <w:r>
        <w:rPr>
          <w:lang w:val="fr-FR"/>
        </w:rPr>
        <w:t>« Ligne directrice 202 de l’OCDE (1984)</w:t>
      </w:r>
      <w:r>
        <w:rPr>
          <w:u w:val="single"/>
          <w:lang w:val="fr-FR"/>
        </w:rPr>
        <w:t xml:space="preserve"> </w:t>
      </w:r>
      <w:r w:rsidRPr="00284035">
        <w:rPr>
          <w:color w:val="4F81BD" w:themeColor="accent1"/>
          <w:u w:val="single"/>
          <w:lang w:val="fr-FR"/>
        </w:rPr>
        <w:t>(</w:t>
      </w:r>
      <w:r>
        <w:rPr>
          <w:color w:val="4F81BD" w:themeColor="accent1"/>
          <w:u w:val="single"/>
          <w:lang w:val="fr-FR"/>
        </w:rPr>
        <w:t>m</w:t>
      </w:r>
      <w:r w:rsidRPr="00284035">
        <w:rPr>
          <w:color w:val="4F81BD" w:themeColor="accent1"/>
          <w:u w:val="single"/>
          <w:lang w:val="fr-FR"/>
        </w:rPr>
        <w:t>ise à jour en 2004)</w:t>
      </w:r>
      <w:r>
        <w:rPr>
          <w:lang w:val="fr-FR"/>
        </w:rPr>
        <w:t xml:space="preserve"> </w:t>
      </w:r>
      <w:proofErr w:type="spellStart"/>
      <w:r w:rsidRPr="00284035">
        <w:rPr>
          <w:i/>
          <w:iCs/>
          <w:lang w:val="fr-FR"/>
        </w:rPr>
        <w:t>Daphnia</w:t>
      </w:r>
      <w:proofErr w:type="spellEnd"/>
      <w:r w:rsidRPr="00284035">
        <w:rPr>
          <w:i/>
          <w:iCs/>
          <w:lang w:val="fr-FR"/>
        </w:rPr>
        <w:t xml:space="preserve"> </w:t>
      </w:r>
      <w:proofErr w:type="spellStart"/>
      <w:r w:rsidRPr="00284035">
        <w:rPr>
          <w:i/>
          <w:iCs/>
          <w:lang w:val="fr-FR"/>
        </w:rPr>
        <w:t>sp</w:t>
      </w:r>
      <w:proofErr w:type="spellEnd"/>
      <w:r w:rsidRPr="00284035">
        <w:rPr>
          <w:i/>
          <w:iCs/>
          <w:lang w:val="fr-FR"/>
        </w:rPr>
        <w:t>.</w:t>
      </w:r>
      <w:r>
        <w:rPr>
          <w:lang w:val="fr-FR"/>
        </w:rPr>
        <w:t>, essai d’immobilisation immédiate et essai de reproduction ».</w:t>
      </w:r>
    </w:p>
    <w:p w14:paraId="25E3D97C" w14:textId="77777777" w:rsidR="00C01243" w:rsidRPr="00810D32" w:rsidRDefault="00C01243" w:rsidP="00C01243">
      <w:pPr>
        <w:pStyle w:val="SingleTxtG"/>
        <w:spacing w:before="120"/>
        <w:ind w:left="1418"/>
        <w:rPr>
          <w:i/>
          <w:iCs/>
        </w:rPr>
      </w:pPr>
      <w:r>
        <w:rPr>
          <w:i/>
          <w:iCs/>
          <w:u w:val="single"/>
          <w:lang w:val="fr-FR"/>
        </w:rPr>
        <w:t>Note du secrétariat</w:t>
      </w:r>
      <w:r w:rsidR="003347D7">
        <w:rPr>
          <w:i/>
          <w:iCs/>
          <w:lang w:val="fr-FR"/>
        </w:rPr>
        <w:t> </w:t>
      </w:r>
      <w:r>
        <w:rPr>
          <w:i/>
          <w:iCs/>
          <w:lang w:val="fr-FR"/>
        </w:rPr>
        <w:t>: Le renvoi à la Ligne directrice 202 de l’OCDE figure aux A9.3.2.2 et A9.3.2.7.1.</w:t>
      </w:r>
    </w:p>
    <w:p w14:paraId="311B246B" w14:textId="77777777" w:rsidR="00C01243" w:rsidRPr="00810D32" w:rsidRDefault="00C01243" w:rsidP="00C01243">
      <w:pPr>
        <w:pStyle w:val="SingleTxtG"/>
        <w:spacing w:after="40" w:line="240" w:lineRule="auto"/>
        <w:ind w:left="1418"/>
        <w:rPr>
          <w:rFonts w:asciiTheme="majorBidi" w:hAnsiTheme="majorBidi" w:cstheme="majorBidi"/>
        </w:rPr>
      </w:pPr>
      <w:r>
        <w:rPr>
          <w:lang w:val="fr-FR"/>
        </w:rPr>
        <w:t>« Ligne directrice 203 de l’OCDE (1992)</w:t>
      </w:r>
      <w:r>
        <w:rPr>
          <w:u w:val="single"/>
          <w:lang w:val="fr-FR"/>
        </w:rPr>
        <w:t xml:space="preserve"> </w:t>
      </w:r>
      <w:r w:rsidRPr="00284035">
        <w:rPr>
          <w:color w:val="4F81BD" w:themeColor="accent1"/>
          <w:u w:val="single"/>
          <w:lang w:val="fr-FR"/>
        </w:rPr>
        <w:t>(</w:t>
      </w:r>
      <w:r>
        <w:rPr>
          <w:color w:val="4F81BD" w:themeColor="accent1"/>
          <w:u w:val="single"/>
          <w:lang w:val="fr-FR"/>
        </w:rPr>
        <w:t>m</w:t>
      </w:r>
      <w:r w:rsidRPr="00284035">
        <w:rPr>
          <w:color w:val="4F81BD" w:themeColor="accent1"/>
          <w:u w:val="single"/>
          <w:lang w:val="fr-FR"/>
        </w:rPr>
        <w:t>ise à jour en 2019)</w:t>
      </w:r>
      <w:r>
        <w:rPr>
          <w:lang w:val="fr-FR"/>
        </w:rPr>
        <w:t xml:space="preserve"> Poisson, essai de toxicité aiguë ». </w:t>
      </w:r>
    </w:p>
    <w:p w14:paraId="7950E373" w14:textId="77777777" w:rsidR="00C01243" w:rsidRPr="00810D32" w:rsidRDefault="00C01243" w:rsidP="00C01243">
      <w:pPr>
        <w:pStyle w:val="SingleTxtG"/>
        <w:spacing w:before="120"/>
        <w:ind w:left="1418"/>
        <w:rPr>
          <w:i/>
          <w:iCs/>
        </w:rPr>
      </w:pPr>
      <w:r>
        <w:rPr>
          <w:i/>
          <w:iCs/>
          <w:u w:val="single"/>
          <w:lang w:val="fr-FR"/>
        </w:rPr>
        <w:lastRenderedPageBreak/>
        <w:t>Note du secrétariat</w:t>
      </w:r>
      <w:r w:rsidR="003A1675">
        <w:rPr>
          <w:i/>
          <w:iCs/>
          <w:lang w:val="fr-FR"/>
        </w:rPr>
        <w:t> </w:t>
      </w:r>
      <w:r>
        <w:rPr>
          <w:i/>
          <w:iCs/>
          <w:lang w:val="fr-FR"/>
        </w:rPr>
        <w:t>: Le renvoi à la Ligne directrice 203 de l’OCDE figure aux 3.2.5.3.1, 3.2.5.3.2.1, aux tableau 3.2.7, ainsi qu’aux 4.1.1.3, A9.3.2.2, A9.3.2.5.1, A10.5.1.3 (note de bas de page 2) et à l’annexe 10 (appendice).</w:t>
      </w:r>
    </w:p>
    <w:p w14:paraId="2F32B707" w14:textId="77777777" w:rsidR="00C01243" w:rsidRPr="00810D32" w:rsidRDefault="00C01243" w:rsidP="00C01243">
      <w:pPr>
        <w:pStyle w:val="SingleTxtG"/>
        <w:spacing w:after="40" w:line="240" w:lineRule="auto"/>
        <w:ind w:left="1418"/>
        <w:rPr>
          <w:rFonts w:asciiTheme="majorBidi" w:hAnsiTheme="majorBidi" w:cstheme="majorBidi"/>
        </w:rPr>
      </w:pPr>
      <w:r>
        <w:rPr>
          <w:lang w:val="fr-FR"/>
        </w:rPr>
        <w:t>«</w:t>
      </w:r>
      <w:r w:rsidR="003347D7">
        <w:rPr>
          <w:lang w:val="fr-FR"/>
        </w:rPr>
        <w:t> </w:t>
      </w:r>
      <w:r>
        <w:rPr>
          <w:lang w:val="fr-FR"/>
        </w:rPr>
        <w:t>Ligne directrice 210 de l’OCDE (1992)</w:t>
      </w:r>
      <w:r>
        <w:rPr>
          <w:u w:val="single"/>
          <w:lang w:val="fr-FR"/>
        </w:rPr>
        <w:t xml:space="preserve"> </w:t>
      </w:r>
      <w:r w:rsidRPr="00284035">
        <w:rPr>
          <w:color w:val="4F81BD" w:themeColor="accent1"/>
          <w:u w:val="single"/>
          <w:lang w:val="fr-FR"/>
        </w:rPr>
        <w:t>(</w:t>
      </w:r>
      <w:r>
        <w:rPr>
          <w:color w:val="4F81BD" w:themeColor="accent1"/>
          <w:u w:val="single"/>
          <w:lang w:val="fr-FR"/>
        </w:rPr>
        <w:t>m</w:t>
      </w:r>
      <w:r w:rsidRPr="00284035">
        <w:rPr>
          <w:color w:val="4F81BD" w:themeColor="accent1"/>
          <w:u w:val="single"/>
          <w:lang w:val="fr-FR"/>
        </w:rPr>
        <w:t>ise à jour en 2013)</w:t>
      </w:r>
      <w:r>
        <w:rPr>
          <w:lang w:val="fr-FR"/>
        </w:rPr>
        <w:t xml:space="preserve"> Poisson, essai de toxicité aux premiers stades de la vie</w:t>
      </w:r>
      <w:r w:rsidR="003347D7">
        <w:rPr>
          <w:lang w:val="fr-FR"/>
        </w:rPr>
        <w:t> </w:t>
      </w:r>
      <w:r>
        <w:rPr>
          <w:lang w:val="fr-FR"/>
        </w:rPr>
        <w:t xml:space="preserve">». </w:t>
      </w:r>
    </w:p>
    <w:p w14:paraId="47A451F2" w14:textId="77777777" w:rsidR="00C01243" w:rsidRPr="00810D32" w:rsidRDefault="00C01243" w:rsidP="00C01243">
      <w:pPr>
        <w:pStyle w:val="SingleTxtG"/>
        <w:spacing w:before="120"/>
        <w:ind w:left="1418"/>
        <w:rPr>
          <w:rFonts w:asciiTheme="majorBidi" w:hAnsiTheme="majorBidi" w:cstheme="majorBidi"/>
          <w:color w:val="FF0000"/>
        </w:rPr>
      </w:pPr>
      <w:r>
        <w:rPr>
          <w:i/>
          <w:iCs/>
          <w:u w:val="single"/>
          <w:lang w:val="fr-FR"/>
        </w:rPr>
        <w:t>Note du secrétariat</w:t>
      </w:r>
      <w:r w:rsidR="007E010E">
        <w:rPr>
          <w:i/>
          <w:iCs/>
          <w:lang w:val="fr-FR"/>
        </w:rPr>
        <w:t> </w:t>
      </w:r>
      <w:r>
        <w:rPr>
          <w:i/>
          <w:iCs/>
          <w:lang w:val="fr-FR"/>
        </w:rPr>
        <w:t>: Le renvoi à la Ligne directrice 201 de l’OCDE figure aux 4.1.1.4, A9.3.2.2, A9.3.2.5.2 et dans l’appendice de l’annexe 10 (dans la bibliographie).</w:t>
      </w:r>
    </w:p>
    <w:p w14:paraId="05E898EB" w14:textId="77777777" w:rsidR="00C01243" w:rsidRPr="00810D32" w:rsidRDefault="00C01243" w:rsidP="00C01243">
      <w:pPr>
        <w:pStyle w:val="SingleTxtG"/>
        <w:spacing w:after="240" w:line="240" w:lineRule="auto"/>
        <w:ind w:left="1418"/>
        <w:rPr>
          <w:rFonts w:asciiTheme="majorBidi" w:hAnsiTheme="majorBidi" w:cstheme="majorBidi"/>
        </w:rPr>
      </w:pPr>
      <w:r>
        <w:rPr>
          <w:lang w:val="fr-FR"/>
        </w:rPr>
        <w:t>« Ligne directrice 211 de l’OCDE (1998)</w:t>
      </w:r>
      <w:r>
        <w:rPr>
          <w:u w:val="single"/>
          <w:lang w:val="fr-FR"/>
        </w:rPr>
        <w:t xml:space="preserve"> </w:t>
      </w:r>
      <w:r w:rsidRPr="002A2F5C">
        <w:rPr>
          <w:color w:val="4F81BD" w:themeColor="accent1"/>
          <w:u w:val="single"/>
          <w:lang w:val="fr-FR"/>
        </w:rPr>
        <w:t>(</w:t>
      </w:r>
      <w:r>
        <w:rPr>
          <w:color w:val="4F81BD" w:themeColor="accent1"/>
          <w:u w:val="single"/>
          <w:lang w:val="fr-FR"/>
        </w:rPr>
        <w:t>m</w:t>
      </w:r>
      <w:r w:rsidRPr="002A2F5C">
        <w:rPr>
          <w:color w:val="4F81BD" w:themeColor="accent1"/>
          <w:u w:val="single"/>
          <w:lang w:val="fr-FR"/>
        </w:rPr>
        <w:t>ise à jour en 2012)</w:t>
      </w:r>
      <w:r>
        <w:rPr>
          <w:lang w:val="fr-FR"/>
        </w:rPr>
        <w:t xml:space="preserve"> </w:t>
      </w:r>
      <w:proofErr w:type="spellStart"/>
      <w:r w:rsidRPr="00284035">
        <w:rPr>
          <w:i/>
          <w:iCs/>
          <w:lang w:val="fr-FR"/>
        </w:rPr>
        <w:t>Daphnia</w:t>
      </w:r>
      <w:proofErr w:type="spellEnd"/>
      <w:r w:rsidRPr="00284035">
        <w:rPr>
          <w:i/>
          <w:iCs/>
          <w:lang w:val="fr-FR"/>
        </w:rPr>
        <w:t xml:space="preserve"> magna</w:t>
      </w:r>
      <w:r>
        <w:rPr>
          <w:lang w:val="fr-FR"/>
        </w:rPr>
        <w:t xml:space="preserve">, essai de reproduction. </w:t>
      </w:r>
      <w:r w:rsidRPr="0054142C">
        <w:rPr>
          <w:color w:val="4F81BD" w:themeColor="accent1"/>
          <w:u w:val="single"/>
          <w:lang w:val="fr-FR"/>
        </w:rPr>
        <w:t>Parmi les autres lignes directrices, on peut citer les suivantes :</w:t>
      </w:r>
      <w:r w:rsidRPr="0054142C">
        <w:rPr>
          <w:color w:val="4F81BD" w:themeColor="accent1"/>
          <w:lang w:val="fr-FR"/>
        </w:rPr>
        <w:t xml:space="preserve"> </w:t>
      </w:r>
    </w:p>
    <w:p w14:paraId="473F2758" w14:textId="77777777" w:rsidR="00C01243" w:rsidRPr="00810D32" w:rsidRDefault="00C01243" w:rsidP="00C01243">
      <w:pPr>
        <w:pStyle w:val="FootnoteText"/>
        <w:tabs>
          <w:tab w:val="clear" w:pos="1021"/>
        </w:tabs>
        <w:ind w:left="1701" w:firstLine="0"/>
        <w:jc w:val="both"/>
        <w:rPr>
          <w:rFonts w:asciiTheme="majorBidi" w:hAnsiTheme="majorBidi" w:cstheme="majorBidi"/>
          <w:iCs/>
          <w:color w:val="4F81BD" w:themeColor="accent1"/>
          <w:sz w:val="20"/>
          <w:u w:val="single"/>
        </w:rPr>
      </w:pPr>
      <w:r w:rsidRPr="000F0BD8">
        <w:rPr>
          <w:color w:val="4F81BD" w:themeColor="accent1"/>
          <w:u w:val="single"/>
          <w:lang w:val="fr-FR"/>
        </w:rPr>
        <w:t>Ligne directrice 219 de l</w:t>
      </w:r>
      <w:r>
        <w:rPr>
          <w:color w:val="4F81BD" w:themeColor="accent1"/>
          <w:u w:val="single"/>
          <w:lang w:val="fr-FR"/>
        </w:rPr>
        <w:t>’</w:t>
      </w:r>
      <w:r w:rsidRPr="000F0BD8">
        <w:rPr>
          <w:color w:val="4F81BD" w:themeColor="accent1"/>
          <w:u w:val="single"/>
          <w:lang w:val="fr-FR"/>
        </w:rPr>
        <w:t>OCDE (2004) Essai de toxicité sur les chironomes dans un système eau chargée-sédiment</w:t>
      </w:r>
    </w:p>
    <w:p w14:paraId="5CD528BE" w14:textId="77777777" w:rsidR="00C01243" w:rsidRPr="00810D32" w:rsidRDefault="00C01243" w:rsidP="00C01243">
      <w:pPr>
        <w:pStyle w:val="FootnoteText"/>
        <w:tabs>
          <w:tab w:val="clear" w:pos="1021"/>
        </w:tabs>
        <w:ind w:left="1701" w:firstLine="0"/>
        <w:jc w:val="both"/>
        <w:rPr>
          <w:rFonts w:asciiTheme="majorBidi" w:hAnsiTheme="majorBidi" w:cstheme="majorBidi"/>
          <w:iCs/>
          <w:color w:val="4F81BD" w:themeColor="accent1"/>
          <w:sz w:val="20"/>
          <w:u w:val="single"/>
        </w:rPr>
      </w:pPr>
      <w:r w:rsidRPr="000F0BD8">
        <w:rPr>
          <w:color w:val="4F81BD" w:themeColor="accent1"/>
          <w:u w:val="single"/>
          <w:lang w:val="fr-FR"/>
        </w:rPr>
        <w:t>Ligne directrice 233 de l</w:t>
      </w:r>
      <w:r>
        <w:rPr>
          <w:color w:val="4F81BD" w:themeColor="accent1"/>
          <w:u w:val="single"/>
          <w:lang w:val="fr-FR"/>
        </w:rPr>
        <w:t>’</w:t>
      </w:r>
      <w:r w:rsidRPr="000F0BD8">
        <w:rPr>
          <w:color w:val="4F81BD" w:themeColor="accent1"/>
          <w:u w:val="single"/>
          <w:lang w:val="fr-FR"/>
        </w:rPr>
        <w:t>OCDE (2010) Essai de toxicité sur le cycle de vie des chironomes dans un système eau-sédiment chargé ou eau chargée-sédiment</w:t>
      </w:r>
    </w:p>
    <w:p w14:paraId="7888EFB0" w14:textId="77777777" w:rsidR="00C01243" w:rsidRPr="00810D32" w:rsidRDefault="00C01243" w:rsidP="00C01243">
      <w:pPr>
        <w:pStyle w:val="FootnoteText"/>
        <w:tabs>
          <w:tab w:val="clear" w:pos="1021"/>
        </w:tabs>
        <w:ind w:left="1701" w:firstLine="0"/>
        <w:jc w:val="both"/>
        <w:rPr>
          <w:rFonts w:asciiTheme="majorBidi" w:hAnsiTheme="majorBidi" w:cstheme="majorBidi"/>
          <w:iCs/>
          <w:color w:val="4F81BD" w:themeColor="accent1"/>
          <w:sz w:val="20"/>
          <w:u w:val="single"/>
        </w:rPr>
      </w:pPr>
      <w:r w:rsidRPr="000F0BD8">
        <w:rPr>
          <w:color w:val="4F81BD" w:themeColor="accent1"/>
          <w:u w:val="single"/>
          <w:lang w:val="fr-FR"/>
        </w:rPr>
        <w:t>Ligne directrice 238 de l</w:t>
      </w:r>
      <w:r>
        <w:rPr>
          <w:color w:val="4F81BD" w:themeColor="accent1"/>
          <w:u w:val="single"/>
          <w:lang w:val="fr-FR"/>
        </w:rPr>
        <w:t>’</w:t>
      </w:r>
      <w:r w:rsidRPr="000F0BD8">
        <w:rPr>
          <w:color w:val="4F81BD" w:themeColor="accent1"/>
          <w:u w:val="single"/>
          <w:lang w:val="fr-FR"/>
        </w:rPr>
        <w:t xml:space="preserve">OCDE (2014) Essai de toxicité sur </w:t>
      </w:r>
      <w:proofErr w:type="spellStart"/>
      <w:r w:rsidRPr="000F0BD8">
        <w:rPr>
          <w:i/>
          <w:iCs/>
          <w:color w:val="4F81BD" w:themeColor="accent1"/>
          <w:u w:val="single"/>
          <w:lang w:val="fr-FR"/>
        </w:rPr>
        <w:t>Myriophyllum</w:t>
      </w:r>
      <w:proofErr w:type="spellEnd"/>
      <w:r w:rsidRPr="000F0BD8">
        <w:rPr>
          <w:i/>
          <w:iCs/>
          <w:color w:val="4F81BD" w:themeColor="accent1"/>
          <w:u w:val="single"/>
          <w:lang w:val="fr-FR"/>
        </w:rPr>
        <w:t xml:space="preserve"> </w:t>
      </w:r>
      <w:proofErr w:type="spellStart"/>
      <w:r w:rsidRPr="000F0BD8">
        <w:rPr>
          <w:i/>
          <w:iCs/>
          <w:color w:val="4F81BD" w:themeColor="accent1"/>
          <w:u w:val="single"/>
          <w:lang w:val="fr-FR"/>
        </w:rPr>
        <w:t>spicatum</w:t>
      </w:r>
      <w:proofErr w:type="spellEnd"/>
      <w:r w:rsidRPr="000F0BD8">
        <w:rPr>
          <w:color w:val="4F81BD" w:themeColor="accent1"/>
          <w:u w:val="single"/>
          <w:lang w:val="fr-FR"/>
        </w:rPr>
        <w:t xml:space="preserve"> dans un système sans sédiment</w:t>
      </w:r>
    </w:p>
    <w:p w14:paraId="38603E01" w14:textId="77777777" w:rsidR="00C01243" w:rsidRPr="00810D32" w:rsidRDefault="00C01243" w:rsidP="00C01243">
      <w:pPr>
        <w:pStyle w:val="FootnoteText"/>
        <w:tabs>
          <w:tab w:val="clear" w:pos="1021"/>
        </w:tabs>
        <w:ind w:left="1701" w:firstLine="0"/>
        <w:jc w:val="both"/>
        <w:rPr>
          <w:rFonts w:asciiTheme="majorBidi" w:hAnsiTheme="majorBidi" w:cstheme="majorBidi"/>
          <w:iCs/>
          <w:color w:val="4F81BD" w:themeColor="accent1"/>
          <w:sz w:val="20"/>
          <w:u w:val="single"/>
        </w:rPr>
      </w:pPr>
      <w:r w:rsidRPr="000F0BD8">
        <w:rPr>
          <w:color w:val="4F81BD" w:themeColor="accent1"/>
          <w:u w:val="single"/>
          <w:lang w:val="fr-FR"/>
        </w:rPr>
        <w:t>Ligne directrice 240 de l</w:t>
      </w:r>
      <w:r>
        <w:rPr>
          <w:color w:val="4F81BD" w:themeColor="accent1"/>
          <w:u w:val="single"/>
          <w:lang w:val="fr-FR"/>
        </w:rPr>
        <w:t>’</w:t>
      </w:r>
      <w:r w:rsidRPr="000F0BD8">
        <w:rPr>
          <w:color w:val="4F81BD" w:themeColor="accent1"/>
          <w:u w:val="single"/>
          <w:lang w:val="fr-FR"/>
        </w:rPr>
        <w:t>OCDE (2015) Étude étendue de toxicité pour la reproduction sur une génération chez médaka (MEOGRT)</w:t>
      </w:r>
    </w:p>
    <w:p w14:paraId="5F378AFF" w14:textId="77777777" w:rsidR="00C01243" w:rsidRPr="00810D32" w:rsidRDefault="00C01243" w:rsidP="00C01243">
      <w:pPr>
        <w:pStyle w:val="FootnoteText"/>
        <w:tabs>
          <w:tab w:val="clear" w:pos="1021"/>
        </w:tabs>
        <w:ind w:left="1701" w:firstLine="0"/>
        <w:jc w:val="both"/>
        <w:rPr>
          <w:rFonts w:asciiTheme="majorBidi" w:hAnsiTheme="majorBidi" w:cstheme="majorBidi"/>
          <w:iCs/>
          <w:color w:val="4F81BD" w:themeColor="accent1"/>
          <w:sz w:val="20"/>
          <w:u w:val="single"/>
        </w:rPr>
      </w:pPr>
      <w:r w:rsidRPr="000F0BD8">
        <w:rPr>
          <w:color w:val="4F81BD" w:themeColor="accent1"/>
          <w:u w:val="single"/>
          <w:lang w:val="fr-FR"/>
        </w:rPr>
        <w:t>Ligne directrice 242 de l</w:t>
      </w:r>
      <w:r>
        <w:rPr>
          <w:color w:val="4F81BD" w:themeColor="accent1"/>
          <w:u w:val="single"/>
          <w:lang w:val="fr-FR"/>
        </w:rPr>
        <w:t>’</w:t>
      </w:r>
      <w:r w:rsidRPr="000F0BD8">
        <w:rPr>
          <w:color w:val="4F81BD" w:themeColor="accent1"/>
          <w:u w:val="single"/>
          <w:lang w:val="fr-FR"/>
        </w:rPr>
        <w:t xml:space="preserve">OCDE (2016) Essai de reproduction chez </w:t>
      </w:r>
      <w:proofErr w:type="spellStart"/>
      <w:r w:rsidRPr="000F0BD8">
        <w:rPr>
          <w:i/>
          <w:iCs/>
          <w:color w:val="4F81BD" w:themeColor="accent1"/>
          <w:u w:val="single"/>
          <w:lang w:val="fr-FR"/>
        </w:rPr>
        <w:t>Potamopyrgus</w:t>
      </w:r>
      <w:proofErr w:type="spellEnd"/>
      <w:r w:rsidRPr="000F0BD8">
        <w:rPr>
          <w:i/>
          <w:iCs/>
          <w:color w:val="4F81BD" w:themeColor="accent1"/>
          <w:u w:val="single"/>
          <w:lang w:val="fr-FR"/>
        </w:rPr>
        <w:t xml:space="preserve"> </w:t>
      </w:r>
      <w:proofErr w:type="spellStart"/>
      <w:r w:rsidRPr="000F0BD8">
        <w:rPr>
          <w:i/>
          <w:iCs/>
          <w:color w:val="4F81BD" w:themeColor="accent1"/>
          <w:u w:val="single"/>
          <w:lang w:val="fr-FR"/>
        </w:rPr>
        <w:t>antipodarum</w:t>
      </w:r>
      <w:proofErr w:type="spellEnd"/>
    </w:p>
    <w:p w14:paraId="70DC4248" w14:textId="77777777" w:rsidR="00C01243" w:rsidRPr="00810D32" w:rsidRDefault="00C01243" w:rsidP="00C01243">
      <w:pPr>
        <w:pStyle w:val="FootnoteText"/>
        <w:tabs>
          <w:tab w:val="clear" w:pos="1021"/>
        </w:tabs>
        <w:ind w:left="1701" w:firstLine="0"/>
        <w:jc w:val="both"/>
        <w:rPr>
          <w:rFonts w:asciiTheme="majorBidi" w:hAnsiTheme="majorBidi" w:cstheme="majorBidi"/>
          <w:iCs/>
          <w:color w:val="4F81BD" w:themeColor="accent1"/>
          <w:u w:val="single"/>
        </w:rPr>
      </w:pPr>
      <w:r w:rsidRPr="000F0BD8">
        <w:rPr>
          <w:color w:val="4F81BD" w:themeColor="accent1"/>
          <w:u w:val="single"/>
          <w:lang w:val="fr-FR"/>
        </w:rPr>
        <w:t>Ligne directrice 243 de l</w:t>
      </w:r>
      <w:r>
        <w:rPr>
          <w:color w:val="4F81BD" w:themeColor="accent1"/>
          <w:u w:val="single"/>
          <w:lang w:val="fr-FR"/>
        </w:rPr>
        <w:t>’</w:t>
      </w:r>
      <w:r w:rsidRPr="000F0BD8">
        <w:rPr>
          <w:color w:val="4F81BD" w:themeColor="accent1"/>
          <w:u w:val="single"/>
          <w:lang w:val="fr-FR"/>
        </w:rPr>
        <w:t xml:space="preserve">OCDE (2016) Essai de reproduction chez </w:t>
      </w:r>
      <w:proofErr w:type="spellStart"/>
      <w:r w:rsidRPr="000F0BD8">
        <w:rPr>
          <w:i/>
          <w:iCs/>
          <w:color w:val="4F81BD" w:themeColor="accent1"/>
          <w:u w:val="single"/>
          <w:lang w:val="fr-FR"/>
        </w:rPr>
        <w:t>Lymnaea</w:t>
      </w:r>
      <w:proofErr w:type="spellEnd"/>
      <w:r w:rsidRPr="000F0BD8">
        <w:rPr>
          <w:i/>
          <w:iCs/>
          <w:color w:val="4F81BD" w:themeColor="accent1"/>
          <w:u w:val="single"/>
          <w:lang w:val="fr-FR"/>
        </w:rPr>
        <w:t xml:space="preserve"> </w:t>
      </w:r>
      <w:proofErr w:type="spellStart"/>
      <w:r w:rsidRPr="000F0BD8">
        <w:rPr>
          <w:i/>
          <w:iCs/>
          <w:color w:val="4F81BD" w:themeColor="accent1"/>
          <w:u w:val="single"/>
          <w:lang w:val="fr-FR"/>
        </w:rPr>
        <w:t>stagnalis</w:t>
      </w:r>
      <w:proofErr w:type="spellEnd"/>
      <w:r>
        <w:rPr>
          <w:u w:val="single"/>
          <w:lang w:val="fr-FR"/>
        </w:rPr>
        <w:t> ».</w:t>
      </w:r>
    </w:p>
    <w:p w14:paraId="4CE7C8B4" w14:textId="77777777" w:rsidR="00C01243" w:rsidRPr="00810D32" w:rsidRDefault="00C01243" w:rsidP="00C01243">
      <w:pPr>
        <w:pStyle w:val="SingleTxtG"/>
        <w:spacing w:before="120"/>
        <w:ind w:left="1701"/>
        <w:rPr>
          <w:i/>
          <w:iCs/>
        </w:rPr>
      </w:pPr>
      <w:r>
        <w:rPr>
          <w:i/>
          <w:iCs/>
          <w:u w:val="single"/>
          <w:lang w:val="fr-FR"/>
        </w:rPr>
        <w:t>Note du secrétariat</w:t>
      </w:r>
      <w:r w:rsidR="003A1675">
        <w:rPr>
          <w:i/>
          <w:iCs/>
          <w:lang w:val="fr-FR"/>
        </w:rPr>
        <w:t> </w:t>
      </w:r>
      <w:r>
        <w:rPr>
          <w:i/>
          <w:iCs/>
          <w:lang w:val="fr-FR"/>
        </w:rPr>
        <w:t>: Le renvoi à la Ligne directrice 211 de l’OCDE figure aux paragraphes 4.1.1.4 et A9.3.2.2.</w:t>
      </w:r>
    </w:p>
    <w:p w14:paraId="730B87AA" w14:textId="77777777" w:rsidR="00C01243" w:rsidRPr="00810D32" w:rsidRDefault="00C01243" w:rsidP="00C01243">
      <w:pPr>
        <w:pStyle w:val="SingleTxtG"/>
        <w:spacing w:before="120"/>
        <w:ind w:left="1701"/>
        <w:rPr>
          <w:rFonts w:eastAsia="TimesNewRomanPSMT"/>
          <w:i/>
          <w:iCs/>
        </w:rPr>
      </w:pPr>
      <w:r>
        <w:rPr>
          <w:i/>
          <w:iCs/>
          <w:u w:val="single"/>
          <w:lang w:val="fr-FR"/>
        </w:rPr>
        <w:t>Observation du secrétariat</w:t>
      </w:r>
      <w:r>
        <w:rPr>
          <w:i/>
          <w:iCs/>
          <w:lang w:val="fr-FR"/>
        </w:rPr>
        <w:t> : Ces lignes directrices supplémentaires ne sont pas citées dans le SGH.</w:t>
      </w:r>
      <w:r>
        <w:rPr>
          <w:lang w:val="fr-FR"/>
        </w:rPr>
        <w:t xml:space="preserve"> </w:t>
      </w:r>
      <w:r>
        <w:rPr>
          <w:i/>
          <w:iCs/>
          <w:lang w:val="fr-FR"/>
        </w:rPr>
        <w:t>Le sous-comité souhaitera peut-être préciser si elles sont destinées à être utilisées conjointement avec la Ligne directrice 211 de l’OCDE ou à la place de celle-ci.</w:t>
      </w:r>
      <w:r>
        <w:rPr>
          <w:lang w:val="fr-FR"/>
        </w:rPr>
        <w:t xml:space="preserve"> </w:t>
      </w:r>
    </w:p>
    <w:p w14:paraId="1C6082A4" w14:textId="77777777" w:rsidR="00C01243" w:rsidRPr="00810D32" w:rsidRDefault="00C01243" w:rsidP="00C01243">
      <w:pPr>
        <w:pStyle w:val="SingleTxtG"/>
        <w:spacing w:before="120"/>
        <w:ind w:left="1701"/>
        <w:rPr>
          <w:rFonts w:eastAsia="TimesNewRomanPSMT"/>
          <w:i/>
          <w:iCs/>
        </w:rPr>
      </w:pPr>
      <w:r>
        <w:rPr>
          <w:i/>
          <w:iCs/>
          <w:lang w:val="fr-FR"/>
        </w:rPr>
        <w:t>Il pourrait également envisager une approche systématique pour éviter de longues énumérations.</w:t>
      </w:r>
    </w:p>
    <w:p w14:paraId="3D80870C" w14:textId="77777777" w:rsidR="00C01243" w:rsidRDefault="00C01243" w:rsidP="00C01243">
      <w:pPr>
        <w:pStyle w:val="Bullet1G"/>
        <w:numPr>
          <w:ilvl w:val="0"/>
          <w:numId w:val="17"/>
        </w:numPr>
        <w:tabs>
          <w:tab w:val="clear" w:pos="1701"/>
          <w:tab w:val="num" w:pos="1134"/>
        </w:tabs>
        <w:kinsoku/>
        <w:overflowPunct/>
        <w:autoSpaceDE/>
        <w:autoSpaceDN/>
        <w:adjustRightInd/>
        <w:snapToGrid/>
        <w:ind w:left="1418" w:hanging="284"/>
      </w:pPr>
      <w:r>
        <w:rPr>
          <w:lang w:val="fr-FR"/>
        </w:rPr>
        <w:t>Point 3</w:t>
      </w:r>
    </w:p>
    <w:p w14:paraId="06C9BD6A" w14:textId="77777777" w:rsidR="00C01243" w:rsidRPr="00810D32" w:rsidRDefault="00C01243" w:rsidP="00C01243">
      <w:pPr>
        <w:pStyle w:val="Bullet1G"/>
        <w:numPr>
          <w:ilvl w:val="0"/>
          <w:numId w:val="0"/>
        </w:numPr>
        <w:ind w:left="1418"/>
        <w:rPr>
          <w:i/>
          <w:iCs/>
        </w:rPr>
      </w:pPr>
      <w:r>
        <w:rPr>
          <w:lang w:val="fr-FR"/>
        </w:rPr>
        <w:t>Modifier les lignes suivantes comme indiqué</w:t>
      </w:r>
      <w:r w:rsidR="003A1675">
        <w:rPr>
          <w:lang w:val="fr-FR"/>
        </w:rPr>
        <w:t> </w:t>
      </w:r>
      <w:r>
        <w:rPr>
          <w:lang w:val="fr-FR"/>
        </w:rPr>
        <w:t>: (</w:t>
      </w:r>
      <w:r>
        <w:rPr>
          <w:i/>
          <w:iCs/>
          <w:lang w:val="fr-FR"/>
        </w:rPr>
        <w:t xml:space="preserve">les ajouts figurent en caractères </w:t>
      </w:r>
      <w:r w:rsidRPr="00787B27">
        <w:rPr>
          <w:i/>
          <w:iCs/>
          <w:color w:val="4F81BD" w:themeColor="accent1"/>
          <w:u w:val="single"/>
          <w:lang w:val="fr-FR"/>
        </w:rPr>
        <w:t>bleus</w:t>
      </w:r>
      <w:r w:rsidRPr="00787B27">
        <w:rPr>
          <w:color w:val="4F81BD" w:themeColor="accent1"/>
          <w:u w:val="single"/>
          <w:lang w:val="fr-FR"/>
        </w:rPr>
        <w:t xml:space="preserve"> </w:t>
      </w:r>
      <w:r w:rsidRPr="00787B27">
        <w:rPr>
          <w:i/>
          <w:iCs/>
          <w:color w:val="4F81BD" w:themeColor="accent1"/>
          <w:u w:val="single"/>
          <w:lang w:val="fr-FR"/>
        </w:rPr>
        <w:t>soulignés</w:t>
      </w:r>
      <w:r>
        <w:rPr>
          <w:i/>
          <w:iCs/>
          <w:u w:val="single"/>
          <w:lang w:val="fr-FR"/>
        </w:rPr>
        <w:t>)</w:t>
      </w:r>
    </w:p>
    <w:p w14:paraId="04744E1F" w14:textId="77777777" w:rsidR="00C01243" w:rsidRPr="00810D32" w:rsidRDefault="00C01243" w:rsidP="00C01243">
      <w:pPr>
        <w:spacing w:before="40" w:after="240"/>
        <w:ind w:left="1701" w:right="1134"/>
        <w:rPr>
          <w:rFonts w:asciiTheme="majorBidi" w:hAnsiTheme="majorBidi" w:cstheme="majorBidi"/>
        </w:rPr>
      </w:pPr>
      <w:r>
        <w:rPr>
          <w:lang w:val="fr-FR"/>
        </w:rPr>
        <w:t>« Ligne directrice 209 de l’OCDE (1984)</w:t>
      </w:r>
      <w:r>
        <w:rPr>
          <w:u w:val="single"/>
          <w:lang w:val="fr-FR"/>
        </w:rPr>
        <w:t xml:space="preserve"> </w:t>
      </w:r>
      <w:r w:rsidRPr="00787B27">
        <w:rPr>
          <w:color w:val="4F81BD" w:themeColor="accent1"/>
          <w:u w:val="single"/>
          <w:lang w:val="fr-FR"/>
        </w:rPr>
        <w:t>(</w:t>
      </w:r>
      <w:r>
        <w:rPr>
          <w:color w:val="4F81BD" w:themeColor="accent1"/>
          <w:u w:val="single"/>
          <w:lang w:val="fr-FR"/>
        </w:rPr>
        <w:t>m</w:t>
      </w:r>
      <w:r w:rsidRPr="00787B27">
        <w:rPr>
          <w:color w:val="4F81BD" w:themeColor="accent1"/>
          <w:u w:val="single"/>
          <w:lang w:val="fr-FR"/>
        </w:rPr>
        <w:t>ise à jour en 2010)</w:t>
      </w:r>
      <w:r>
        <w:rPr>
          <w:lang w:val="fr-FR"/>
        </w:rPr>
        <w:t xml:space="preserve"> Boue activée, essai d’inhibition de la respiration. Lignes directrices de l’OCDE pour les essais de produits chimiques. ».</w:t>
      </w:r>
    </w:p>
    <w:p w14:paraId="7CE5C117" w14:textId="77777777" w:rsidR="00C01243" w:rsidRPr="00810D32" w:rsidRDefault="00C01243" w:rsidP="00C01243">
      <w:pPr>
        <w:spacing w:before="40" w:after="40"/>
        <w:ind w:left="1701" w:right="1134"/>
        <w:rPr>
          <w:rFonts w:asciiTheme="majorBidi" w:hAnsiTheme="majorBidi" w:cstheme="majorBidi"/>
          <w:color w:val="4F81BD" w:themeColor="accent1"/>
          <w:u w:val="single"/>
        </w:rPr>
      </w:pPr>
      <w:r>
        <w:rPr>
          <w:lang w:val="fr-FR"/>
        </w:rPr>
        <w:t>« Ligne directrice 303A de l’OCDE</w:t>
      </w:r>
      <w:r>
        <w:rPr>
          <w:u w:val="single"/>
          <w:lang w:val="fr-FR"/>
        </w:rPr>
        <w:t xml:space="preserve"> </w:t>
      </w:r>
      <w:r w:rsidRPr="00F06073">
        <w:rPr>
          <w:color w:val="4F81BD" w:themeColor="accent1"/>
          <w:u w:val="single"/>
          <w:lang w:val="fr-FR"/>
        </w:rPr>
        <w:t xml:space="preserve">(1981). Essai de simulation </w:t>
      </w:r>
      <w:r w:rsidR="003A1675">
        <w:rPr>
          <w:color w:val="4F81BD" w:themeColor="accent1"/>
          <w:u w:val="single"/>
          <w:lang w:val="fr-FR"/>
        </w:rPr>
        <w:t>−</w:t>
      </w:r>
      <w:r w:rsidRPr="00F06073">
        <w:rPr>
          <w:color w:val="4F81BD" w:themeColor="accent1"/>
          <w:u w:val="single"/>
          <w:lang w:val="fr-FR"/>
        </w:rPr>
        <w:t xml:space="preserve"> Traitement aérobie des eaux usées : </w:t>
      </w:r>
      <w:r>
        <w:rPr>
          <w:lang w:val="fr-FR"/>
        </w:rPr>
        <w:t xml:space="preserve">Unité de traitement par boues activées. Lignes directrices de l’OCDE pour les essais de produits chimiques. </w:t>
      </w:r>
      <w:r w:rsidRPr="00F06073">
        <w:rPr>
          <w:color w:val="4F81BD" w:themeColor="accent1"/>
          <w:u w:val="single"/>
          <w:lang w:val="fr-FR"/>
        </w:rPr>
        <w:t>Parmi les autres lignes directrices, on peut citer les suivantes :</w:t>
      </w:r>
      <w:r w:rsidRPr="00F06073">
        <w:rPr>
          <w:color w:val="4F81BD" w:themeColor="accent1"/>
          <w:lang w:val="fr-FR"/>
        </w:rPr>
        <w:t xml:space="preserve"> </w:t>
      </w:r>
    </w:p>
    <w:p w14:paraId="152D9AA6" w14:textId="77777777" w:rsidR="00C01243" w:rsidRPr="00810D32" w:rsidRDefault="00C01243" w:rsidP="00C01243">
      <w:pPr>
        <w:ind w:left="2127" w:right="1134"/>
        <w:jc w:val="both"/>
        <w:rPr>
          <w:rFonts w:eastAsia="TimesNewRomanPSMT"/>
          <w:color w:val="4F81BD" w:themeColor="accent1"/>
          <w:u w:val="single"/>
        </w:rPr>
      </w:pPr>
      <w:r w:rsidRPr="00F06073">
        <w:rPr>
          <w:color w:val="4F81BD" w:themeColor="accent1"/>
          <w:u w:val="single"/>
          <w:lang w:val="fr-FR"/>
        </w:rPr>
        <w:t>Ligne directrice 311 de l</w:t>
      </w:r>
      <w:r>
        <w:rPr>
          <w:color w:val="4F81BD" w:themeColor="accent1"/>
          <w:u w:val="single"/>
          <w:lang w:val="fr-FR"/>
        </w:rPr>
        <w:t>’</w:t>
      </w:r>
      <w:r w:rsidRPr="00F06073">
        <w:rPr>
          <w:color w:val="4F81BD" w:themeColor="accent1"/>
          <w:u w:val="single"/>
          <w:lang w:val="fr-FR"/>
        </w:rPr>
        <w:t>OCDE (2006) Essai de biodégradabilité anaérobie des composés organiques dans une boue digérée</w:t>
      </w:r>
      <w:r w:rsidR="007E010E">
        <w:rPr>
          <w:color w:val="4F81BD" w:themeColor="accent1"/>
          <w:u w:val="single"/>
          <w:lang w:val="fr-FR"/>
        </w:rPr>
        <w:t> </w:t>
      </w:r>
      <w:r w:rsidRPr="00F06073">
        <w:rPr>
          <w:color w:val="4F81BD" w:themeColor="accent1"/>
          <w:u w:val="single"/>
          <w:lang w:val="fr-FR"/>
        </w:rPr>
        <w:t>: mesure du dégagement gazeux</w:t>
      </w:r>
      <w:r w:rsidRPr="00F06073">
        <w:rPr>
          <w:color w:val="4F81BD" w:themeColor="accent1"/>
          <w:lang w:val="fr-FR"/>
        </w:rPr>
        <w:t xml:space="preserve"> </w:t>
      </w:r>
      <w:bookmarkStart w:id="2" w:name="_Hlk20124365"/>
    </w:p>
    <w:p w14:paraId="11929F8F" w14:textId="77777777" w:rsidR="00C01243" w:rsidRPr="00810D32" w:rsidRDefault="00C01243" w:rsidP="00C01243">
      <w:pPr>
        <w:spacing w:after="240"/>
        <w:ind w:left="2127" w:right="1134"/>
        <w:jc w:val="both"/>
        <w:rPr>
          <w:rFonts w:eastAsia="TimesNewRomanPSMT"/>
          <w:color w:val="4F81BD" w:themeColor="accent1"/>
          <w:u w:val="single"/>
        </w:rPr>
      </w:pPr>
      <w:r w:rsidRPr="00F06073">
        <w:rPr>
          <w:color w:val="4F81BD" w:themeColor="accent1"/>
          <w:u w:val="single"/>
          <w:lang w:val="fr-FR"/>
        </w:rPr>
        <w:t>Ligne directrice de l</w:t>
      </w:r>
      <w:r>
        <w:rPr>
          <w:color w:val="4F81BD" w:themeColor="accent1"/>
          <w:u w:val="single"/>
          <w:lang w:val="fr-FR"/>
        </w:rPr>
        <w:t>’</w:t>
      </w:r>
      <w:r w:rsidRPr="00F06073">
        <w:rPr>
          <w:color w:val="4F81BD" w:themeColor="accent1"/>
          <w:u w:val="single"/>
          <w:lang w:val="fr-FR"/>
        </w:rPr>
        <w:t>OCDE 314 (2008) Essais de simulation pour évaluer la biodégradabilité des produits chimiques rejetés dans les eaux usées.</w:t>
      </w:r>
      <w:r>
        <w:rPr>
          <w:u w:val="single"/>
          <w:lang w:val="fr-FR"/>
        </w:rPr>
        <w:t> ».</w:t>
      </w:r>
      <w:bookmarkEnd w:id="2"/>
    </w:p>
    <w:p w14:paraId="40FFEED7" w14:textId="77777777" w:rsidR="00C01243" w:rsidRPr="00810D32" w:rsidRDefault="00C01243" w:rsidP="00C01243">
      <w:pPr>
        <w:spacing w:after="240"/>
        <w:ind w:left="1701" w:right="1134"/>
        <w:jc w:val="both"/>
        <w:rPr>
          <w:rFonts w:asciiTheme="majorBidi" w:hAnsiTheme="majorBidi" w:cstheme="majorBidi"/>
        </w:rPr>
      </w:pPr>
      <w:r>
        <w:rPr>
          <w:lang w:val="fr-FR"/>
        </w:rPr>
        <w:t>« Ligne directrice 307 de l’OCDE</w:t>
      </w:r>
      <w:r>
        <w:rPr>
          <w:u w:val="single"/>
          <w:lang w:val="fr-FR"/>
        </w:rPr>
        <w:t xml:space="preserve"> </w:t>
      </w:r>
      <w:r w:rsidRPr="0098299F">
        <w:rPr>
          <w:color w:val="4F81BD" w:themeColor="accent1"/>
          <w:u w:val="single"/>
          <w:lang w:val="fr-FR"/>
        </w:rPr>
        <w:t>(2002)</w:t>
      </w:r>
      <w:r>
        <w:rPr>
          <w:lang w:val="fr-FR"/>
        </w:rPr>
        <w:t>. Transformation aérobie et anaérobie dans le sol. Lignes directrices de l’OCDE pour les essais de produits chimiques.</w:t>
      </w:r>
      <w:r w:rsidR="003A1675">
        <w:rPr>
          <w:lang w:val="fr-FR"/>
        </w:rPr>
        <w:t> </w:t>
      </w:r>
      <w:r>
        <w:rPr>
          <w:lang w:val="fr-FR"/>
        </w:rPr>
        <w:t>».</w:t>
      </w:r>
    </w:p>
    <w:p w14:paraId="357A894B" w14:textId="77777777" w:rsidR="00C01243" w:rsidRPr="00810D32" w:rsidRDefault="00C01243" w:rsidP="00C01243">
      <w:pPr>
        <w:spacing w:after="240"/>
        <w:ind w:left="1701" w:right="1134"/>
        <w:jc w:val="both"/>
        <w:rPr>
          <w:rFonts w:asciiTheme="majorBidi" w:hAnsiTheme="majorBidi" w:cstheme="majorBidi"/>
        </w:rPr>
      </w:pPr>
      <w:r>
        <w:rPr>
          <w:lang w:val="fr-FR"/>
        </w:rPr>
        <w:t>«</w:t>
      </w:r>
      <w:r w:rsidR="003A1675">
        <w:rPr>
          <w:lang w:val="fr-FR"/>
        </w:rPr>
        <w:t> </w:t>
      </w:r>
      <w:r>
        <w:rPr>
          <w:lang w:val="fr-FR"/>
        </w:rPr>
        <w:t>Ligne directrice 308 de l’OCDE</w:t>
      </w:r>
      <w:r>
        <w:rPr>
          <w:u w:val="single"/>
          <w:lang w:val="fr-FR"/>
        </w:rPr>
        <w:t xml:space="preserve"> </w:t>
      </w:r>
      <w:r w:rsidRPr="0098299F">
        <w:rPr>
          <w:color w:val="4F81BD" w:themeColor="accent1"/>
          <w:u w:val="single"/>
          <w:lang w:val="fr-FR"/>
        </w:rPr>
        <w:t>(2002)</w:t>
      </w:r>
      <w:r>
        <w:rPr>
          <w:lang w:val="fr-FR"/>
        </w:rPr>
        <w:t>. Transformation aérobie et anaérobie dans les sédiments aquatiques. Lignes directrices de l’OCDE pour les essais de produits chimiques.</w:t>
      </w:r>
      <w:r w:rsidR="003A1675">
        <w:rPr>
          <w:lang w:val="fr-FR"/>
        </w:rPr>
        <w:t> </w:t>
      </w:r>
      <w:r>
        <w:rPr>
          <w:lang w:val="fr-FR"/>
        </w:rPr>
        <w:t>».</w:t>
      </w:r>
    </w:p>
    <w:p w14:paraId="38F1DE42" w14:textId="77777777" w:rsidR="00C01243" w:rsidRPr="00810D32" w:rsidRDefault="00C01243" w:rsidP="00C01243">
      <w:pPr>
        <w:spacing w:before="40" w:after="40"/>
        <w:ind w:left="1701" w:right="1134"/>
        <w:rPr>
          <w:rFonts w:asciiTheme="majorBidi" w:hAnsiTheme="majorBidi" w:cstheme="majorBidi"/>
          <w:color w:val="4F81BD" w:themeColor="accent1"/>
          <w:u w:val="single"/>
        </w:rPr>
      </w:pPr>
      <w:r>
        <w:rPr>
          <w:lang w:val="fr-FR"/>
        </w:rPr>
        <w:t>«</w:t>
      </w:r>
      <w:r w:rsidR="003A1675">
        <w:rPr>
          <w:lang w:val="fr-FR"/>
        </w:rPr>
        <w:t> </w:t>
      </w:r>
      <w:r>
        <w:rPr>
          <w:lang w:val="fr-FR"/>
        </w:rPr>
        <w:t>Ligne directrice 309 de l’OCDE</w:t>
      </w:r>
      <w:r>
        <w:rPr>
          <w:u w:val="single"/>
          <w:lang w:val="fr-FR"/>
        </w:rPr>
        <w:t xml:space="preserve"> </w:t>
      </w:r>
      <w:r w:rsidRPr="0098299F">
        <w:rPr>
          <w:color w:val="4F81BD" w:themeColor="accent1"/>
          <w:u w:val="single"/>
          <w:lang w:val="fr-FR"/>
        </w:rPr>
        <w:t>(2004)</w:t>
      </w:r>
      <w:r>
        <w:rPr>
          <w:lang w:val="fr-FR"/>
        </w:rPr>
        <w:t xml:space="preserve">. Minéralisation aérobie dans les eaux superficielles-Essai de simulation de la biodégradation. Lignes directrices de l’OCDE pour les essais de produits chimiques. </w:t>
      </w:r>
      <w:r w:rsidRPr="0098299F">
        <w:rPr>
          <w:color w:val="4F81BD" w:themeColor="accent1"/>
          <w:u w:val="single"/>
          <w:lang w:val="fr-FR"/>
        </w:rPr>
        <w:t>Parmi les autres lignes directrices, on peut citer les suivantes :</w:t>
      </w:r>
      <w:r>
        <w:rPr>
          <w:lang w:val="fr-FR"/>
        </w:rPr>
        <w:t xml:space="preserve"> </w:t>
      </w:r>
    </w:p>
    <w:p w14:paraId="31E865EA" w14:textId="77777777" w:rsidR="00C01243" w:rsidRPr="00810D32" w:rsidRDefault="00C01243" w:rsidP="00C01243">
      <w:pPr>
        <w:pStyle w:val="FootnoteText"/>
        <w:tabs>
          <w:tab w:val="clear" w:pos="1021"/>
        </w:tabs>
        <w:ind w:left="2127" w:firstLine="0"/>
        <w:rPr>
          <w:rFonts w:asciiTheme="majorBidi" w:hAnsiTheme="majorBidi" w:cstheme="majorBidi"/>
          <w:iCs/>
          <w:color w:val="4F81BD" w:themeColor="accent1"/>
          <w:sz w:val="20"/>
          <w:u w:val="single"/>
        </w:rPr>
      </w:pPr>
      <w:r w:rsidRPr="00A06262">
        <w:rPr>
          <w:color w:val="4F81BD" w:themeColor="accent1"/>
          <w:u w:val="single"/>
          <w:lang w:val="fr-FR"/>
        </w:rPr>
        <w:lastRenderedPageBreak/>
        <w:t>Ligne directrice 310 de l</w:t>
      </w:r>
      <w:r>
        <w:rPr>
          <w:color w:val="4F81BD" w:themeColor="accent1"/>
          <w:u w:val="single"/>
          <w:lang w:val="fr-FR"/>
        </w:rPr>
        <w:t>’</w:t>
      </w:r>
      <w:r w:rsidRPr="00A06262">
        <w:rPr>
          <w:color w:val="4F81BD" w:themeColor="accent1"/>
          <w:u w:val="single"/>
          <w:lang w:val="fr-FR"/>
        </w:rPr>
        <w:t xml:space="preserve">OCDE (2014) Biodégradabilité immédiate </w:t>
      </w:r>
      <w:r w:rsidR="000F7D05">
        <w:rPr>
          <w:color w:val="4F81BD" w:themeColor="accent1"/>
          <w:u w:val="single"/>
          <w:lang w:val="fr-FR"/>
        </w:rPr>
        <w:t>−</w:t>
      </w:r>
      <w:r w:rsidRPr="00A06262">
        <w:rPr>
          <w:color w:val="4F81BD" w:themeColor="accent1"/>
          <w:u w:val="single"/>
          <w:lang w:val="fr-FR"/>
        </w:rPr>
        <w:t xml:space="preserve"> dégagement de CO</w:t>
      </w:r>
      <w:r w:rsidRPr="000F7D05">
        <w:rPr>
          <w:color w:val="4F81BD" w:themeColor="accent1"/>
          <w:u w:val="single"/>
          <w:vertAlign w:val="subscript"/>
          <w:lang w:val="fr-FR"/>
        </w:rPr>
        <w:t>2</w:t>
      </w:r>
      <w:r w:rsidRPr="00A06262">
        <w:rPr>
          <w:color w:val="4F81BD" w:themeColor="accent1"/>
          <w:u w:val="single"/>
          <w:lang w:val="fr-FR"/>
        </w:rPr>
        <w:t xml:space="preserve"> dans des flacons hermétiquement </w:t>
      </w:r>
      <w:proofErr w:type="gramStart"/>
      <w:r w:rsidRPr="00A06262">
        <w:rPr>
          <w:color w:val="4F81BD" w:themeColor="accent1"/>
          <w:u w:val="single"/>
          <w:lang w:val="fr-FR"/>
        </w:rPr>
        <w:t>clos(</w:t>
      </w:r>
      <w:proofErr w:type="gramEnd"/>
      <w:r w:rsidRPr="00A06262">
        <w:rPr>
          <w:color w:val="4F81BD" w:themeColor="accent1"/>
          <w:u w:val="single"/>
          <w:lang w:val="fr-FR"/>
        </w:rPr>
        <w:t>essai de l</w:t>
      </w:r>
      <w:r>
        <w:rPr>
          <w:color w:val="4F81BD" w:themeColor="accent1"/>
          <w:u w:val="single"/>
          <w:lang w:val="fr-FR"/>
        </w:rPr>
        <w:t>’</w:t>
      </w:r>
      <w:r w:rsidRPr="00A06262">
        <w:rPr>
          <w:color w:val="4F81BD" w:themeColor="accent1"/>
          <w:u w:val="single"/>
          <w:lang w:val="fr-FR"/>
        </w:rPr>
        <w:t>espace libre au-dessus du liquide)</w:t>
      </w:r>
    </w:p>
    <w:p w14:paraId="3B9A96FA" w14:textId="77777777" w:rsidR="00C01243" w:rsidRPr="00810D32" w:rsidRDefault="00C01243" w:rsidP="00C01243">
      <w:pPr>
        <w:pStyle w:val="FootnoteText"/>
        <w:tabs>
          <w:tab w:val="clear" w:pos="1021"/>
        </w:tabs>
        <w:ind w:left="2127" w:firstLine="0"/>
        <w:rPr>
          <w:rFonts w:asciiTheme="majorBidi" w:hAnsiTheme="majorBidi" w:cstheme="majorBidi"/>
          <w:iCs/>
          <w:color w:val="4F81BD" w:themeColor="accent1"/>
          <w:sz w:val="20"/>
          <w:u w:val="single"/>
        </w:rPr>
      </w:pPr>
      <w:r w:rsidRPr="00A06262">
        <w:rPr>
          <w:color w:val="4F81BD" w:themeColor="accent1"/>
          <w:u w:val="single"/>
          <w:lang w:val="fr-FR"/>
        </w:rPr>
        <w:t>Ligne directrice 311 de l</w:t>
      </w:r>
      <w:r>
        <w:rPr>
          <w:color w:val="4F81BD" w:themeColor="accent1"/>
          <w:u w:val="single"/>
          <w:lang w:val="fr-FR"/>
        </w:rPr>
        <w:t>’</w:t>
      </w:r>
      <w:r w:rsidRPr="00A06262">
        <w:rPr>
          <w:color w:val="4F81BD" w:themeColor="accent1"/>
          <w:u w:val="single"/>
          <w:lang w:val="fr-FR"/>
        </w:rPr>
        <w:t>OCDE (2006) Essai de biodégradabilité anaérobie des composés organiques dans une boue digérée</w:t>
      </w:r>
      <w:r w:rsidR="000F7D05">
        <w:rPr>
          <w:color w:val="4F81BD" w:themeColor="accent1"/>
          <w:u w:val="single"/>
          <w:lang w:val="fr-FR"/>
        </w:rPr>
        <w:t> </w:t>
      </w:r>
      <w:r w:rsidRPr="00A06262">
        <w:rPr>
          <w:color w:val="4F81BD" w:themeColor="accent1"/>
          <w:u w:val="single"/>
          <w:lang w:val="fr-FR"/>
        </w:rPr>
        <w:t>:</w:t>
      </w:r>
      <w:r w:rsidR="000F7D05">
        <w:rPr>
          <w:color w:val="4F81BD" w:themeColor="accent1"/>
          <w:u w:val="single"/>
          <w:lang w:val="fr-FR"/>
        </w:rPr>
        <w:t xml:space="preserve"> </w:t>
      </w:r>
      <w:r w:rsidRPr="00A06262">
        <w:rPr>
          <w:color w:val="4F81BD" w:themeColor="accent1"/>
          <w:u w:val="single"/>
          <w:lang w:val="fr-FR"/>
        </w:rPr>
        <w:t>mesure du dégagement gazeux</w:t>
      </w:r>
    </w:p>
    <w:p w14:paraId="349ECDE9" w14:textId="77777777" w:rsidR="00C01243" w:rsidRPr="00810D32" w:rsidRDefault="00C01243" w:rsidP="00C01243">
      <w:pPr>
        <w:pStyle w:val="FootnoteText"/>
        <w:tabs>
          <w:tab w:val="clear" w:pos="1021"/>
        </w:tabs>
        <w:ind w:left="2127" w:firstLine="0"/>
        <w:rPr>
          <w:iCs/>
          <w:color w:val="4F81BD" w:themeColor="accent1"/>
          <w:u w:val="single"/>
        </w:rPr>
      </w:pPr>
      <w:r w:rsidRPr="00A06262">
        <w:rPr>
          <w:color w:val="4F81BD" w:themeColor="accent1"/>
          <w:u w:val="single"/>
          <w:lang w:val="fr-FR"/>
        </w:rPr>
        <w:t>Ligne directrice 316 de l</w:t>
      </w:r>
      <w:r>
        <w:rPr>
          <w:color w:val="4F81BD" w:themeColor="accent1"/>
          <w:u w:val="single"/>
          <w:lang w:val="fr-FR"/>
        </w:rPr>
        <w:t>’</w:t>
      </w:r>
      <w:r w:rsidRPr="00A06262">
        <w:rPr>
          <w:color w:val="4F81BD" w:themeColor="accent1"/>
          <w:u w:val="single"/>
          <w:lang w:val="fr-FR"/>
        </w:rPr>
        <w:t xml:space="preserve">OCDE (2008) </w:t>
      </w:r>
      <w:proofErr w:type="spellStart"/>
      <w:r w:rsidRPr="00A06262">
        <w:rPr>
          <w:color w:val="4F81BD" w:themeColor="accent1"/>
          <w:u w:val="single"/>
          <w:lang w:val="fr-FR"/>
        </w:rPr>
        <w:t>Phototransformation</w:t>
      </w:r>
      <w:proofErr w:type="spellEnd"/>
      <w:r w:rsidRPr="00A06262">
        <w:rPr>
          <w:color w:val="4F81BD" w:themeColor="accent1"/>
          <w:u w:val="single"/>
          <w:lang w:val="fr-FR"/>
        </w:rPr>
        <w:t xml:space="preserve"> de produits chimiques dans l</w:t>
      </w:r>
      <w:r>
        <w:rPr>
          <w:color w:val="4F81BD" w:themeColor="accent1"/>
          <w:u w:val="single"/>
          <w:lang w:val="fr-FR"/>
        </w:rPr>
        <w:t>’</w:t>
      </w:r>
      <w:r w:rsidRPr="00A06262">
        <w:rPr>
          <w:color w:val="4F81BD" w:themeColor="accent1"/>
          <w:u w:val="single"/>
          <w:lang w:val="fr-FR"/>
        </w:rPr>
        <w:t>eau − Photolyse directe</w:t>
      </w:r>
      <w:r>
        <w:rPr>
          <w:lang w:val="fr-FR"/>
        </w:rPr>
        <w:t> </w:t>
      </w:r>
      <w:r w:rsidRPr="00A06262">
        <w:rPr>
          <w:lang w:val="fr-FR"/>
        </w:rPr>
        <w:t>».</w:t>
      </w:r>
    </w:p>
    <w:p w14:paraId="4B4E3C5C" w14:textId="77777777" w:rsidR="00C01243" w:rsidRPr="00810D32" w:rsidRDefault="00C01243" w:rsidP="00C01243">
      <w:pPr>
        <w:pStyle w:val="SingleTxtG"/>
        <w:spacing w:before="120"/>
        <w:ind w:left="1701"/>
        <w:rPr>
          <w:rFonts w:eastAsia="TimesNewRomanPSMT"/>
          <w:i/>
          <w:iCs/>
        </w:rPr>
      </w:pPr>
      <w:r>
        <w:rPr>
          <w:i/>
          <w:iCs/>
          <w:u w:val="single"/>
          <w:lang w:val="fr-FR"/>
        </w:rPr>
        <w:t>Observation du secrétariat</w:t>
      </w:r>
      <w:r w:rsidR="003A1675">
        <w:rPr>
          <w:i/>
          <w:iCs/>
          <w:u w:val="single"/>
          <w:lang w:val="fr-FR"/>
        </w:rPr>
        <w:t> </w:t>
      </w:r>
      <w:r>
        <w:rPr>
          <w:i/>
          <w:iCs/>
          <w:lang w:val="fr-FR"/>
        </w:rPr>
        <w:t>: Ces lignes directrices supplémentaires ne sont pas citées dans le SGH.</w:t>
      </w:r>
      <w:r>
        <w:rPr>
          <w:lang w:val="fr-FR"/>
        </w:rPr>
        <w:t xml:space="preserve"> </w:t>
      </w:r>
      <w:r>
        <w:rPr>
          <w:i/>
          <w:iCs/>
          <w:lang w:val="fr-FR"/>
        </w:rPr>
        <w:t xml:space="preserve">Le </w:t>
      </w:r>
      <w:r w:rsidR="000F7D05">
        <w:rPr>
          <w:i/>
          <w:iCs/>
          <w:lang w:val="fr-FR"/>
        </w:rPr>
        <w:t>Sous</w:t>
      </w:r>
      <w:r>
        <w:rPr>
          <w:i/>
          <w:iCs/>
          <w:lang w:val="fr-FR"/>
        </w:rPr>
        <w:t>-</w:t>
      </w:r>
      <w:r w:rsidR="000F7D05">
        <w:rPr>
          <w:i/>
          <w:iCs/>
          <w:lang w:val="fr-FR"/>
        </w:rPr>
        <w:t xml:space="preserve">Comité </w:t>
      </w:r>
      <w:r>
        <w:rPr>
          <w:i/>
          <w:iCs/>
          <w:lang w:val="fr-FR"/>
        </w:rPr>
        <w:t>souhaitera peut-être préciser si elles sont destinées à être utilisées conjointement avec la Ligne directrice 309 de l’OCDE ou à la place de celle-ci.</w:t>
      </w:r>
    </w:p>
    <w:p w14:paraId="136E71A9" w14:textId="77777777" w:rsidR="00C01243" w:rsidRPr="00810D32" w:rsidRDefault="00C01243" w:rsidP="00C01243">
      <w:pPr>
        <w:pStyle w:val="SingleTxtG"/>
        <w:spacing w:before="120"/>
        <w:ind w:left="1701"/>
        <w:rPr>
          <w:rFonts w:eastAsia="TimesNewRomanPSMT"/>
          <w:i/>
          <w:iCs/>
        </w:rPr>
      </w:pPr>
      <w:r>
        <w:rPr>
          <w:i/>
          <w:iCs/>
          <w:lang w:val="fr-FR"/>
        </w:rPr>
        <w:t>Il pourrait également envisager une approche systématique pour éviter des énumérations détaillées.</w:t>
      </w:r>
    </w:p>
    <w:p w14:paraId="0F0B2AE0" w14:textId="77777777" w:rsidR="00C01243" w:rsidRPr="00BA74FD" w:rsidRDefault="00C01243" w:rsidP="00C01243">
      <w:pPr>
        <w:pStyle w:val="Bullet1G"/>
        <w:numPr>
          <w:ilvl w:val="0"/>
          <w:numId w:val="17"/>
        </w:numPr>
        <w:tabs>
          <w:tab w:val="clear" w:pos="1701"/>
          <w:tab w:val="num" w:pos="1134"/>
        </w:tabs>
        <w:kinsoku/>
        <w:overflowPunct/>
        <w:autoSpaceDE/>
        <w:autoSpaceDN/>
        <w:adjustRightInd/>
        <w:snapToGrid/>
        <w:ind w:left="1418" w:hanging="284"/>
      </w:pPr>
      <w:r>
        <w:rPr>
          <w:lang w:val="fr-FR"/>
        </w:rPr>
        <w:t>Point 4</w:t>
      </w:r>
    </w:p>
    <w:p w14:paraId="3A789BFB" w14:textId="77777777" w:rsidR="00C01243" w:rsidRPr="00810D32" w:rsidRDefault="00C01243" w:rsidP="00C01243">
      <w:pPr>
        <w:pStyle w:val="SingleTxtG"/>
        <w:ind w:left="1418"/>
        <w:rPr>
          <w:i/>
          <w:iCs/>
        </w:rPr>
      </w:pPr>
      <w:r>
        <w:rPr>
          <w:lang w:val="fr-FR"/>
        </w:rPr>
        <w:t>Modifier les lignes suivantes comme indiqué</w:t>
      </w:r>
      <w:r w:rsidR="003A1675">
        <w:rPr>
          <w:lang w:val="fr-FR"/>
        </w:rPr>
        <w:t> </w:t>
      </w:r>
      <w:r>
        <w:rPr>
          <w:lang w:val="fr-FR"/>
        </w:rPr>
        <w:t>: (</w:t>
      </w:r>
      <w:r>
        <w:rPr>
          <w:i/>
          <w:iCs/>
          <w:lang w:val="fr-FR"/>
        </w:rPr>
        <w:t xml:space="preserve">les ajouts figurent en caractères </w:t>
      </w:r>
      <w:r w:rsidRPr="00C924B1">
        <w:rPr>
          <w:i/>
          <w:iCs/>
          <w:color w:val="4F81BD" w:themeColor="accent1"/>
          <w:u w:val="single"/>
          <w:lang w:val="fr-FR"/>
        </w:rPr>
        <w:t>bleus soulignés</w:t>
      </w:r>
      <w:r>
        <w:rPr>
          <w:lang w:val="fr-FR"/>
        </w:rPr>
        <w:t>) :</w:t>
      </w:r>
    </w:p>
    <w:p w14:paraId="4004C666" w14:textId="77777777" w:rsidR="00C01243" w:rsidRPr="00810D32" w:rsidRDefault="00C01243" w:rsidP="00C01243">
      <w:pPr>
        <w:pStyle w:val="H4G"/>
        <w:ind w:left="1701" w:firstLine="0"/>
        <w:jc w:val="both"/>
      </w:pPr>
      <w:r>
        <w:rPr>
          <w:lang w:val="fr-FR"/>
        </w:rPr>
        <w:t>« </w:t>
      </w:r>
      <w:r>
        <w:rPr>
          <w:iCs/>
          <w:lang w:val="fr-FR"/>
        </w:rPr>
        <w:t xml:space="preserve">Ligne directrice 117 de l’OCDE </w:t>
      </w:r>
      <w:r>
        <w:rPr>
          <w:iCs/>
          <w:u w:val="single"/>
          <w:lang w:val="fr-FR"/>
        </w:rPr>
        <w:t>(</w:t>
      </w:r>
      <w:r>
        <w:rPr>
          <w:iCs/>
          <w:lang w:val="fr-FR"/>
        </w:rPr>
        <w:t>1989</w:t>
      </w:r>
      <w:r>
        <w:rPr>
          <w:iCs/>
          <w:u w:val="single"/>
          <w:lang w:val="fr-FR"/>
        </w:rPr>
        <w:t xml:space="preserve">) </w:t>
      </w:r>
      <w:r w:rsidRPr="00930062">
        <w:rPr>
          <w:iCs/>
          <w:color w:val="4F81BD" w:themeColor="accent1"/>
          <w:u w:val="single"/>
          <w:lang w:val="fr-FR"/>
        </w:rPr>
        <w:t>(</w:t>
      </w:r>
      <w:r>
        <w:rPr>
          <w:iCs/>
          <w:color w:val="4F81BD" w:themeColor="accent1"/>
          <w:u w:val="single"/>
          <w:lang w:val="fr-FR"/>
        </w:rPr>
        <w:t>m</w:t>
      </w:r>
      <w:r w:rsidRPr="00930062">
        <w:rPr>
          <w:iCs/>
          <w:color w:val="4F81BD" w:themeColor="accent1"/>
          <w:u w:val="single"/>
          <w:lang w:val="fr-FR"/>
        </w:rPr>
        <w:t>ise à jour en 2004)</w:t>
      </w:r>
      <w:r>
        <w:rPr>
          <w:iCs/>
          <w:lang w:val="fr-FR"/>
        </w:rPr>
        <w:t>.</w:t>
      </w:r>
      <w:r>
        <w:rPr>
          <w:lang w:val="fr-FR"/>
        </w:rPr>
        <w:t xml:space="preserve"> </w:t>
      </w:r>
      <w:r>
        <w:rPr>
          <w:iCs/>
          <w:lang w:val="fr-FR"/>
        </w:rPr>
        <w:t>Ligne directrice de l’OCDE pour les essais de produits chimiques.</w:t>
      </w:r>
      <w:r>
        <w:rPr>
          <w:lang w:val="fr-FR"/>
        </w:rPr>
        <w:t xml:space="preserve"> </w:t>
      </w:r>
      <w:r>
        <w:rPr>
          <w:iCs/>
          <w:lang w:val="fr-FR"/>
        </w:rPr>
        <w:t>Coefficient de partage (n</w:t>
      </w:r>
      <w:r w:rsidR="000F7D05">
        <w:rPr>
          <w:iCs/>
          <w:lang w:val="fr-FR"/>
        </w:rPr>
        <w:noBreakHyphen/>
      </w:r>
      <w:r>
        <w:rPr>
          <w:iCs/>
          <w:lang w:val="fr-FR"/>
        </w:rPr>
        <w:t>octanol/eau), méthode par chromatographie en phase liquide à haute performance (CLHP).</w:t>
      </w:r>
      <w:r>
        <w:rPr>
          <w:lang w:val="fr-FR"/>
        </w:rPr>
        <w:t> ».</w:t>
      </w:r>
    </w:p>
    <w:p w14:paraId="123C0535" w14:textId="77777777" w:rsidR="00C01243" w:rsidRPr="00810D32" w:rsidRDefault="00C01243" w:rsidP="00C01243">
      <w:pPr>
        <w:pStyle w:val="SingleTxtG"/>
        <w:spacing w:before="120"/>
        <w:ind w:left="1701"/>
        <w:rPr>
          <w:i/>
          <w:iCs/>
        </w:rPr>
      </w:pPr>
      <w:r>
        <w:rPr>
          <w:i/>
          <w:iCs/>
          <w:u w:val="single"/>
          <w:lang w:val="fr-FR"/>
        </w:rPr>
        <w:t>Note du secrétariat</w:t>
      </w:r>
      <w:r w:rsidR="003A1675">
        <w:rPr>
          <w:i/>
          <w:iCs/>
          <w:lang w:val="fr-FR"/>
        </w:rPr>
        <w:t> </w:t>
      </w:r>
      <w:r>
        <w:rPr>
          <w:i/>
          <w:iCs/>
          <w:lang w:val="fr-FR"/>
        </w:rPr>
        <w:t>: Le renvoi à la Ligne directrice 117 de l’OCDE figure aux 4.1.1.5, A9.5.2.4.1 et A9.5.2.4.2.</w:t>
      </w:r>
    </w:p>
    <w:p w14:paraId="23A0870A" w14:textId="77777777" w:rsidR="00C01243" w:rsidRPr="000F7D05" w:rsidRDefault="00C01243" w:rsidP="00C01243">
      <w:pPr>
        <w:pStyle w:val="H4G"/>
        <w:ind w:left="1701" w:firstLine="0"/>
        <w:jc w:val="both"/>
        <w:rPr>
          <w:i w:val="0"/>
          <w:iCs/>
        </w:rPr>
      </w:pPr>
      <w:r w:rsidRPr="000F7D05">
        <w:rPr>
          <w:i w:val="0"/>
          <w:lang w:val="fr-FR"/>
        </w:rPr>
        <w:t xml:space="preserve">« Ligne directrice 305 de l’OCDE </w:t>
      </w:r>
      <w:r w:rsidRPr="000F7D05">
        <w:rPr>
          <w:i w:val="0"/>
          <w:u w:val="single"/>
          <w:lang w:val="fr-FR"/>
        </w:rPr>
        <w:t>(</w:t>
      </w:r>
      <w:r w:rsidRPr="000F7D05">
        <w:rPr>
          <w:i w:val="0"/>
          <w:lang w:val="fr-FR"/>
        </w:rPr>
        <w:t>1996</w:t>
      </w:r>
      <w:r w:rsidRPr="000F7D05">
        <w:rPr>
          <w:i w:val="0"/>
          <w:u w:val="single"/>
          <w:lang w:val="fr-FR"/>
        </w:rPr>
        <w:t xml:space="preserve">) </w:t>
      </w:r>
      <w:r w:rsidRPr="000F7D05">
        <w:rPr>
          <w:i w:val="0"/>
          <w:color w:val="4F81BD" w:themeColor="accent1"/>
          <w:u w:val="single"/>
          <w:lang w:val="fr-FR"/>
        </w:rPr>
        <w:t>(mise à jour en 2012)</w:t>
      </w:r>
      <w:r w:rsidRPr="000F7D05">
        <w:rPr>
          <w:i w:val="0"/>
          <w:lang w:val="fr-FR"/>
        </w:rPr>
        <w:t>. Bioconcentration : Essai dynamique chez le poisson. Lignes directrices de l’OCDE pour les essais de produits chimiques.</w:t>
      </w:r>
      <w:r w:rsidR="003A1675" w:rsidRPr="000F7D05">
        <w:rPr>
          <w:i w:val="0"/>
          <w:lang w:val="fr-FR"/>
        </w:rPr>
        <w:t> </w:t>
      </w:r>
      <w:r w:rsidRPr="000F7D05">
        <w:rPr>
          <w:i w:val="0"/>
          <w:lang w:val="fr-FR"/>
        </w:rPr>
        <w:t>».</w:t>
      </w:r>
    </w:p>
    <w:p w14:paraId="60695ABB" w14:textId="77777777" w:rsidR="00C01243" w:rsidRPr="00810D32" w:rsidRDefault="00C01243" w:rsidP="00C01243">
      <w:pPr>
        <w:pStyle w:val="SingleTxtG"/>
        <w:ind w:left="1701"/>
        <w:rPr>
          <w:i/>
          <w:iCs/>
        </w:rPr>
      </w:pPr>
      <w:r>
        <w:rPr>
          <w:i/>
          <w:iCs/>
          <w:u w:val="single"/>
          <w:lang w:val="fr-FR"/>
        </w:rPr>
        <w:t>Note du secrétariat</w:t>
      </w:r>
      <w:r w:rsidR="003A1675">
        <w:rPr>
          <w:i/>
          <w:iCs/>
          <w:lang w:val="fr-FR"/>
        </w:rPr>
        <w:t> </w:t>
      </w:r>
      <w:r>
        <w:rPr>
          <w:i/>
          <w:iCs/>
          <w:lang w:val="fr-FR"/>
        </w:rPr>
        <w:t>: Le renvoi à la Ligne directrice 305 de l’OCDE figure aux A9.5.2.2, A9.5.2.3.2, A9.5.2.3.8.1, A9.5.2.3.8.2 et A9.5.2.3.9.4.</w:t>
      </w:r>
    </w:p>
    <w:p w14:paraId="44CA9871" w14:textId="77777777" w:rsidR="00C01243" w:rsidRPr="00810D32" w:rsidRDefault="00C01243" w:rsidP="00C01243">
      <w:pPr>
        <w:spacing w:before="40" w:after="40"/>
        <w:ind w:left="1701" w:right="1134"/>
        <w:jc w:val="both"/>
      </w:pPr>
      <w:r>
        <w:rPr>
          <w:lang w:val="fr-FR"/>
        </w:rPr>
        <w:t>«</w:t>
      </w:r>
      <w:r w:rsidR="003A1675">
        <w:rPr>
          <w:lang w:val="fr-FR"/>
        </w:rPr>
        <w:t> </w:t>
      </w:r>
      <w:r>
        <w:rPr>
          <w:lang w:val="fr-FR"/>
        </w:rPr>
        <w:t>Ligne directrice 123 de l’OCDE. Coefficient de partage (1-octanol/eau</w:t>
      </w:r>
      <w:proofErr w:type="gramStart"/>
      <w:r>
        <w:rPr>
          <w:lang w:val="fr-FR"/>
        </w:rPr>
        <w:t>):</w:t>
      </w:r>
      <w:proofErr w:type="gramEnd"/>
      <w:r>
        <w:rPr>
          <w:lang w:val="fr-FR"/>
        </w:rPr>
        <w:t xml:space="preserve"> méthode du brassage lent. Lignes directrices de l’OCDE pour les essais de produits chimiques. </w:t>
      </w:r>
      <w:r w:rsidRPr="00740EEB">
        <w:rPr>
          <w:color w:val="4F81BD" w:themeColor="accent1"/>
          <w:u w:val="single"/>
          <w:lang w:val="fr-FR"/>
        </w:rPr>
        <w:t>Parmi les autres lignes directrices, on peut citer les suivantes</w:t>
      </w:r>
      <w:r w:rsidR="000F7D05">
        <w:rPr>
          <w:color w:val="4F81BD" w:themeColor="accent1"/>
          <w:u w:val="single"/>
          <w:lang w:val="fr-FR"/>
        </w:rPr>
        <w:t> </w:t>
      </w:r>
      <w:r w:rsidRPr="00740EEB">
        <w:rPr>
          <w:color w:val="4F81BD" w:themeColor="accent1"/>
          <w:u w:val="single"/>
          <w:lang w:val="fr-FR"/>
        </w:rPr>
        <w:t>: Ligne directrice 315 (2008). Bioaccumulation chez les oligochètes benthiques fouisseurs.</w:t>
      </w:r>
      <w:r>
        <w:rPr>
          <w:lang w:val="fr-FR"/>
        </w:rPr>
        <w:t> ».</w:t>
      </w:r>
    </w:p>
    <w:p w14:paraId="2B46FF18" w14:textId="77777777" w:rsidR="00C01243" w:rsidRPr="00810D32" w:rsidRDefault="00C01243" w:rsidP="003A1675">
      <w:pPr>
        <w:pStyle w:val="H23G"/>
      </w:pPr>
      <w:r>
        <w:rPr>
          <w:lang w:val="fr-FR"/>
        </w:rPr>
        <w:tab/>
      </w:r>
      <w:r w:rsidR="003A1675">
        <w:rPr>
          <w:lang w:val="fr-FR"/>
        </w:rPr>
        <w:tab/>
      </w:r>
      <w:r>
        <w:rPr>
          <w:lang w:val="fr-FR"/>
        </w:rPr>
        <w:t>Annexe 9, appendice VI</w:t>
      </w:r>
    </w:p>
    <w:p w14:paraId="5DB4FF9A" w14:textId="77777777" w:rsidR="00C01243" w:rsidRPr="00810D32" w:rsidRDefault="00C01243" w:rsidP="00C01243">
      <w:pPr>
        <w:pStyle w:val="SingleTxtG"/>
      </w:pPr>
      <w:r>
        <w:rPr>
          <w:lang w:val="fr-FR"/>
        </w:rPr>
        <w:t>Modifier tous les renvois aux références suivantes, comme indiqué</w:t>
      </w:r>
      <w:r w:rsidR="003A1675">
        <w:rPr>
          <w:lang w:val="fr-FR"/>
        </w:rPr>
        <w:t> </w:t>
      </w:r>
      <w:r>
        <w:rPr>
          <w:lang w:val="fr-FR"/>
        </w:rPr>
        <w:t>: (</w:t>
      </w:r>
      <w:r>
        <w:rPr>
          <w:i/>
          <w:iCs/>
          <w:lang w:val="fr-FR"/>
        </w:rPr>
        <w:t xml:space="preserve">les ajouts figurent en caractères </w:t>
      </w:r>
      <w:r w:rsidRPr="009C1524">
        <w:rPr>
          <w:i/>
          <w:iCs/>
          <w:color w:val="4F81BD" w:themeColor="accent1"/>
          <w:u w:val="single"/>
          <w:lang w:val="fr-FR"/>
        </w:rPr>
        <w:t>bleus soulignés</w:t>
      </w:r>
      <w:r>
        <w:rPr>
          <w:lang w:val="fr-FR"/>
        </w:rPr>
        <w:t>)</w:t>
      </w:r>
      <w:r w:rsidR="003A1675">
        <w:rPr>
          <w:lang w:val="fr-FR"/>
        </w:rPr>
        <w:t> </w:t>
      </w:r>
      <w:r>
        <w:rPr>
          <w:lang w:val="fr-FR"/>
        </w:rPr>
        <w:t>:</w:t>
      </w:r>
    </w:p>
    <w:p w14:paraId="03BEA684" w14:textId="77777777" w:rsidR="00C01243" w:rsidRPr="00810D32" w:rsidRDefault="00C01243" w:rsidP="00C01243">
      <w:pPr>
        <w:pStyle w:val="SingleTxtG"/>
        <w:ind w:left="1701"/>
        <w:rPr>
          <w:rFonts w:eastAsia="TimesNewRomanPSMT"/>
          <w:u w:val="single"/>
        </w:rPr>
      </w:pPr>
      <w:r w:rsidRPr="00810D32">
        <w:rPr>
          <w:lang w:val="en-US"/>
        </w:rPr>
        <w:t xml:space="preserve">« OCDE, 1998. Harmonized Integrated Hazard Classification System for Human Health and Environmental Effects of Chemical Substances. </w:t>
      </w:r>
      <w:r>
        <w:rPr>
          <w:lang w:val="fr-FR"/>
        </w:rPr>
        <w:t>OCDE, Paris. (Document ENV/JM/</w:t>
      </w:r>
      <w:proofErr w:type="gramStart"/>
      <w:r>
        <w:rPr>
          <w:lang w:val="fr-FR"/>
        </w:rPr>
        <w:t>MONO(</w:t>
      </w:r>
      <w:proofErr w:type="gramEnd"/>
      <w:r>
        <w:rPr>
          <w:lang w:val="fr-FR"/>
        </w:rPr>
        <w:t xml:space="preserve">2001)6) </w:t>
      </w:r>
      <w:r w:rsidRPr="009C6570">
        <w:rPr>
          <w:color w:val="4F81BD" w:themeColor="accent1"/>
          <w:u w:val="single"/>
          <w:lang w:val="fr-FR"/>
        </w:rPr>
        <w:t xml:space="preserve">Mise à jour en 2001 : Série sur les essais et évaluations </w:t>
      </w:r>
      <w:r w:rsidR="000F7D05" w:rsidRPr="009C6570">
        <w:rPr>
          <w:rFonts w:eastAsia="MS Mincho"/>
          <w:color w:val="4F81BD" w:themeColor="accent1"/>
          <w:szCs w:val="22"/>
          <w:u w:val="single"/>
          <w:lang w:val="fr-FR"/>
        </w:rPr>
        <w:t>n</w:t>
      </w:r>
      <w:r w:rsidR="000F7D05" w:rsidRPr="009C6570">
        <w:rPr>
          <w:rFonts w:eastAsia="MS Mincho"/>
          <w:color w:val="4F81BD" w:themeColor="accent1"/>
          <w:szCs w:val="22"/>
          <w:u w:val="single"/>
          <w:vertAlign w:val="superscript"/>
          <w:lang w:val="fr-FR"/>
        </w:rPr>
        <w:t>o</w:t>
      </w:r>
      <w:r w:rsidR="000F7D05" w:rsidRPr="009C6570">
        <w:rPr>
          <w:color w:val="4F81BD" w:themeColor="accent1"/>
          <w:u w:val="single"/>
          <w:lang w:val="fr-FR"/>
        </w:rPr>
        <w:t> </w:t>
      </w:r>
      <w:r w:rsidRPr="009C6570">
        <w:rPr>
          <w:color w:val="4F81BD" w:themeColor="accent1"/>
          <w:u w:val="single"/>
          <w:lang w:val="fr-FR"/>
        </w:rPr>
        <w:t>33, OCDE, Paris</w:t>
      </w:r>
      <w:r w:rsidRPr="009C6570">
        <w:rPr>
          <w:color w:val="4F81BD" w:themeColor="accent1"/>
          <w:lang w:val="fr-FR"/>
        </w:rPr>
        <w:t>. </w:t>
      </w:r>
      <w:r>
        <w:rPr>
          <w:lang w:val="fr-FR"/>
        </w:rPr>
        <w:t>».</w:t>
      </w:r>
    </w:p>
    <w:p w14:paraId="4406DB30" w14:textId="77777777" w:rsidR="00C01243" w:rsidRPr="00810D32" w:rsidRDefault="00C01243" w:rsidP="00C01243">
      <w:pPr>
        <w:pStyle w:val="SingleTxtG"/>
        <w:ind w:left="1701"/>
        <w:rPr>
          <w:i/>
          <w:iCs/>
        </w:rPr>
      </w:pPr>
      <w:r>
        <w:rPr>
          <w:i/>
          <w:iCs/>
          <w:u w:val="single"/>
          <w:lang w:val="fr-FR"/>
        </w:rPr>
        <w:t>Note du secrétariat</w:t>
      </w:r>
      <w:r w:rsidR="003A1675">
        <w:rPr>
          <w:i/>
          <w:iCs/>
          <w:lang w:val="fr-FR"/>
        </w:rPr>
        <w:t> </w:t>
      </w:r>
      <w:r>
        <w:rPr>
          <w:i/>
          <w:iCs/>
          <w:lang w:val="fr-FR"/>
        </w:rPr>
        <w:t>: Le renvoi à la Ligne directrice publiée en 1998 par l’OCDE figure aux A9.3.2.2, A9.5.1.1 et A9.7.1.1.</w:t>
      </w:r>
    </w:p>
    <w:p w14:paraId="561393FB" w14:textId="77777777" w:rsidR="00C01243" w:rsidRPr="00810D32" w:rsidRDefault="00C01243" w:rsidP="00C01243">
      <w:pPr>
        <w:pStyle w:val="SingleTxtG"/>
        <w:ind w:left="1701"/>
        <w:rPr>
          <w:rFonts w:eastAsia="TimesNewRomanPSMT"/>
          <w:color w:val="4F81BD" w:themeColor="accent1"/>
          <w:u w:val="single"/>
        </w:rPr>
      </w:pPr>
      <w:r>
        <w:rPr>
          <w:lang w:val="fr-FR"/>
        </w:rPr>
        <w:t xml:space="preserve">« OCDE, 2000. Guidance document on </w:t>
      </w:r>
      <w:proofErr w:type="spellStart"/>
      <w:r>
        <w:rPr>
          <w:lang w:val="fr-FR"/>
        </w:rPr>
        <w:t>aquatic</w:t>
      </w:r>
      <w:proofErr w:type="spellEnd"/>
      <w:r>
        <w:rPr>
          <w:lang w:val="fr-FR"/>
        </w:rPr>
        <w:t xml:space="preserve"> </w:t>
      </w:r>
      <w:proofErr w:type="spellStart"/>
      <w:r>
        <w:rPr>
          <w:lang w:val="fr-FR"/>
        </w:rPr>
        <w:t>toxicity</w:t>
      </w:r>
      <w:proofErr w:type="spellEnd"/>
      <w:r>
        <w:rPr>
          <w:lang w:val="fr-FR"/>
        </w:rPr>
        <w:t xml:space="preserve"> </w:t>
      </w:r>
      <w:proofErr w:type="spellStart"/>
      <w:r>
        <w:rPr>
          <w:lang w:val="fr-FR"/>
        </w:rPr>
        <w:t>testing</w:t>
      </w:r>
      <w:proofErr w:type="spellEnd"/>
      <w:r>
        <w:rPr>
          <w:lang w:val="fr-FR"/>
        </w:rPr>
        <w:t xml:space="preserve"> of </w:t>
      </w:r>
      <w:proofErr w:type="spellStart"/>
      <w:r>
        <w:rPr>
          <w:lang w:val="fr-FR"/>
        </w:rPr>
        <w:t>difficult</w:t>
      </w:r>
      <w:proofErr w:type="spellEnd"/>
      <w:r>
        <w:rPr>
          <w:lang w:val="fr-FR"/>
        </w:rPr>
        <w:t xml:space="preserve"> substances and mixtures, OCDE, </w:t>
      </w:r>
      <w:r w:rsidRPr="00F311D4">
        <w:rPr>
          <w:color w:val="4F81BD" w:themeColor="accent1"/>
          <w:u w:val="single"/>
          <w:lang w:val="fr-FR"/>
        </w:rPr>
        <w:t xml:space="preserve">Série sur les essais et évaluations </w:t>
      </w:r>
      <w:r w:rsidR="009C6570" w:rsidRPr="009C6570">
        <w:rPr>
          <w:rFonts w:eastAsia="MS Mincho"/>
          <w:szCs w:val="22"/>
          <w:lang w:val="fr-FR"/>
        </w:rPr>
        <w:t>n</w:t>
      </w:r>
      <w:r w:rsidR="009C6570" w:rsidRPr="009C6570">
        <w:rPr>
          <w:rFonts w:eastAsia="MS Mincho"/>
          <w:szCs w:val="22"/>
          <w:vertAlign w:val="superscript"/>
          <w:lang w:val="fr-FR"/>
        </w:rPr>
        <w:t>o</w:t>
      </w:r>
      <w:r w:rsidR="009C6570">
        <w:rPr>
          <w:lang w:val="fr-FR"/>
        </w:rPr>
        <w:t> </w:t>
      </w:r>
      <w:r>
        <w:rPr>
          <w:lang w:val="fr-FR"/>
        </w:rPr>
        <w:t xml:space="preserve">23, Paris. </w:t>
      </w:r>
      <w:r w:rsidRPr="002F10D6">
        <w:rPr>
          <w:color w:val="4F81BD" w:themeColor="accent1"/>
          <w:u w:val="single"/>
          <w:lang w:val="fr-FR"/>
        </w:rPr>
        <w:t xml:space="preserve">Mise à jour : OCDE, 2019, Guidance Document on </w:t>
      </w:r>
      <w:proofErr w:type="spellStart"/>
      <w:r w:rsidRPr="002F10D6">
        <w:rPr>
          <w:color w:val="4F81BD" w:themeColor="accent1"/>
          <w:u w:val="single"/>
          <w:lang w:val="fr-FR"/>
        </w:rPr>
        <w:t>Aqueous</w:t>
      </w:r>
      <w:proofErr w:type="spellEnd"/>
      <w:r w:rsidRPr="002F10D6">
        <w:rPr>
          <w:color w:val="4F81BD" w:themeColor="accent1"/>
          <w:u w:val="single"/>
          <w:lang w:val="fr-FR"/>
        </w:rPr>
        <w:t xml:space="preserve">-Phase </w:t>
      </w:r>
      <w:proofErr w:type="spellStart"/>
      <w:r w:rsidRPr="002F10D6">
        <w:rPr>
          <w:color w:val="4F81BD" w:themeColor="accent1"/>
          <w:u w:val="single"/>
          <w:lang w:val="fr-FR"/>
        </w:rPr>
        <w:t>Aquatic</w:t>
      </w:r>
      <w:proofErr w:type="spellEnd"/>
      <w:r w:rsidRPr="002F10D6">
        <w:rPr>
          <w:color w:val="4F81BD" w:themeColor="accent1"/>
          <w:u w:val="single"/>
          <w:lang w:val="fr-FR"/>
        </w:rPr>
        <w:t xml:space="preserve"> </w:t>
      </w:r>
      <w:proofErr w:type="spellStart"/>
      <w:r w:rsidRPr="002F10D6">
        <w:rPr>
          <w:color w:val="4F81BD" w:themeColor="accent1"/>
          <w:u w:val="single"/>
          <w:lang w:val="fr-FR"/>
        </w:rPr>
        <w:t>Toxicity</w:t>
      </w:r>
      <w:proofErr w:type="spellEnd"/>
      <w:r w:rsidRPr="002F10D6">
        <w:rPr>
          <w:color w:val="4F81BD" w:themeColor="accent1"/>
          <w:u w:val="single"/>
          <w:lang w:val="fr-FR"/>
        </w:rPr>
        <w:t xml:space="preserve"> </w:t>
      </w:r>
      <w:proofErr w:type="spellStart"/>
      <w:r w:rsidRPr="002F10D6">
        <w:rPr>
          <w:color w:val="4F81BD" w:themeColor="accent1"/>
          <w:u w:val="single"/>
          <w:lang w:val="fr-FR"/>
        </w:rPr>
        <w:t>Testing</w:t>
      </w:r>
      <w:proofErr w:type="spellEnd"/>
      <w:r w:rsidRPr="002F10D6">
        <w:rPr>
          <w:color w:val="4F81BD" w:themeColor="accent1"/>
          <w:u w:val="single"/>
          <w:lang w:val="fr-FR"/>
        </w:rPr>
        <w:t xml:space="preserve"> of </w:t>
      </w:r>
      <w:proofErr w:type="spellStart"/>
      <w:r w:rsidRPr="002F10D6">
        <w:rPr>
          <w:color w:val="4F81BD" w:themeColor="accent1"/>
          <w:u w:val="single"/>
          <w:lang w:val="fr-FR"/>
        </w:rPr>
        <w:t>Difficult</w:t>
      </w:r>
      <w:proofErr w:type="spellEnd"/>
      <w:r w:rsidRPr="002F10D6">
        <w:rPr>
          <w:color w:val="4F81BD" w:themeColor="accent1"/>
          <w:u w:val="single"/>
          <w:lang w:val="fr-FR"/>
        </w:rPr>
        <w:t xml:space="preserve"> Test Chemicals, Série sur les essais et évaluations </w:t>
      </w:r>
      <w:r w:rsidR="009C6570" w:rsidRPr="009C6570">
        <w:rPr>
          <w:rFonts w:eastAsia="MS Mincho"/>
          <w:color w:val="4F81BD" w:themeColor="accent1"/>
          <w:szCs w:val="22"/>
          <w:u w:val="single"/>
          <w:lang w:val="fr-FR"/>
        </w:rPr>
        <w:t>n</w:t>
      </w:r>
      <w:r w:rsidR="009C6570" w:rsidRPr="009C6570">
        <w:rPr>
          <w:rFonts w:eastAsia="MS Mincho"/>
          <w:color w:val="4F81BD" w:themeColor="accent1"/>
          <w:szCs w:val="22"/>
          <w:u w:val="single"/>
          <w:vertAlign w:val="superscript"/>
          <w:lang w:val="fr-FR"/>
        </w:rPr>
        <w:t>o</w:t>
      </w:r>
      <w:r w:rsidR="009C6570">
        <w:rPr>
          <w:color w:val="4F81BD" w:themeColor="accent1"/>
          <w:u w:val="single"/>
          <w:lang w:val="fr-FR"/>
        </w:rPr>
        <w:t> </w:t>
      </w:r>
      <w:r w:rsidRPr="002F10D6">
        <w:rPr>
          <w:color w:val="4F81BD" w:themeColor="accent1"/>
          <w:u w:val="single"/>
          <w:lang w:val="fr-FR"/>
        </w:rPr>
        <w:t>23 (deuxième édition), OCDE, Paris.</w:t>
      </w:r>
      <w:r>
        <w:rPr>
          <w:lang w:val="fr-FR"/>
        </w:rPr>
        <w:t> ».</w:t>
      </w:r>
    </w:p>
    <w:p w14:paraId="4820F254" w14:textId="77777777" w:rsidR="00C01243" w:rsidRPr="00810D32" w:rsidRDefault="00C01243" w:rsidP="00C01243">
      <w:pPr>
        <w:pStyle w:val="SingleTxtG"/>
        <w:ind w:left="1701"/>
        <w:rPr>
          <w:i/>
          <w:iCs/>
        </w:rPr>
      </w:pPr>
      <w:r>
        <w:rPr>
          <w:i/>
          <w:iCs/>
          <w:u w:val="single"/>
          <w:lang w:val="fr-FR"/>
        </w:rPr>
        <w:t>Note du secrétariat</w:t>
      </w:r>
      <w:r w:rsidR="003A1675">
        <w:rPr>
          <w:i/>
          <w:iCs/>
          <w:lang w:val="fr-FR"/>
        </w:rPr>
        <w:t> </w:t>
      </w:r>
      <w:r>
        <w:rPr>
          <w:i/>
          <w:iCs/>
          <w:lang w:val="fr-FR"/>
        </w:rPr>
        <w:t>: Le renvoi à la Ligne directrice publiée en 2000 par l’OCDE figure aux A9.3.5.1, A9.5.3.2.1 et A9.7.2.1.2.3.</w:t>
      </w:r>
    </w:p>
    <w:p w14:paraId="32FD5ACE" w14:textId="77777777" w:rsidR="00C01243" w:rsidRPr="00810D32" w:rsidRDefault="00C01243" w:rsidP="003A1675">
      <w:pPr>
        <w:pStyle w:val="H23G"/>
      </w:pPr>
      <w:r>
        <w:rPr>
          <w:lang w:val="fr-FR"/>
        </w:rPr>
        <w:tab/>
      </w:r>
      <w:r w:rsidR="003A1675">
        <w:rPr>
          <w:lang w:val="fr-FR"/>
        </w:rPr>
        <w:tab/>
      </w:r>
      <w:r>
        <w:rPr>
          <w:lang w:val="fr-FR"/>
        </w:rPr>
        <w:t>Annexe 10, appendice</w:t>
      </w:r>
    </w:p>
    <w:p w14:paraId="3C9165F4" w14:textId="77777777" w:rsidR="00C01243" w:rsidRPr="00810D32" w:rsidRDefault="00C01243" w:rsidP="00C01243">
      <w:pPr>
        <w:pStyle w:val="SingleTxtG"/>
      </w:pPr>
      <w:r>
        <w:rPr>
          <w:lang w:val="fr-FR"/>
        </w:rPr>
        <w:t>Modifier les renvois aux Lignes directrices 201, 203 et 210 de l’OCDE, comme indiqué ci-dessus.</w:t>
      </w:r>
    </w:p>
    <w:p w14:paraId="310128AB" w14:textId="77777777" w:rsidR="00C01243" w:rsidRPr="00810D32" w:rsidRDefault="00C01243" w:rsidP="00C01243">
      <w:pPr>
        <w:pStyle w:val="SingleTxtG"/>
        <w:rPr>
          <w:rFonts w:asciiTheme="majorBidi" w:hAnsiTheme="majorBidi" w:cstheme="majorBidi"/>
        </w:rPr>
      </w:pPr>
      <w:r>
        <w:rPr>
          <w:lang w:val="fr-FR"/>
        </w:rPr>
        <w:lastRenderedPageBreak/>
        <w:t>Modifier la note de bas de page de la Ligne directrice 204 de l’OCDE, comme suit : « La présente Ligne directrice a été annulée</w:t>
      </w:r>
      <w:r w:rsidR="003A1675">
        <w:rPr>
          <w:lang w:val="fr-FR"/>
        </w:rPr>
        <w:t>.</w:t>
      </w:r>
      <w:r>
        <w:rPr>
          <w:lang w:val="fr-FR"/>
        </w:rPr>
        <w:t> ».</w:t>
      </w:r>
    </w:p>
    <w:p w14:paraId="1481F899" w14:textId="77777777" w:rsidR="00C01243" w:rsidRPr="00810D32" w:rsidRDefault="00C01243" w:rsidP="00C01243">
      <w:pPr>
        <w:pStyle w:val="SingleTxtG"/>
        <w:rPr>
          <w:i/>
          <w:iCs/>
        </w:rPr>
      </w:pPr>
      <w:r>
        <w:rPr>
          <w:i/>
          <w:iCs/>
          <w:u w:val="single"/>
          <w:lang w:val="fr-FR"/>
        </w:rPr>
        <w:t>Justification</w:t>
      </w:r>
      <w:r w:rsidR="003A1675">
        <w:rPr>
          <w:i/>
          <w:iCs/>
          <w:lang w:val="fr-FR"/>
        </w:rPr>
        <w:t> </w:t>
      </w:r>
      <w:r>
        <w:rPr>
          <w:i/>
          <w:iCs/>
          <w:lang w:val="fr-FR"/>
        </w:rPr>
        <w:t>: L’introduction du nota sous le titre de l’annexe 9 permettrait d’informer les lecteurs de la disponibilité d’une liste de références comportant des détails sur les éventuelles mises à jour.</w:t>
      </w:r>
      <w:r>
        <w:rPr>
          <w:lang w:val="fr-FR"/>
        </w:rPr>
        <w:t xml:space="preserve"> </w:t>
      </w:r>
      <w:r>
        <w:rPr>
          <w:i/>
          <w:iCs/>
          <w:lang w:val="fr-FR"/>
        </w:rPr>
        <w:t>Toutes les références se trouveront regroupées en un seul endroit.</w:t>
      </w:r>
      <w:r>
        <w:rPr>
          <w:lang w:val="fr-FR"/>
        </w:rPr>
        <w:t xml:space="preserve"> </w:t>
      </w:r>
      <w:r>
        <w:rPr>
          <w:i/>
          <w:iCs/>
          <w:lang w:val="fr-FR"/>
        </w:rPr>
        <w:t>Cette approche permettrait d’éviter un recours fastidieux à des références et la prolifération des notes de bas de page dans le texte des annexes 9 et 10, tout en simplifiant les futures mises à jour.</w:t>
      </w:r>
    </w:p>
    <w:p w14:paraId="592ABC34" w14:textId="77777777" w:rsidR="00C01243" w:rsidRPr="00C01243" w:rsidRDefault="00C01243" w:rsidP="00C01243">
      <w:pPr>
        <w:pStyle w:val="SingleTxtG"/>
        <w:spacing w:before="240" w:after="0"/>
        <w:jc w:val="center"/>
        <w:rPr>
          <w:u w:val="single"/>
        </w:rPr>
      </w:pPr>
      <w:r>
        <w:rPr>
          <w:u w:val="single"/>
        </w:rPr>
        <w:tab/>
      </w:r>
      <w:r>
        <w:rPr>
          <w:u w:val="single"/>
        </w:rPr>
        <w:tab/>
      </w:r>
      <w:r>
        <w:rPr>
          <w:u w:val="single"/>
        </w:rPr>
        <w:tab/>
      </w:r>
    </w:p>
    <w:sectPr w:rsidR="00C01243" w:rsidRPr="00C01243" w:rsidSect="00C012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96D8" w14:textId="77777777" w:rsidR="00F8208D" w:rsidRDefault="00F8208D" w:rsidP="00F95C08">
      <w:pPr>
        <w:spacing w:line="240" w:lineRule="auto"/>
      </w:pPr>
    </w:p>
  </w:endnote>
  <w:endnote w:type="continuationSeparator" w:id="0">
    <w:p w14:paraId="62330386" w14:textId="77777777" w:rsidR="00F8208D" w:rsidRPr="00AC3823" w:rsidRDefault="00F8208D" w:rsidP="00AC3823">
      <w:pPr>
        <w:pStyle w:val="Footer"/>
      </w:pPr>
    </w:p>
  </w:endnote>
  <w:endnote w:type="continuationNotice" w:id="1">
    <w:p w14:paraId="5D47679A" w14:textId="77777777" w:rsidR="00F8208D" w:rsidRDefault="00F820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D3B5" w14:textId="77777777" w:rsidR="00F8208D" w:rsidRPr="00C01243" w:rsidRDefault="00F8208D" w:rsidP="00C01243">
    <w:pPr>
      <w:pStyle w:val="Footer"/>
      <w:tabs>
        <w:tab w:val="right" w:pos="9638"/>
      </w:tabs>
    </w:pPr>
    <w:r w:rsidRPr="00C01243">
      <w:rPr>
        <w:b/>
        <w:sz w:val="18"/>
      </w:rPr>
      <w:fldChar w:fldCharType="begin"/>
    </w:r>
    <w:r w:rsidRPr="00C01243">
      <w:rPr>
        <w:b/>
        <w:sz w:val="18"/>
      </w:rPr>
      <w:instrText xml:space="preserve"> PAGE  \* MERGEFORMAT </w:instrText>
    </w:r>
    <w:r w:rsidRPr="00C01243">
      <w:rPr>
        <w:b/>
        <w:sz w:val="18"/>
      </w:rPr>
      <w:fldChar w:fldCharType="separate"/>
    </w:r>
    <w:r w:rsidRPr="00C01243">
      <w:rPr>
        <w:b/>
        <w:noProof/>
        <w:sz w:val="18"/>
      </w:rPr>
      <w:t>2</w:t>
    </w:r>
    <w:r w:rsidRPr="00C01243">
      <w:rPr>
        <w:b/>
        <w:sz w:val="18"/>
      </w:rPr>
      <w:fldChar w:fldCharType="end"/>
    </w:r>
    <w:r>
      <w:rPr>
        <w:b/>
        <w:sz w:val="18"/>
      </w:rPr>
      <w:tab/>
    </w:r>
    <w:r>
      <w:t>GE.20-03660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96D4" w14:textId="77777777" w:rsidR="00F8208D" w:rsidRPr="00C01243" w:rsidRDefault="00F8208D" w:rsidP="00C01243">
    <w:pPr>
      <w:pStyle w:val="Footer"/>
      <w:tabs>
        <w:tab w:val="right" w:pos="9638"/>
      </w:tabs>
      <w:rPr>
        <w:b/>
        <w:sz w:val="18"/>
      </w:rPr>
    </w:pPr>
    <w:r>
      <w:t>GE.20-03660</w:t>
    </w:r>
    <w:r>
      <w:tab/>
    </w:r>
    <w:r w:rsidRPr="00C01243">
      <w:rPr>
        <w:b/>
        <w:sz w:val="18"/>
      </w:rPr>
      <w:fldChar w:fldCharType="begin"/>
    </w:r>
    <w:r w:rsidRPr="00C01243">
      <w:rPr>
        <w:b/>
        <w:sz w:val="18"/>
      </w:rPr>
      <w:instrText xml:space="preserve"> PAGE  \* MERGEFORMAT </w:instrText>
    </w:r>
    <w:r w:rsidRPr="00C01243">
      <w:rPr>
        <w:b/>
        <w:sz w:val="18"/>
      </w:rPr>
      <w:fldChar w:fldCharType="separate"/>
    </w:r>
    <w:r w:rsidRPr="00C01243">
      <w:rPr>
        <w:b/>
        <w:noProof/>
        <w:sz w:val="18"/>
      </w:rPr>
      <w:t>3</w:t>
    </w:r>
    <w:r w:rsidRPr="00C012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1865" w14:textId="77777777" w:rsidR="00F8208D" w:rsidRPr="00C01243" w:rsidRDefault="00F8208D" w:rsidP="00C01243">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6C181575" wp14:editId="72FC127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03660  (</w:t>
    </w:r>
    <w:proofErr w:type="gramEnd"/>
    <w:r>
      <w:rPr>
        <w:sz w:val="20"/>
      </w:rPr>
      <w:t>F)    180320    240320</w:t>
    </w:r>
    <w:r>
      <w:rPr>
        <w:sz w:val="20"/>
      </w:rPr>
      <w:br/>
    </w:r>
    <w:r w:rsidRPr="00C01243">
      <w:rPr>
        <w:rFonts w:ascii="C39T30Lfz" w:hAnsi="C39T30Lfz"/>
        <w:sz w:val="56"/>
      </w:rPr>
      <w:t></w:t>
    </w:r>
    <w:r w:rsidRPr="00C01243">
      <w:rPr>
        <w:rFonts w:ascii="C39T30Lfz" w:hAnsi="C39T30Lfz"/>
        <w:sz w:val="56"/>
      </w:rPr>
      <w:t></w:t>
    </w:r>
    <w:r w:rsidRPr="00C01243">
      <w:rPr>
        <w:rFonts w:ascii="C39T30Lfz" w:hAnsi="C39T30Lfz"/>
        <w:sz w:val="56"/>
      </w:rPr>
      <w:t></w:t>
    </w:r>
    <w:r w:rsidRPr="00C01243">
      <w:rPr>
        <w:rFonts w:ascii="C39T30Lfz" w:hAnsi="C39T30Lfz"/>
        <w:sz w:val="56"/>
      </w:rPr>
      <w:t></w:t>
    </w:r>
    <w:r w:rsidRPr="00C01243">
      <w:rPr>
        <w:rFonts w:ascii="C39T30Lfz" w:hAnsi="C39T30Lfz"/>
        <w:sz w:val="56"/>
      </w:rPr>
      <w:t></w:t>
    </w:r>
    <w:r w:rsidRPr="00C01243">
      <w:rPr>
        <w:rFonts w:ascii="C39T30Lfz" w:hAnsi="C39T30Lfz"/>
        <w:sz w:val="56"/>
      </w:rPr>
      <w:t></w:t>
    </w:r>
    <w:r w:rsidRPr="00C01243">
      <w:rPr>
        <w:rFonts w:ascii="C39T30Lfz" w:hAnsi="C39T30Lfz"/>
        <w:sz w:val="56"/>
      </w:rPr>
      <w:t></w:t>
    </w:r>
    <w:r w:rsidRPr="00C01243">
      <w:rPr>
        <w:rFonts w:ascii="C39T30Lfz" w:hAnsi="C39T30Lfz"/>
        <w:sz w:val="56"/>
      </w:rPr>
      <w:t></w:t>
    </w:r>
    <w:r w:rsidRPr="00C01243">
      <w:rPr>
        <w:rFonts w:ascii="C39T30Lfz" w:hAnsi="C39T30Lfz"/>
        <w:sz w:val="56"/>
      </w:rPr>
      <w:t></w:t>
    </w:r>
    <w:r>
      <w:rPr>
        <w:noProof/>
        <w:sz w:val="20"/>
      </w:rPr>
      <w:drawing>
        <wp:anchor distT="0" distB="0" distL="114300" distR="114300" simplePos="0" relativeHeight="251658240" behindDoc="0" locked="0" layoutInCell="1" allowOverlap="1" wp14:anchorId="4B5DBE97" wp14:editId="666592D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2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2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945F6" w14:textId="77777777" w:rsidR="00F8208D" w:rsidRPr="00AC3823" w:rsidRDefault="00F8208D" w:rsidP="00AC3823">
      <w:pPr>
        <w:pStyle w:val="Footer"/>
        <w:tabs>
          <w:tab w:val="right" w:pos="2155"/>
        </w:tabs>
        <w:spacing w:after="80" w:line="240" w:lineRule="atLeast"/>
        <w:ind w:left="680"/>
        <w:rPr>
          <w:u w:val="single"/>
        </w:rPr>
      </w:pPr>
      <w:r>
        <w:rPr>
          <w:u w:val="single"/>
        </w:rPr>
        <w:tab/>
      </w:r>
    </w:p>
  </w:footnote>
  <w:footnote w:type="continuationSeparator" w:id="0">
    <w:p w14:paraId="189F5B69" w14:textId="77777777" w:rsidR="00F8208D" w:rsidRPr="00AC3823" w:rsidRDefault="00F8208D" w:rsidP="00AC3823">
      <w:pPr>
        <w:pStyle w:val="Footer"/>
        <w:tabs>
          <w:tab w:val="right" w:pos="2155"/>
        </w:tabs>
        <w:spacing w:after="80" w:line="240" w:lineRule="atLeast"/>
        <w:ind w:left="680"/>
        <w:rPr>
          <w:u w:val="single"/>
        </w:rPr>
      </w:pPr>
      <w:r>
        <w:rPr>
          <w:u w:val="single"/>
        </w:rPr>
        <w:tab/>
      </w:r>
    </w:p>
  </w:footnote>
  <w:footnote w:type="continuationNotice" w:id="1">
    <w:p w14:paraId="0DD024F8" w14:textId="77777777" w:rsidR="00F8208D" w:rsidRPr="00AC3823" w:rsidRDefault="00F8208D">
      <w:pPr>
        <w:spacing w:line="240" w:lineRule="auto"/>
        <w:rPr>
          <w:sz w:val="2"/>
          <w:szCs w:val="2"/>
        </w:rPr>
      </w:pPr>
    </w:p>
  </w:footnote>
  <w:footnote w:id="2">
    <w:p w14:paraId="61BE9F0A" w14:textId="77777777" w:rsidR="00F8208D" w:rsidRPr="00C01243" w:rsidRDefault="00F8208D">
      <w:pPr>
        <w:pStyle w:val="FootnoteText"/>
      </w:pPr>
      <w:r>
        <w:rPr>
          <w:rStyle w:val="FootnoteReference"/>
        </w:rPr>
        <w:tab/>
      </w:r>
      <w:r w:rsidRPr="00C01243">
        <w:rPr>
          <w:rStyle w:val="FootnoteReference"/>
          <w:sz w:val="20"/>
          <w:vertAlign w:val="baseline"/>
        </w:rPr>
        <w:t>*</w:t>
      </w:r>
      <w:r>
        <w:rPr>
          <w:rStyle w:val="FootnoteReference"/>
          <w:sz w:val="20"/>
          <w:vertAlign w:val="baseline"/>
        </w:rPr>
        <w:tab/>
      </w:r>
      <w:r>
        <w:rPr>
          <w:lang w:val="fr-FR"/>
        </w:rPr>
        <w:t>2020 (A/74/6 (Sect. 20) et supplément, sous-programme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8016" w14:textId="4901A538" w:rsidR="00F8208D" w:rsidRPr="00C01243" w:rsidRDefault="00F0155A">
    <w:pPr>
      <w:pStyle w:val="Header"/>
    </w:pPr>
    <w:fldSimple w:instr=" TITLE  \* MERGEFORMAT ">
      <w:r w:rsidR="00E344BF">
        <w:t>ST/SG/AC.10/C.4/2020/1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5F32" w14:textId="3AB3CB6C" w:rsidR="00F8208D" w:rsidRPr="00C01243" w:rsidRDefault="00F0155A" w:rsidP="00C01243">
    <w:pPr>
      <w:pStyle w:val="Header"/>
      <w:jc w:val="right"/>
    </w:pPr>
    <w:fldSimple w:instr=" TITLE  \* MERGEFORMAT ">
      <w:r w:rsidR="00E344BF">
        <w:t>ST/SG/AC.10/C.4/2020/1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 w:numId="18">
    <w:abstractNumId w:val="1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73"/>
    <w:rsid w:val="00017F94"/>
    <w:rsid w:val="00023842"/>
    <w:rsid w:val="000305D3"/>
    <w:rsid w:val="00032C33"/>
    <w:rsid w:val="000334F9"/>
    <w:rsid w:val="0007796D"/>
    <w:rsid w:val="000B7790"/>
    <w:rsid w:val="000F7D05"/>
    <w:rsid w:val="00111F2F"/>
    <w:rsid w:val="00132EA9"/>
    <w:rsid w:val="0014365E"/>
    <w:rsid w:val="001733CD"/>
    <w:rsid w:val="00176178"/>
    <w:rsid w:val="001F525A"/>
    <w:rsid w:val="00223272"/>
    <w:rsid w:val="0024779E"/>
    <w:rsid w:val="00283190"/>
    <w:rsid w:val="002832AC"/>
    <w:rsid w:val="002D7C93"/>
    <w:rsid w:val="003347D7"/>
    <w:rsid w:val="00341324"/>
    <w:rsid w:val="003A1675"/>
    <w:rsid w:val="00441C3B"/>
    <w:rsid w:val="00446FE5"/>
    <w:rsid w:val="00452396"/>
    <w:rsid w:val="004531D1"/>
    <w:rsid w:val="004E468C"/>
    <w:rsid w:val="005505B7"/>
    <w:rsid w:val="00573BE5"/>
    <w:rsid w:val="00584DC4"/>
    <w:rsid w:val="00586ED3"/>
    <w:rsid w:val="00596AA9"/>
    <w:rsid w:val="005F6898"/>
    <w:rsid w:val="00656821"/>
    <w:rsid w:val="00664AB2"/>
    <w:rsid w:val="0068456F"/>
    <w:rsid w:val="0071601D"/>
    <w:rsid w:val="007A62E6"/>
    <w:rsid w:val="007A6846"/>
    <w:rsid w:val="007D3264"/>
    <w:rsid w:val="007E010E"/>
    <w:rsid w:val="0080684C"/>
    <w:rsid w:val="00871C75"/>
    <w:rsid w:val="008776DC"/>
    <w:rsid w:val="00882068"/>
    <w:rsid w:val="008B40CD"/>
    <w:rsid w:val="008F6835"/>
    <w:rsid w:val="009705C8"/>
    <w:rsid w:val="009C1CF4"/>
    <w:rsid w:val="009C6570"/>
    <w:rsid w:val="009D2673"/>
    <w:rsid w:val="00A30353"/>
    <w:rsid w:val="00AC3823"/>
    <w:rsid w:val="00AE323C"/>
    <w:rsid w:val="00B00181"/>
    <w:rsid w:val="00B00B0D"/>
    <w:rsid w:val="00B67429"/>
    <w:rsid w:val="00B765F7"/>
    <w:rsid w:val="00B80A0F"/>
    <w:rsid w:val="00BA0CA9"/>
    <w:rsid w:val="00C01243"/>
    <w:rsid w:val="00C02897"/>
    <w:rsid w:val="00C35146"/>
    <w:rsid w:val="00D01CC8"/>
    <w:rsid w:val="00D3439C"/>
    <w:rsid w:val="00DB1831"/>
    <w:rsid w:val="00DD3BFD"/>
    <w:rsid w:val="00DF6678"/>
    <w:rsid w:val="00E344BF"/>
    <w:rsid w:val="00EB797D"/>
    <w:rsid w:val="00EF2E22"/>
    <w:rsid w:val="00F0155A"/>
    <w:rsid w:val="00F01738"/>
    <w:rsid w:val="00F660DF"/>
    <w:rsid w:val="00F730C8"/>
    <w:rsid w:val="00F8208D"/>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59550"/>
  <w15:docId w15:val="{D293870A-2D45-4E30-9327-2F9B9FCD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C01243"/>
    <w:rPr>
      <w:rFonts w:ascii="Times New Roman" w:eastAsiaTheme="minorHAnsi" w:hAnsi="Times New Roman" w:cs="Times New Roman"/>
      <w:sz w:val="20"/>
      <w:szCs w:val="20"/>
      <w:lang w:eastAsia="en-US"/>
    </w:rPr>
  </w:style>
  <w:style w:type="character" w:customStyle="1" w:styleId="HChGChar">
    <w:name w:val="_ H _Ch_G Char"/>
    <w:link w:val="HChG"/>
    <w:rsid w:val="00C01243"/>
    <w:rPr>
      <w:rFonts w:ascii="Times New Roman" w:eastAsiaTheme="minorHAnsi" w:hAnsi="Times New Roman" w:cs="Times New Roman"/>
      <w:b/>
      <w:sz w:val="28"/>
      <w:szCs w:val="20"/>
      <w:lang w:eastAsia="en-US"/>
    </w:rPr>
  </w:style>
  <w:style w:type="character" w:customStyle="1" w:styleId="H1GChar">
    <w:name w:val="_ H_1_G Char"/>
    <w:link w:val="H1G"/>
    <w:locked/>
    <w:rsid w:val="00C0124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3462</Words>
  <Characters>18561</Characters>
  <Application>Microsoft Office Word</Application>
  <DocSecurity>0</DocSecurity>
  <Lines>356</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ST/SG/AC.10/C.4/2020/1</vt:lpstr>
      <vt:lpstr>ST/SG/AC.10/C.4/2020/1</vt:lpstr>
    </vt:vector>
  </TitlesOfParts>
  <Company>DCM</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dc:title>
  <dc:subject/>
  <dc:creator>Fabienne CRELIER</dc:creator>
  <cp:keywords/>
  <cp:lastModifiedBy>Laurence Berthet</cp:lastModifiedBy>
  <cp:revision>3</cp:revision>
  <cp:lastPrinted>2020-03-24T14:58:00Z</cp:lastPrinted>
  <dcterms:created xsi:type="dcterms:W3CDTF">2020-03-24T14:58:00Z</dcterms:created>
  <dcterms:modified xsi:type="dcterms:W3CDTF">2020-03-24T14:58:00Z</dcterms:modified>
</cp:coreProperties>
</file>