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4E3BDB" w:rsidRPr="00191301"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5B26CE44" w:rsidR="00446DE4" w:rsidRPr="00191301" w:rsidRDefault="00446DE4" w:rsidP="005B254A">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191301"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055E1857" w:rsidR="00FC215C" w:rsidRPr="00191301" w:rsidRDefault="00FC215C" w:rsidP="00B666B2">
            <w:pPr>
              <w:jc w:val="right"/>
              <w:rPr>
                <w:b/>
                <w:sz w:val="40"/>
                <w:szCs w:val="40"/>
              </w:rPr>
            </w:pPr>
            <w:r w:rsidRPr="00191301">
              <w:rPr>
                <w:b/>
                <w:sz w:val="40"/>
              </w:rPr>
              <w:t>UN/SCETDG/57/INF.</w:t>
            </w:r>
            <w:r w:rsidR="00AD484A">
              <w:rPr>
                <w:b/>
                <w:sz w:val="40"/>
              </w:rPr>
              <w:t>53</w:t>
            </w:r>
          </w:p>
          <w:p w14:paraId="23600409" w14:textId="77777777" w:rsidR="000216CC" w:rsidRPr="00191301" w:rsidRDefault="000216CC" w:rsidP="00497711">
            <w:pPr>
              <w:jc w:val="right"/>
            </w:pPr>
          </w:p>
        </w:tc>
      </w:tr>
    </w:tbl>
    <w:tbl>
      <w:tblPr>
        <w:tblW w:w="9645" w:type="dxa"/>
        <w:tblInd w:w="108" w:type="dxa"/>
        <w:tblLayout w:type="fixed"/>
        <w:tblLook w:val="04A0" w:firstRow="1" w:lastRow="0" w:firstColumn="1" w:lastColumn="0" w:noHBand="0" w:noVBand="1"/>
      </w:tblPr>
      <w:tblGrid>
        <w:gridCol w:w="4652"/>
        <w:gridCol w:w="4993"/>
      </w:tblGrid>
      <w:tr w:rsidR="004E3BDB" w:rsidRPr="00191301" w14:paraId="49111E43" w14:textId="77777777" w:rsidTr="00D73803">
        <w:tc>
          <w:tcPr>
            <w:tcW w:w="9645" w:type="dxa"/>
            <w:gridSpan w:val="2"/>
            <w:tcMar>
              <w:top w:w="142" w:type="dxa"/>
              <w:left w:w="108" w:type="dxa"/>
              <w:bottom w:w="142" w:type="dxa"/>
              <w:right w:w="108" w:type="dxa"/>
            </w:tcMar>
          </w:tcPr>
          <w:p w14:paraId="659610D8" w14:textId="5A27CE49" w:rsidR="00645A0B" w:rsidRPr="00191301" w:rsidRDefault="00645A0B" w:rsidP="004E3BDB">
            <w:pPr>
              <w:tabs>
                <w:tab w:val="right" w:pos="9214"/>
              </w:tabs>
            </w:pPr>
            <w:r w:rsidRPr="00191301">
              <w:rPr>
                <w:b/>
                <w:sz w:val="24"/>
              </w:rPr>
              <w:t>Committee of Experts on the Transport of Dangerous Goods</w:t>
            </w:r>
            <w:r w:rsidRPr="00191301">
              <w:rPr>
                <w:b/>
                <w:sz w:val="24"/>
              </w:rPr>
              <w:br/>
              <w:t>and on the Globally Harmonized System of Classification</w:t>
            </w:r>
            <w:r w:rsidRPr="00191301">
              <w:rPr>
                <w:b/>
                <w:sz w:val="24"/>
              </w:rPr>
              <w:br/>
              <w:t>and Labelling of Chemicals</w:t>
            </w:r>
            <w:r w:rsidRPr="00191301">
              <w:rPr>
                <w:b/>
              </w:rPr>
              <w:tab/>
            </w:r>
            <w:r w:rsidR="002A5D09" w:rsidRPr="00191301">
              <w:rPr>
                <w:b/>
              </w:rPr>
              <w:t>2</w:t>
            </w:r>
            <w:r w:rsidR="00AD484A">
              <w:rPr>
                <w:b/>
              </w:rPr>
              <w:t>7</w:t>
            </w:r>
            <w:r w:rsidRPr="00191301">
              <w:rPr>
                <w:b/>
              </w:rPr>
              <w:t xml:space="preserve"> </w:t>
            </w:r>
            <w:r w:rsidR="002A5D09" w:rsidRPr="00191301">
              <w:rPr>
                <w:b/>
              </w:rPr>
              <w:t>November</w:t>
            </w:r>
            <w:r w:rsidRPr="00191301">
              <w:rPr>
                <w:b/>
              </w:rPr>
              <w:t xml:space="preserve"> 2020</w:t>
            </w:r>
          </w:p>
        </w:tc>
      </w:tr>
      <w:tr w:rsidR="004E3BDB" w:rsidRPr="00191301" w14:paraId="6574E88D" w14:textId="77777777" w:rsidTr="00D73803">
        <w:tc>
          <w:tcPr>
            <w:tcW w:w="4652" w:type="dxa"/>
            <w:tcMar>
              <w:top w:w="57" w:type="dxa"/>
              <w:left w:w="108" w:type="dxa"/>
              <w:bottom w:w="0" w:type="dxa"/>
              <w:right w:w="108" w:type="dxa"/>
            </w:tcMar>
            <w:vAlign w:val="center"/>
          </w:tcPr>
          <w:p w14:paraId="30C2CA7B" w14:textId="77777777" w:rsidR="00645A0B" w:rsidRPr="00191301" w:rsidRDefault="00645A0B" w:rsidP="00D73803">
            <w:pPr>
              <w:spacing w:before="40"/>
              <w:rPr>
                <w:b/>
              </w:rPr>
            </w:pPr>
            <w:r w:rsidRPr="00191301">
              <w:rPr>
                <w:b/>
              </w:rPr>
              <w:t xml:space="preserve">Sub-Committee of Experts on the Transport of Dangerous Goods </w:t>
            </w:r>
          </w:p>
        </w:tc>
        <w:tc>
          <w:tcPr>
            <w:tcW w:w="4993" w:type="dxa"/>
            <w:tcMar>
              <w:top w:w="57" w:type="dxa"/>
              <w:left w:w="108" w:type="dxa"/>
              <w:bottom w:w="0" w:type="dxa"/>
              <w:right w:w="108" w:type="dxa"/>
            </w:tcMar>
            <w:vAlign w:val="center"/>
          </w:tcPr>
          <w:p w14:paraId="3BDE97DE" w14:textId="77777777" w:rsidR="00645A0B" w:rsidRPr="00191301" w:rsidRDefault="00645A0B" w:rsidP="00165735">
            <w:pPr>
              <w:spacing w:before="120"/>
              <w:rPr>
                <w:b/>
              </w:rPr>
            </w:pPr>
          </w:p>
        </w:tc>
      </w:tr>
      <w:tr w:rsidR="004E3BDB" w:rsidRPr="00191301" w14:paraId="4907F537" w14:textId="77777777" w:rsidTr="00D73803">
        <w:trPr>
          <w:trHeight w:val="201"/>
        </w:trPr>
        <w:tc>
          <w:tcPr>
            <w:tcW w:w="4652" w:type="dxa"/>
            <w:tcMar>
              <w:top w:w="57" w:type="dxa"/>
              <w:left w:w="108" w:type="dxa"/>
              <w:bottom w:w="0" w:type="dxa"/>
              <w:right w:w="108" w:type="dxa"/>
            </w:tcMar>
          </w:tcPr>
          <w:p w14:paraId="510A5F4F" w14:textId="70DE4B17" w:rsidR="00645A0B" w:rsidRPr="00191301" w:rsidRDefault="00CE74ED" w:rsidP="005A6301">
            <w:pPr>
              <w:spacing w:before="120" w:line="240" w:lineRule="auto"/>
              <w:ind w:left="34" w:hanging="34"/>
              <w:rPr>
                <w:b/>
              </w:rPr>
            </w:pPr>
            <w:r w:rsidRPr="00191301">
              <w:rPr>
                <w:b/>
              </w:rPr>
              <w:t>Fifty-seventh session</w:t>
            </w:r>
          </w:p>
        </w:tc>
        <w:tc>
          <w:tcPr>
            <w:tcW w:w="4993" w:type="dxa"/>
            <w:tcMar>
              <w:top w:w="57" w:type="dxa"/>
              <w:left w:w="108" w:type="dxa"/>
              <w:bottom w:w="0" w:type="dxa"/>
              <w:right w:w="108" w:type="dxa"/>
            </w:tcMar>
          </w:tcPr>
          <w:p w14:paraId="15F73DBB" w14:textId="77777777" w:rsidR="00645A0B" w:rsidRPr="00191301" w:rsidRDefault="00645A0B" w:rsidP="00D73803">
            <w:pPr>
              <w:spacing w:line="240" w:lineRule="auto"/>
              <w:ind w:left="34" w:hanging="34"/>
              <w:rPr>
                <w:b/>
              </w:rPr>
            </w:pPr>
          </w:p>
        </w:tc>
      </w:tr>
      <w:tr w:rsidR="004E3BDB" w:rsidRPr="00191301" w14:paraId="4C8F45BA" w14:textId="77777777" w:rsidTr="00980BD7">
        <w:trPr>
          <w:trHeight w:val="1146"/>
        </w:trPr>
        <w:tc>
          <w:tcPr>
            <w:tcW w:w="4652" w:type="dxa"/>
            <w:shd w:val="clear" w:color="auto" w:fill="auto"/>
            <w:tcMar>
              <w:top w:w="28" w:type="dxa"/>
              <w:left w:w="108" w:type="dxa"/>
              <w:bottom w:w="0" w:type="dxa"/>
              <w:right w:w="108" w:type="dxa"/>
            </w:tcMar>
          </w:tcPr>
          <w:p w14:paraId="5157275B" w14:textId="474E97A0" w:rsidR="00CE74ED" w:rsidRPr="00191301" w:rsidRDefault="00CE74ED" w:rsidP="001D5F20">
            <w:pPr>
              <w:tabs>
                <w:tab w:val="left" w:pos="6361"/>
                <w:tab w:val="left" w:pos="6939"/>
              </w:tabs>
              <w:outlineLvl w:val="0"/>
              <w:rPr>
                <w:bCs/>
              </w:rPr>
            </w:pPr>
            <w:r w:rsidRPr="00191301">
              <w:t>Geneva, 30 November - 8 December 2020</w:t>
            </w:r>
          </w:p>
          <w:p w14:paraId="178DA8E0" w14:textId="72830C60" w:rsidR="00645A0B" w:rsidRPr="00191301" w:rsidRDefault="00A83451" w:rsidP="001D5F20">
            <w:pPr>
              <w:ind w:left="34" w:hanging="34"/>
            </w:pPr>
            <w:r w:rsidRPr="00191301">
              <w:t xml:space="preserve">Item </w:t>
            </w:r>
            <w:r w:rsidR="002A5D09" w:rsidRPr="00191301">
              <w:t>3</w:t>
            </w:r>
            <w:r w:rsidRPr="00191301">
              <w:t xml:space="preserve"> of the provisional agenda</w:t>
            </w:r>
          </w:p>
          <w:p w14:paraId="3094528C" w14:textId="3EF6142A" w:rsidR="00645A0B" w:rsidRPr="00191301" w:rsidRDefault="002A5D09" w:rsidP="00267085">
            <w:pPr>
              <w:rPr>
                <w:b/>
                <w:bCs/>
              </w:rPr>
            </w:pPr>
            <w:r w:rsidRPr="00191301">
              <w:rPr>
                <w:b/>
              </w:rPr>
              <w:t>Listing, classification and packing</w:t>
            </w:r>
          </w:p>
        </w:tc>
        <w:tc>
          <w:tcPr>
            <w:tcW w:w="4993" w:type="dxa"/>
            <w:shd w:val="clear" w:color="auto" w:fill="auto"/>
            <w:tcMar>
              <w:top w:w="28" w:type="dxa"/>
              <w:left w:w="108" w:type="dxa"/>
              <w:bottom w:w="0" w:type="dxa"/>
              <w:right w:w="108" w:type="dxa"/>
            </w:tcMar>
          </w:tcPr>
          <w:p w14:paraId="452F8F0A" w14:textId="77777777" w:rsidR="00645A0B" w:rsidRPr="00191301" w:rsidRDefault="00645A0B" w:rsidP="000B6AD1">
            <w:pPr>
              <w:spacing w:before="40"/>
              <w:rPr>
                <w:b/>
                <w:bCs/>
              </w:rPr>
            </w:pPr>
          </w:p>
        </w:tc>
      </w:tr>
    </w:tbl>
    <w:p w14:paraId="61DECBD3" w14:textId="298C45DD" w:rsidR="00CD4A46" w:rsidRPr="00191301" w:rsidRDefault="00CD4A46" w:rsidP="00CD4A46">
      <w:pPr>
        <w:pStyle w:val="HChG"/>
      </w:pPr>
      <w:r w:rsidRPr="00191301">
        <w:tab/>
      </w:r>
      <w:r w:rsidRPr="00191301">
        <w:tab/>
        <w:t xml:space="preserve">Information </w:t>
      </w:r>
      <w:r w:rsidR="5B0D94D9" w:rsidRPr="00191301">
        <w:t xml:space="preserve">on </w:t>
      </w:r>
      <w:r w:rsidRPr="00191301">
        <w:t xml:space="preserve">document </w:t>
      </w:r>
      <w:r w:rsidR="002A5D09" w:rsidRPr="00191301">
        <w:t>ST/SG/AC.10/C.3/2020/18</w:t>
      </w:r>
      <w:r w:rsidR="00AD484A">
        <w:t xml:space="preserve"> </w:t>
      </w:r>
      <w:r w:rsidRPr="00191301">
        <w:t>“</w:t>
      </w:r>
      <w:r w:rsidR="002A5D09" w:rsidRPr="00191301">
        <w:t>Modifications concerning Salvage Pressure Receptacles</w:t>
      </w:r>
      <w:r w:rsidRPr="00191301">
        <w:t>”</w:t>
      </w:r>
    </w:p>
    <w:p w14:paraId="3B3E3D90" w14:textId="02715F77" w:rsidR="00CD4A46" w:rsidRPr="00191301" w:rsidRDefault="00CD4A46" w:rsidP="00CD4A46">
      <w:pPr>
        <w:pStyle w:val="H1G"/>
      </w:pPr>
      <w:r w:rsidRPr="00191301">
        <w:tab/>
      </w:r>
      <w:r w:rsidRPr="00191301">
        <w:tab/>
        <w:t>Transmitted by the expert from Germany</w:t>
      </w:r>
    </w:p>
    <w:p w14:paraId="5DCC8F6F" w14:textId="1F7118ED" w:rsidR="00CD4A46" w:rsidRPr="00191301" w:rsidRDefault="00CD4A46" w:rsidP="00CD4A46">
      <w:pPr>
        <w:pStyle w:val="HChG"/>
      </w:pPr>
      <w:r w:rsidRPr="00191301">
        <w:tab/>
      </w:r>
      <w:r w:rsidRPr="00191301">
        <w:tab/>
        <w:t>Introduction</w:t>
      </w:r>
    </w:p>
    <w:p w14:paraId="6F3A7526" w14:textId="5D91FB99" w:rsidR="002A5D09" w:rsidRPr="00191301" w:rsidRDefault="0068118F" w:rsidP="0057364C">
      <w:pPr>
        <w:pStyle w:val="SingleTxtG"/>
        <w:numPr>
          <w:ilvl w:val="0"/>
          <w:numId w:val="38"/>
        </w:numPr>
        <w:ind w:left="1134" w:firstLine="0"/>
      </w:pPr>
      <w:r w:rsidRPr="00191301">
        <w:t xml:space="preserve">On </w:t>
      </w:r>
      <w:r w:rsidR="002A5D09" w:rsidRPr="00191301">
        <w:t>6</w:t>
      </w:r>
      <w:r w:rsidRPr="00191301">
        <w:t xml:space="preserve"> April 2020, Germany submitted document ST/SG/AC.10/C.3/2020/1</w:t>
      </w:r>
      <w:r w:rsidR="002A5D09" w:rsidRPr="00191301">
        <w:t>8</w:t>
      </w:r>
      <w:r w:rsidRPr="00191301">
        <w:t xml:space="preserve"> “</w:t>
      </w:r>
      <w:r w:rsidR="002A5D09" w:rsidRPr="00191301">
        <w:t>Modifications concerning Salvage Pressure Receptacles</w:t>
      </w:r>
      <w:r w:rsidRPr="00191301">
        <w:t xml:space="preserve">”, which proposed </w:t>
      </w:r>
      <w:r w:rsidR="005E590D">
        <w:t xml:space="preserve">the introduction of </w:t>
      </w:r>
      <w:r w:rsidR="002A5D09" w:rsidRPr="00191301">
        <w:t>a pV-limit for pressure receptacles.</w:t>
      </w:r>
    </w:p>
    <w:p w14:paraId="7DFB175F" w14:textId="5847E5BE" w:rsidR="002A5D09" w:rsidRPr="00191301" w:rsidRDefault="002A5D09" w:rsidP="0057364C">
      <w:pPr>
        <w:pStyle w:val="SingleTxtG"/>
        <w:numPr>
          <w:ilvl w:val="0"/>
          <w:numId w:val="38"/>
        </w:numPr>
        <w:ind w:left="1134" w:firstLine="0"/>
      </w:pPr>
      <w:r w:rsidRPr="00191301">
        <w:t>Germany thanks</w:t>
      </w:r>
      <w:r w:rsidR="00830027">
        <w:t xml:space="preserve"> </w:t>
      </w:r>
      <w:r w:rsidRPr="00191301">
        <w:t xml:space="preserve">all participants for the valuable comments and contribution. For tracing convenience </w:t>
      </w:r>
      <w:r w:rsidR="0012359E" w:rsidRPr="00191301">
        <w:t>comments and information are collected in this document.</w:t>
      </w:r>
    </w:p>
    <w:p w14:paraId="7AD5BF87" w14:textId="68566BDA" w:rsidR="00CD4A46" w:rsidRPr="00191301" w:rsidRDefault="0012359E" w:rsidP="0012359E">
      <w:pPr>
        <w:pStyle w:val="HChG"/>
        <w:ind w:firstLine="0"/>
      </w:pPr>
      <w:r w:rsidRPr="00191301">
        <w:t>Comments and answers</w:t>
      </w:r>
    </w:p>
    <w:p w14:paraId="1741FBCC" w14:textId="67E6797B" w:rsidR="0012359E" w:rsidRPr="00191301" w:rsidRDefault="00CD4A46" w:rsidP="0012359E">
      <w:pPr>
        <w:pStyle w:val="SingleTxtG"/>
      </w:pPr>
      <w:r w:rsidRPr="00191301">
        <w:t>3.</w:t>
      </w:r>
      <w:r w:rsidRPr="00191301">
        <w:tab/>
      </w:r>
      <w:r w:rsidR="00191301">
        <w:t xml:space="preserve">Comment: </w:t>
      </w:r>
      <w:r w:rsidR="0012359E" w:rsidRPr="00191301">
        <w:t>We would like to know more about the technical reasons for choosing the 1</w:t>
      </w:r>
      <w:r w:rsidR="00E004AA">
        <w:t>.</w:t>
      </w:r>
      <w:r w:rsidR="0012359E" w:rsidRPr="00191301">
        <w:t>5 million bar lit</w:t>
      </w:r>
      <w:r w:rsidR="005E590D">
        <w:t>r</w:t>
      </w:r>
      <w:r w:rsidR="0012359E" w:rsidRPr="00191301">
        <w:t>es limit.</w:t>
      </w:r>
    </w:p>
    <w:p w14:paraId="69CBBDFA" w14:textId="284CA6AE" w:rsidR="0012359E" w:rsidRPr="00191301" w:rsidRDefault="00191301" w:rsidP="0012359E">
      <w:pPr>
        <w:pStyle w:val="SingleTxtG"/>
      </w:pPr>
      <w:r w:rsidRPr="00AD484A">
        <w:rPr>
          <w:rFonts w:eastAsia="Calibri"/>
          <w:b/>
          <w:bCs/>
        </w:rPr>
        <w:t>Answer</w:t>
      </w:r>
      <w:r>
        <w:rPr>
          <w:rFonts w:eastAsia="Calibri"/>
        </w:rPr>
        <w:t xml:space="preserve">: </w:t>
      </w:r>
      <w:r w:rsidR="0012359E" w:rsidRPr="00191301">
        <w:t>The explanation</w:t>
      </w:r>
      <w:r w:rsidR="00A94FFE">
        <w:t>s</w:t>
      </w:r>
      <w:r w:rsidR="0012359E" w:rsidRPr="00191301">
        <w:t xml:space="preserve"> of the necessity for such a pV-limit </w:t>
      </w:r>
      <w:r w:rsidR="00A94FFE">
        <w:t xml:space="preserve">on the one hand </w:t>
      </w:r>
      <w:r w:rsidR="0012359E" w:rsidRPr="00191301">
        <w:t xml:space="preserve">and the value of 1.5 Mio bar litres </w:t>
      </w:r>
      <w:r w:rsidR="00A94FFE">
        <w:t xml:space="preserve">on the other hand are </w:t>
      </w:r>
      <w:r w:rsidR="0012359E" w:rsidRPr="00191301">
        <w:t>relatively complex issue</w:t>
      </w:r>
      <w:r w:rsidR="00A94FFE">
        <w:t>s</w:t>
      </w:r>
      <w:r w:rsidR="0012359E" w:rsidRPr="00191301">
        <w:t xml:space="preserve">. An important part is the explanation, why we need such a limit at all. </w:t>
      </w:r>
      <w:r w:rsidR="009B7CD1">
        <w:t xml:space="preserve">The special aspect of being prepared with respect to salvage pressure receptacles is explained in </w:t>
      </w:r>
      <w:r w:rsidR="009B7CD1" w:rsidRPr="00191301">
        <w:t>ST/SG/AC.10/C.3/2020/1</w:t>
      </w:r>
      <w:r w:rsidR="009B7CD1">
        <w:t>. Further aspects</w:t>
      </w:r>
      <w:r w:rsidR="0012359E" w:rsidRPr="00191301">
        <w:t xml:space="preserve"> and the argument for the figure of 1.5 Mio bar litres is provided in a paper presented at the ICHS 2019 in Adelaide (</w:t>
      </w:r>
      <w:r w:rsidR="009B7CD1">
        <w:t>International Conference on Hydrogen Safety;</w:t>
      </w:r>
      <w:r w:rsidR="009B7CD1" w:rsidRPr="00191301">
        <w:t xml:space="preserve"> </w:t>
      </w:r>
      <w:r w:rsidR="0012359E" w:rsidRPr="00191301">
        <w:t>see </w:t>
      </w:r>
      <w:hyperlink r:id="rId11" w:history="1">
        <w:r w:rsidR="0012359E" w:rsidRPr="009B7CD1">
          <w:rPr>
            <w:u w:val="single"/>
          </w:rPr>
          <w:t>https://hysafe.info/iahysafe/wp-content/uploads/2019_papers/104.pdf</w:t>
        </w:r>
      </w:hyperlink>
      <w:r w:rsidR="0012359E" w:rsidRPr="00191301">
        <w:t>). Relevant are the chapters 2, 3 and 4. A version shorted for chapters not being valid in this context has been prepared but unfortunately cannot be provided within this tool.</w:t>
      </w:r>
    </w:p>
    <w:p w14:paraId="7AA9F62F" w14:textId="464FCA27" w:rsidR="0012359E" w:rsidRPr="00191301" w:rsidRDefault="0012359E" w:rsidP="00D74F4C">
      <w:pPr>
        <w:pStyle w:val="SingleTxtG"/>
      </w:pPr>
      <w:r w:rsidRPr="00191301">
        <w:t xml:space="preserve">The aspect that is not reflected in this paper is the rational for the values in the FR-pV-diagram that is used there. This is described in a paper that is not </w:t>
      </w:r>
      <w:r w:rsidR="005E590D" w:rsidRPr="00191301">
        <w:t>publicly</w:t>
      </w:r>
      <w:r w:rsidRPr="00191301">
        <w:t xml:space="preserve"> available. But we are open to distribute this paper as well as the already mentioned excerpt of the ICHS-paper to interested delegates via e-Mail.</w:t>
      </w:r>
    </w:p>
    <w:p w14:paraId="0A625B98" w14:textId="2BF15784" w:rsidR="0012359E" w:rsidRPr="00191301" w:rsidRDefault="00CD4A46" w:rsidP="00CD4A46">
      <w:pPr>
        <w:pStyle w:val="SingleTxtG"/>
      </w:pPr>
      <w:r w:rsidRPr="00191301">
        <w:t>4.</w:t>
      </w:r>
      <w:r w:rsidRPr="00191301">
        <w:tab/>
      </w:r>
      <w:r w:rsidR="00191301" w:rsidRPr="00AD484A">
        <w:rPr>
          <w:b/>
          <w:bCs/>
        </w:rPr>
        <w:t>Comment</w:t>
      </w:r>
      <w:r w:rsidR="00191301">
        <w:t xml:space="preserve">: </w:t>
      </w:r>
      <w:r w:rsidR="0012359E" w:rsidRPr="00191301">
        <w:t>We would like some further explanations why the definition for “</w:t>
      </w:r>
      <w:r w:rsidR="0012359E" w:rsidRPr="00191301">
        <w:rPr>
          <w:i/>
          <w:iCs/>
        </w:rPr>
        <w:t>Pressure receptacle”</w:t>
      </w:r>
      <w:r w:rsidR="00EE6A50">
        <w:t xml:space="preserve"> </w:t>
      </w:r>
      <w:r w:rsidR="0012359E" w:rsidRPr="00191301">
        <w:t>should contain the proposed limit for a test pressure volume product for the salvage pressure receptacle. In our view that limitation would perhaps be more suitable to insert in the definition for the "</w:t>
      </w:r>
      <w:r w:rsidR="0012359E" w:rsidRPr="00191301">
        <w:rPr>
          <w:i/>
          <w:iCs/>
        </w:rPr>
        <w:t>Salvage pressure receptacle</w:t>
      </w:r>
      <w:r w:rsidR="0012359E" w:rsidRPr="00191301">
        <w:t>". For other types of pressure receptacles, e.g. for</w:t>
      </w:r>
      <w:r w:rsidR="00FE422B">
        <w:t xml:space="preserve"> </w:t>
      </w:r>
      <w:r w:rsidR="0012359E" w:rsidRPr="00191301">
        <w:rPr>
          <w:i/>
          <w:iCs/>
        </w:rPr>
        <w:t>pressure drum</w:t>
      </w:r>
      <w:r w:rsidR="00FE422B">
        <w:t xml:space="preserve"> </w:t>
      </w:r>
      <w:r w:rsidR="0012359E" w:rsidRPr="00191301">
        <w:t>and</w:t>
      </w:r>
      <w:r w:rsidR="00FE422B">
        <w:t xml:space="preserve"> </w:t>
      </w:r>
      <w:r w:rsidR="0012359E" w:rsidRPr="00191301">
        <w:rPr>
          <w:i/>
          <w:iCs/>
        </w:rPr>
        <w:t>cylinder</w:t>
      </w:r>
      <w:r w:rsidR="0012359E" w:rsidRPr="00191301">
        <w:t>, the capacity limits are expressed in their specific definitions, not in the general definition “</w:t>
      </w:r>
      <w:r w:rsidR="0012359E" w:rsidRPr="00191301">
        <w:rPr>
          <w:i/>
          <w:iCs/>
        </w:rPr>
        <w:t>pressure receptacle</w:t>
      </w:r>
      <w:r w:rsidR="0012359E" w:rsidRPr="00191301">
        <w:t>”.</w:t>
      </w:r>
    </w:p>
    <w:p w14:paraId="2F1144C7" w14:textId="55717E8B" w:rsidR="0012359E" w:rsidRPr="0012359E" w:rsidRDefault="00191301" w:rsidP="0012359E">
      <w:pPr>
        <w:pStyle w:val="SingleTxtG"/>
      </w:pPr>
      <w:r w:rsidRPr="00AD484A">
        <w:rPr>
          <w:rFonts w:eastAsia="Calibri"/>
          <w:b/>
          <w:bCs/>
        </w:rPr>
        <w:t>Answer</w:t>
      </w:r>
      <w:r>
        <w:rPr>
          <w:rFonts w:eastAsia="Calibri"/>
        </w:rPr>
        <w:t xml:space="preserve">: </w:t>
      </w:r>
      <w:r w:rsidR="0012359E" w:rsidRPr="0012359E">
        <w:t xml:space="preserve">Based on the functionality of a salvage pressure receptacle we think that such a salvage containment should be acceptable and manageable for all kinds of pressure receptacle, which makes a difference to tanks. For achieving this (safety) goal we are </w:t>
      </w:r>
      <w:r w:rsidR="0012359E" w:rsidRPr="0012359E">
        <w:lastRenderedPageBreak/>
        <w:t xml:space="preserve">requested to limit the </w:t>
      </w:r>
      <w:r w:rsidR="008A275B" w:rsidRPr="0012359E">
        <w:t>framework</w:t>
      </w:r>
      <w:r w:rsidR="0012359E" w:rsidRPr="0012359E">
        <w:t xml:space="preserve"> of possible pV-products of pressure receptacles. With respect to this it is</w:t>
      </w:r>
      <w:r w:rsidR="008A275B">
        <w:t xml:space="preserve"> counterproductive</w:t>
      </w:r>
      <w:r w:rsidR="0012359E" w:rsidRPr="0012359E">
        <w:t xml:space="preserve"> to limit the salvage pressure receptacles without knowing the limits of the pressure receptacles to be stored in if </w:t>
      </w:r>
      <w:r w:rsidR="008A275B" w:rsidRPr="0012359E">
        <w:t>necessary</w:t>
      </w:r>
      <w:r w:rsidR="0012359E" w:rsidRPr="0012359E">
        <w:t>.</w:t>
      </w:r>
    </w:p>
    <w:p w14:paraId="3676E678" w14:textId="7E10844B" w:rsidR="0012359E" w:rsidRPr="00191301" w:rsidRDefault="0012359E" w:rsidP="0012359E">
      <w:pPr>
        <w:pStyle w:val="SingleTxtG"/>
      </w:pPr>
      <w:r w:rsidRPr="0012359E">
        <w:t>Currently, we do not have a limitation of the gas capacity for compressed gases in any of the pressure receptacles. Therefore, it is possible to increase the stored amount of gas and energy by increasing the pressure of a pressure receptacle</w:t>
      </w:r>
      <w:r w:rsidR="008A275B">
        <w:t>, which is</w:t>
      </w:r>
      <w:r w:rsidRPr="0012359E">
        <w:t xml:space="preserve"> </w:t>
      </w:r>
      <w:r w:rsidR="008A275B">
        <w:t xml:space="preserve">currently </w:t>
      </w:r>
      <w:r w:rsidRPr="0012359E">
        <w:t xml:space="preserve">limited by </w:t>
      </w:r>
      <w:r w:rsidR="008A275B">
        <w:t xml:space="preserve">its </w:t>
      </w:r>
      <w:r w:rsidRPr="0012359E">
        <w:t>water capacity</w:t>
      </w:r>
      <w:r w:rsidR="008A275B">
        <w:t>, only</w:t>
      </w:r>
      <w:r w:rsidRPr="0012359E">
        <w:t xml:space="preserve">. That an open end of the total amount of gas indicated by pV of pressure receptacles is not manageable due to increasing consequence is the second argument for limiting pressure receptacles </w:t>
      </w:r>
      <w:r w:rsidR="008A275B">
        <w:t xml:space="preserve">itself </w:t>
      </w:r>
      <w:r w:rsidRPr="0012359E">
        <w:t>and not their salvage containment.</w:t>
      </w:r>
    </w:p>
    <w:p w14:paraId="554F173F" w14:textId="65974984" w:rsidR="00386DF4" w:rsidRPr="00191301" w:rsidRDefault="00386DF4" w:rsidP="00386DF4">
      <w:pPr>
        <w:pStyle w:val="SingleTxtG"/>
      </w:pPr>
      <w:r w:rsidRPr="00191301">
        <w:t>5.</w:t>
      </w:r>
      <w:r w:rsidRPr="00191301">
        <w:tab/>
      </w:r>
      <w:r w:rsidR="00191301" w:rsidRPr="00AD484A">
        <w:rPr>
          <w:b/>
          <w:bCs/>
        </w:rPr>
        <w:t>Comment</w:t>
      </w:r>
      <w:r w:rsidR="00191301">
        <w:t xml:space="preserve">: </w:t>
      </w:r>
      <w:r w:rsidR="0012359E" w:rsidRPr="00191301">
        <w:t>However, Germany introduces a new kind of limit here: the pressure volume product (pV). It is not clear to us why a new type of limit is necessary and what this means for other limits. The implications of this new limit are not clear. We would like to see more background information and more explanation on why this new limit should be introduced in the Model Regulations and why this is better than the old limit.</w:t>
      </w:r>
    </w:p>
    <w:p w14:paraId="5BC5D8D9" w14:textId="0771D87F" w:rsidR="0012359E" w:rsidRPr="0012359E" w:rsidRDefault="00191301" w:rsidP="0012359E">
      <w:pPr>
        <w:pStyle w:val="SingleTxtG"/>
      </w:pPr>
      <w:r w:rsidRPr="00AD484A">
        <w:rPr>
          <w:rFonts w:eastAsia="Calibri"/>
          <w:b/>
          <w:bCs/>
        </w:rPr>
        <w:t>Answer</w:t>
      </w:r>
      <w:r>
        <w:rPr>
          <w:rFonts w:eastAsia="Calibri"/>
        </w:rPr>
        <w:t xml:space="preserve">: </w:t>
      </w:r>
      <w:r w:rsidR="0012359E" w:rsidRPr="0012359E">
        <w:t>The pV-product is already in use for several issues (e.g. SP 283, SP 653 and 6.2.6.1.5) and it was an essential aspect in the ADR before restructuring (marginals). Marginal 2214 and 2215 provided different levels of certification requirements dependent on the pV product of the pressure receptacles.</w:t>
      </w:r>
    </w:p>
    <w:p w14:paraId="501CE7C1" w14:textId="5AB01D5E" w:rsidR="0012359E" w:rsidRPr="0012359E" w:rsidRDefault="0012359E" w:rsidP="0012359E">
      <w:pPr>
        <w:pStyle w:val="SingleTxtG"/>
      </w:pPr>
      <w:r w:rsidRPr="0012359E">
        <w:t xml:space="preserve">The idea is not to substitute the volume as a </w:t>
      </w:r>
      <w:r w:rsidR="00AD5A87" w:rsidRPr="00191301">
        <w:t>criterion</w:t>
      </w:r>
      <w:r w:rsidRPr="0012359E">
        <w:t xml:space="preserve"> for the definition of pressure receptacles. The addition to the water capacity V the pV-product creates </w:t>
      </w:r>
      <w:r w:rsidR="00880AA9" w:rsidRPr="0012359E">
        <w:t>a</w:t>
      </w:r>
      <w:r w:rsidRPr="0012359E">
        <w:t xml:space="preserve"> limitation to the total amount of gas and therefore of the physically </w:t>
      </w:r>
      <w:r w:rsidR="00880AA9">
        <w:t xml:space="preserve">and indirectly even to the chemically </w:t>
      </w:r>
      <w:r w:rsidRPr="0012359E">
        <w:t>stored energy in a pressure receptacle. Since V is limited, this means a simultaneous limitation of the pressure p, which increases when the maximum permitted volume V is not used. With respect to worst case scenario we want to add a limitation of the maximum permissible energy to be stored in one unit.</w:t>
      </w:r>
    </w:p>
    <w:p w14:paraId="0BFD8F84" w14:textId="0278B5EE" w:rsidR="0012359E" w:rsidRPr="00191301" w:rsidRDefault="0012359E" w:rsidP="00AD5A87">
      <w:pPr>
        <w:pStyle w:val="SingleTxtG"/>
      </w:pPr>
      <w:r w:rsidRPr="0012359E">
        <w:t xml:space="preserve">For an explanation of the arguments we like to reference to </w:t>
      </w:r>
      <w:r w:rsidR="00AD5A87" w:rsidRPr="00191301">
        <w:t>paragraph 3</w:t>
      </w:r>
      <w:r w:rsidRPr="0012359E">
        <w:t>.</w:t>
      </w:r>
    </w:p>
    <w:p w14:paraId="2666FF3B" w14:textId="4C52DDF4" w:rsidR="00040F52" w:rsidRPr="00191301" w:rsidRDefault="004D78AC" w:rsidP="00283412">
      <w:pPr>
        <w:pStyle w:val="SingleTxtG"/>
      </w:pPr>
      <w:r w:rsidRPr="00191301">
        <w:t>6.</w:t>
      </w:r>
      <w:r w:rsidRPr="00191301">
        <w:tab/>
      </w:r>
      <w:r w:rsidR="00191301" w:rsidRPr="00AD484A">
        <w:rPr>
          <w:b/>
          <w:bCs/>
        </w:rPr>
        <w:t>Comment</w:t>
      </w:r>
      <w:r w:rsidR="00191301">
        <w:t xml:space="preserve">: </w:t>
      </w:r>
      <w:r w:rsidR="00040F52" w:rsidRPr="00040F52">
        <w:t>The definition of pressure receptacle was just recently accepted, and several consequential amendments will be needed to modify other sections of the UN Model Regulations; and</w:t>
      </w:r>
      <w:r w:rsidR="00040F52" w:rsidRPr="00283412">
        <w:t xml:space="preserve"> a</w:t>
      </w:r>
      <w:r w:rsidR="00040F52" w:rsidRPr="00040F52">
        <w:t xml:space="preserve"> better justification and possible real-world examples are needed for such a drastic increase in the water capacity of a placed pressure receptacle from 1 000 litres to 3</w:t>
      </w:r>
      <w:r w:rsidR="00040F52" w:rsidRPr="00191301">
        <w:t> </w:t>
      </w:r>
      <w:r w:rsidR="00040F52" w:rsidRPr="00040F52">
        <w:t>000 litres.</w:t>
      </w:r>
    </w:p>
    <w:p w14:paraId="5B85FB2C" w14:textId="3C363A92" w:rsidR="00040F52" w:rsidRPr="00191301" w:rsidRDefault="00191301" w:rsidP="00040F52">
      <w:pPr>
        <w:pStyle w:val="SingleTxtG"/>
      </w:pPr>
      <w:r w:rsidRPr="00AD484A">
        <w:rPr>
          <w:rFonts w:eastAsia="Calibri"/>
          <w:b/>
          <w:bCs/>
        </w:rPr>
        <w:t>Answer</w:t>
      </w:r>
      <w:r>
        <w:rPr>
          <w:rFonts w:eastAsia="Calibri"/>
        </w:rPr>
        <w:t xml:space="preserve">: </w:t>
      </w:r>
      <w:r w:rsidR="00040F52" w:rsidRPr="00040F52">
        <w:t>On the first view no impact on other sections could be detected.</w:t>
      </w:r>
      <w:r w:rsidR="00040F52" w:rsidRPr="00191301">
        <w:t xml:space="preserve"> </w:t>
      </w:r>
      <w:r w:rsidR="00040F52" w:rsidRPr="00040F52">
        <w:t>Since the salvage pressure receptacles should be intended for safety reasons mainly in emergency case there is the general request to enable the approval of salvage pressure receptacle for all available pressure receptacles. Therefore, especially for compressed gases it is not clear why to limit the capacity of salvage pressure receptacles instead of limiting pV-product of the pressure receptacle(s) to be stored in.</w:t>
      </w:r>
      <w:r w:rsidR="00040F52" w:rsidRPr="00191301">
        <w:t xml:space="preserve"> </w:t>
      </w:r>
    </w:p>
    <w:p w14:paraId="3A9AE667" w14:textId="785ECC2D" w:rsidR="00040F52" w:rsidRPr="00191301" w:rsidRDefault="00040F52" w:rsidP="00283412">
      <w:pPr>
        <w:pStyle w:val="SingleTxtG"/>
      </w:pPr>
      <w:r w:rsidRPr="00191301">
        <w:t>7.</w:t>
      </w:r>
      <w:r w:rsidRPr="00191301">
        <w:tab/>
      </w:r>
      <w:r w:rsidR="00191301" w:rsidRPr="00AD484A">
        <w:rPr>
          <w:b/>
          <w:bCs/>
        </w:rPr>
        <w:t>Comment</w:t>
      </w:r>
      <w:r w:rsidR="00191301">
        <w:t xml:space="preserve">: </w:t>
      </w:r>
      <w:r w:rsidR="00191301" w:rsidRPr="00191301">
        <w:t>We do not believe that discussions in ISO on the proposed limit of 1.5 million bar litres has reached a consensus or a conclusion. In the absence of an ISO consensus the UK</w:t>
      </w:r>
      <w:r w:rsidR="00BC62B6">
        <w:t xml:space="preserve"> </w:t>
      </w:r>
      <w:r w:rsidR="00191301" w:rsidRPr="00191301">
        <w:t>would like to see the evidence that Germany has on the safety of this limit in order to be able to consider the proposal further.</w:t>
      </w:r>
    </w:p>
    <w:p w14:paraId="25680718" w14:textId="5DB67869" w:rsidR="00191301" w:rsidRPr="00191301" w:rsidRDefault="00191301" w:rsidP="00283412">
      <w:pPr>
        <w:pStyle w:val="SingleTxtG"/>
      </w:pPr>
      <w:r w:rsidRPr="00AD484A">
        <w:rPr>
          <w:rFonts w:eastAsia="Calibri"/>
          <w:b/>
          <w:bCs/>
        </w:rPr>
        <w:t>Answer</w:t>
      </w:r>
      <w:r>
        <w:rPr>
          <w:rFonts w:eastAsia="Calibri"/>
        </w:rPr>
        <w:t xml:space="preserve">: </w:t>
      </w:r>
      <w:r w:rsidRPr="00191301">
        <w:t>For a deeper understanding of the provided limited please see the reference provided in paragraph 3.</w:t>
      </w:r>
    </w:p>
    <w:p w14:paraId="22E4DB8B" w14:textId="67CBD959" w:rsidR="00191301" w:rsidRPr="00191301" w:rsidRDefault="00191301" w:rsidP="00283412">
      <w:pPr>
        <w:pStyle w:val="SingleTxtG"/>
      </w:pPr>
      <w:r w:rsidRPr="00191301">
        <w:t>Yes, there are two projects considering a pV-limit at ISO level. Discussion is still circling around and not finalised yet. But CEN has already fixed their pV limit for the EN 17339 on the level presented here.</w:t>
      </w:r>
    </w:p>
    <w:p w14:paraId="40C72356" w14:textId="31637D2F" w:rsidR="00191301" w:rsidRPr="00191301" w:rsidRDefault="00191301" w:rsidP="00283412">
      <w:pPr>
        <w:pStyle w:val="SingleTxtG"/>
      </w:pPr>
      <w:r w:rsidRPr="00191301">
        <w:t xml:space="preserve">Germany raised this issue to this committee of experts </w:t>
      </w:r>
      <w:r w:rsidR="00E42F7F" w:rsidRPr="00191301">
        <w:t>based on</w:t>
      </w:r>
      <w:r w:rsidRPr="00191301">
        <w:t xml:space="preserve"> two different aspects.</w:t>
      </w:r>
    </w:p>
    <w:p w14:paraId="32A36ACB" w14:textId="074E188E" w:rsidR="00191301" w:rsidRPr="00191301" w:rsidRDefault="00191301" w:rsidP="00283412">
      <w:pPr>
        <w:pStyle w:val="SingleTxtG"/>
      </w:pPr>
      <w:r w:rsidRPr="00191301">
        <w:t xml:space="preserve">On one hand the background of the pV-discussion at CEN and ISO had been launched by Germany and is exclusively safety oriented. </w:t>
      </w:r>
      <w:r w:rsidR="00E42F7F">
        <w:t>S</w:t>
      </w:r>
      <w:r w:rsidRPr="00191301">
        <w:t xml:space="preserve">afety aspects are </w:t>
      </w:r>
      <w:r w:rsidR="00E42F7F">
        <w:t xml:space="preserve">the domain </w:t>
      </w:r>
      <w:r w:rsidRPr="00191301">
        <w:t>of regulator</w:t>
      </w:r>
      <w:r w:rsidR="00E42F7F">
        <w:t xml:space="preserve">y bodies, which </w:t>
      </w:r>
      <w:r w:rsidRPr="00191301">
        <w:t xml:space="preserve">made us thinking </w:t>
      </w:r>
      <w:r w:rsidR="00E42F7F">
        <w:t>this basic approach for</w:t>
      </w:r>
      <w:r w:rsidRPr="00191301">
        <w:t xml:space="preserve"> </w:t>
      </w:r>
      <w:r w:rsidR="00E42F7F">
        <w:t xml:space="preserve">a </w:t>
      </w:r>
      <w:r w:rsidRPr="00191301">
        <w:t xml:space="preserve">limitation </w:t>
      </w:r>
      <w:r w:rsidR="00E42F7F">
        <w:t xml:space="preserve">due to </w:t>
      </w:r>
      <w:r w:rsidRPr="00191301">
        <w:t xml:space="preserve">safety reasons </w:t>
      </w:r>
      <w:r w:rsidR="00E42F7F">
        <w:t xml:space="preserve">should be discussed here. </w:t>
      </w:r>
      <w:r w:rsidRPr="00191301">
        <w:t>Such a decision would help to finalise the individual discussions in the standardisation projects and would care for a unitary figure.</w:t>
      </w:r>
    </w:p>
    <w:p w14:paraId="4244AB56" w14:textId="2AD22747" w:rsidR="00191301" w:rsidRPr="00191301" w:rsidRDefault="00191301" w:rsidP="00283412">
      <w:pPr>
        <w:pStyle w:val="SingleTxtG"/>
      </w:pPr>
      <w:r w:rsidRPr="00191301">
        <w:lastRenderedPageBreak/>
        <w:t xml:space="preserve">On the other </w:t>
      </w:r>
      <w:r w:rsidR="00893E60" w:rsidRPr="00191301">
        <w:t>hand,</w:t>
      </w:r>
      <w:r w:rsidRPr="00191301">
        <w:t xml:space="preserve"> the main problem of salvage pressure receptacles is the open end of the pV-product as key issue for choosing the right salvage receptacle. This can be solved by definitions, which is the duty of regulators to whom ISO is invited for giving advisement.</w:t>
      </w:r>
    </w:p>
    <w:p w14:paraId="54096AEF" w14:textId="124BC7ED" w:rsidR="00191301" w:rsidRPr="00191301" w:rsidRDefault="00191301" w:rsidP="00283412">
      <w:pPr>
        <w:pStyle w:val="SingleTxtG"/>
      </w:pPr>
      <w:r w:rsidRPr="00191301">
        <w:t>Up to now no one has provided a rational for different data (i.e. lower consequence or high pV) on the basis of an analysis of the maximum consequence possibly caused by pressure receptacles. With respect to the Swizz document referenced in the scientific paper from ICHS 2019 about 40</w:t>
      </w:r>
      <w:r w:rsidR="00F05514">
        <w:t>…45</w:t>
      </w:r>
      <w:r w:rsidRPr="00191301">
        <w:t xml:space="preserve"> fatalities (as border to catastrophic consequences) must be seen as an absolute limit for the maximum possible consequence of </w:t>
      </w:r>
      <w:r w:rsidR="00FA18AC" w:rsidRPr="00191301">
        <w:t>worst-case</w:t>
      </w:r>
      <w:r w:rsidRPr="00191301">
        <w:t xml:space="preserve"> scenarios. All the measures to be taken in case of catastrophic incidents like they are treated in worst</w:t>
      </w:r>
      <w:r w:rsidR="00FA18AC">
        <w:t>-</w:t>
      </w:r>
      <w:r w:rsidRPr="00191301">
        <w:t>case scenarios for some stationary plants cannot be managed during transport.</w:t>
      </w:r>
    </w:p>
    <w:p w14:paraId="04AFEBD9" w14:textId="0F2BBF4D" w:rsidR="00191301" w:rsidRDefault="00191301" w:rsidP="00283412">
      <w:pPr>
        <w:pStyle w:val="SingleTxtG"/>
      </w:pPr>
      <w:r>
        <w:t>8</w:t>
      </w:r>
      <w:r w:rsidRPr="00191301">
        <w:t>.</w:t>
      </w:r>
      <w:r w:rsidRPr="00191301">
        <w:tab/>
      </w:r>
      <w:r w:rsidRPr="00AD484A">
        <w:rPr>
          <w:b/>
          <w:bCs/>
        </w:rPr>
        <w:t>Comment</w:t>
      </w:r>
      <w:r>
        <w:t xml:space="preserve">: </w:t>
      </w:r>
      <w:r w:rsidRPr="00191301">
        <w:t>We ask for consistency whether the proposal should be considered in SI units</w:t>
      </w:r>
      <w:r>
        <w:t>.</w:t>
      </w:r>
    </w:p>
    <w:p w14:paraId="533FE67A" w14:textId="192A31A7" w:rsidR="00191301" w:rsidRPr="00191301" w:rsidRDefault="00191301" w:rsidP="00283412">
      <w:pPr>
        <w:pStyle w:val="SingleTxtG"/>
      </w:pPr>
      <w:r w:rsidRPr="00AD484A">
        <w:rPr>
          <w:rFonts w:eastAsia="Calibri"/>
          <w:b/>
          <w:bCs/>
        </w:rPr>
        <w:t>Answer</w:t>
      </w:r>
      <w:r>
        <w:rPr>
          <w:rFonts w:eastAsia="Calibri"/>
        </w:rPr>
        <w:t xml:space="preserve">: </w:t>
      </w:r>
      <w:r w:rsidRPr="00191301">
        <w:t>We are in principle open to follow it. For reasons of practical experience and traceability we have based our proposal on the units provided in the permanent marking of pressure receptacles: bar and litre.</w:t>
      </w:r>
    </w:p>
    <w:p w14:paraId="5644766A" w14:textId="0AFDA83D" w:rsidR="00191301" w:rsidRPr="00040F52" w:rsidRDefault="00191301" w:rsidP="00283412">
      <w:pPr>
        <w:pStyle w:val="SingleTxtG"/>
      </w:pPr>
      <w:r>
        <w:t>9</w:t>
      </w:r>
      <w:r w:rsidRPr="00191301">
        <w:t>.</w:t>
      </w:r>
      <w:r w:rsidRPr="00191301">
        <w:tab/>
      </w:r>
      <w:r w:rsidRPr="00AD484A">
        <w:rPr>
          <w:b/>
          <w:bCs/>
        </w:rPr>
        <w:t>Comment</w:t>
      </w:r>
      <w:r>
        <w:t>: W</w:t>
      </w:r>
      <w:r w:rsidRPr="00191301">
        <w:t>e prefer to consider this proposal after the publication of ISO 11515</w:t>
      </w:r>
      <w:r>
        <w:t>.</w:t>
      </w:r>
    </w:p>
    <w:p w14:paraId="1F987664" w14:textId="230EA055" w:rsidR="00E42F7F" w:rsidRDefault="00191301" w:rsidP="00283412">
      <w:pPr>
        <w:pStyle w:val="Titre1"/>
        <w:shd w:val="clear" w:color="auto" w:fill="FFFFFF"/>
        <w:ind w:right="1134"/>
        <w:jc w:val="both"/>
        <w:rPr>
          <w:rFonts w:eastAsia="Calibri"/>
        </w:rPr>
      </w:pPr>
      <w:r w:rsidRPr="00AD484A">
        <w:rPr>
          <w:rFonts w:eastAsia="Calibri"/>
          <w:b/>
          <w:bCs/>
        </w:rPr>
        <w:t>Answer</w:t>
      </w:r>
      <w:r>
        <w:rPr>
          <w:rFonts w:eastAsia="Calibri"/>
        </w:rPr>
        <w:t xml:space="preserve">: </w:t>
      </w:r>
      <w:r w:rsidR="00E42F7F">
        <w:rPr>
          <w:rFonts w:eastAsia="Calibri"/>
        </w:rPr>
        <w:t>Please compare with paragraph 7.</w:t>
      </w:r>
    </w:p>
    <w:p w14:paraId="648C55F0" w14:textId="3702A3E9" w:rsidR="00EC6471" w:rsidRDefault="00EC6471" w:rsidP="00283412">
      <w:pPr>
        <w:pStyle w:val="Titre1"/>
        <w:shd w:val="clear" w:color="auto" w:fill="FFFFFF"/>
        <w:ind w:right="1134"/>
        <w:jc w:val="both"/>
        <w:rPr>
          <w:rFonts w:eastAsia="Calibri"/>
        </w:rPr>
      </w:pPr>
      <w:r>
        <w:rPr>
          <w:rFonts w:eastAsia="Calibri"/>
        </w:rPr>
        <w:t xml:space="preserve">Adding a limit value of the </w:t>
      </w:r>
      <w:r w:rsidR="00AB6D08">
        <w:rPr>
          <w:rFonts w:eastAsia="Calibri"/>
        </w:rPr>
        <w:t>test</w:t>
      </w:r>
      <w:r>
        <w:rPr>
          <w:rFonts w:eastAsia="Calibri"/>
        </w:rPr>
        <w:t xml:space="preserve"> pressure times water capacity is consensus </w:t>
      </w:r>
      <w:r w:rsidR="000362B6">
        <w:rPr>
          <w:rFonts w:eastAsia="Calibri"/>
        </w:rPr>
        <w:t>in the w</w:t>
      </w:r>
      <w:r>
        <w:rPr>
          <w:rFonts w:eastAsia="Calibri"/>
        </w:rPr>
        <w:t xml:space="preserve">orking group 32 of the </w:t>
      </w:r>
      <w:r w:rsidRPr="00EC6471">
        <w:rPr>
          <w:rFonts w:eastAsia="Calibri"/>
        </w:rPr>
        <w:t>Technical Committee ISO/TC 58/SC 3</w:t>
      </w:r>
      <w:r w:rsidR="000362B6" w:rsidRPr="000362B6">
        <w:rPr>
          <w:rFonts w:eastAsia="Calibri"/>
        </w:rPr>
        <w:t xml:space="preserve"> </w:t>
      </w:r>
      <w:r w:rsidR="000362B6">
        <w:rPr>
          <w:rFonts w:eastAsia="Calibri"/>
        </w:rPr>
        <w:t xml:space="preserve">for the ISO 11515. A </w:t>
      </w:r>
      <w:r w:rsidR="00F04308">
        <w:rPr>
          <w:rFonts w:eastAsia="Calibri"/>
        </w:rPr>
        <w:t>v</w:t>
      </w:r>
      <w:r w:rsidR="000362B6">
        <w:rPr>
          <w:rFonts w:eastAsia="Calibri"/>
        </w:rPr>
        <w:t>alue of 1.5 million bar litres is proposed. The standard limits independently the volume to 3000 l and the test pressure to 1600</w:t>
      </w:r>
      <w:r w:rsidR="00182334">
        <w:rPr>
          <w:rFonts w:eastAsia="Calibri"/>
        </w:rPr>
        <w:t> </w:t>
      </w:r>
      <w:r w:rsidR="000362B6">
        <w:rPr>
          <w:rFonts w:eastAsia="Calibri"/>
        </w:rPr>
        <w:t>bar. Without</w:t>
      </w:r>
      <w:r w:rsidR="00214EA6">
        <w:rPr>
          <w:rFonts w:eastAsia="Calibri"/>
        </w:rPr>
        <w:t xml:space="preserve"> </w:t>
      </w:r>
      <w:r w:rsidR="000362B6">
        <w:rPr>
          <w:rFonts w:eastAsia="Calibri"/>
        </w:rPr>
        <w:t>limit</w:t>
      </w:r>
      <w:r w:rsidR="00214EA6">
        <w:rPr>
          <w:rFonts w:eastAsia="Calibri"/>
        </w:rPr>
        <w:t>ing</w:t>
      </w:r>
      <w:r w:rsidR="000362B6">
        <w:rPr>
          <w:rFonts w:eastAsia="Calibri"/>
        </w:rPr>
        <w:t xml:space="preserve"> </w:t>
      </w:r>
      <w:r w:rsidR="00214EA6">
        <w:rPr>
          <w:rFonts w:eastAsia="Calibri"/>
        </w:rPr>
        <w:t>the combination of pressure and volume</w:t>
      </w:r>
      <w:r w:rsidR="000362B6">
        <w:rPr>
          <w:rFonts w:eastAsia="Calibri"/>
        </w:rPr>
        <w:t xml:space="preserve">, a value of 4.8 million bar litres could </w:t>
      </w:r>
      <w:r w:rsidR="00ED33BB">
        <w:rPr>
          <w:rFonts w:eastAsia="Calibri"/>
        </w:rPr>
        <w:t xml:space="preserve">be </w:t>
      </w:r>
      <w:r w:rsidR="00214EA6">
        <w:rPr>
          <w:rFonts w:eastAsia="Calibri"/>
        </w:rPr>
        <w:t>reached</w:t>
      </w:r>
      <w:r w:rsidR="00E42F7F">
        <w:rPr>
          <w:rFonts w:eastAsia="Calibri"/>
        </w:rPr>
        <w:t>.</w:t>
      </w:r>
    </w:p>
    <w:p w14:paraId="7CE820B4" w14:textId="510F4059" w:rsidR="00A82901" w:rsidRDefault="00A82901" w:rsidP="00283412">
      <w:pPr>
        <w:pStyle w:val="SingleTxtG"/>
        <w:rPr>
          <w:rFonts w:eastAsia="Calibri"/>
        </w:rPr>
      </w:pPr>
      <w:r>
        <w:rPr>
          <w:rFonts w:eastAsia="Calibri"/>
        </w:rPr>
        <w:t xml:space="preserve">The consequence of a pressure receptacle burst is driven by the over pressure wave. The overpressure decreases with larger distance. The value of the overpressure indicates different consequences: </w:t>
      </w:r>
    </w:p>
    <w:tbl>
      <w:tblPr>
        <w:tblStyle w:val="Grilledutableau"/>
        <w:tblW w:w="0" w:type="auto"/>
        <w:tblInd w:w="1134" w:type="dxa"/>
        <w:tblLook w:val="04A0" w:firstRow="1" w:lastRow="0" w:firstColumn="1" w:lastColumn="0" w:noHBand="0" w:noVBand="1"/>
      </w:tblPr>
      <w:tblGrid>
        <w:gridCol w:w="2405"/>
        <w:gridCol w:w="4961"/>
      </w:tblGrid>
      <w:tr w:rsidR="00A82901" w14:paraId="3DE26DFC" w14:textId="77777777" w:rsidTr="00E42F7F">
        <w:tc>
          <w:tcPr>
            <w:tcW w:w="2405" w:type="dxa"/>
          </w:tcPr>
          <w:p w14:paraId="4017A7E0" w14:textId="5AEBFEBC" w:rsidR="00A82901" w:rsidRDefault="00A82901" w:rsidP="00A82901">
            <w:pPr>
              <w:pStyle w:val="SingleTxtG"/>
              <w:ind w:left="0"/>
              <w:rPr>
                <w:rFonts w:eastAsia="Calibri"/>
              </w:rPr>
            </w:pPr>
            <w:r>
              <w:rPr>
                <w:rFonts w:eastAsia="Calibri"/>
              </w:rPr>
              <w:t xml:space="preserve">overpressure </w:t>
            </w:r>
          </w:p>
        </w:tc>
        <w:tc>
          <w:tcPr>
            <w:tcW w:w="4961" w:type="dxa"/>
          </w:tcPr>
          <w:p w14:paraId="6690037B" w14:textId="7ADE2C28" w:rsidR="00A82901" w:rsidRDefault="00605A68" w:rsidP="00A82901">
            <w:pPr>
              <w:pStyle w:val="SingleTxtG"/>
              <w:ind w:left="0"/>
              <w:rPr>
                <w:rFonts w:eastAsia="Calibri"/>
              </w:rPr>
            </w:pPr>
            <w:r>
              <w:rPr>
                <w:rFonts w:eastAsia="Calibri"/>
              </w:rPr>
              <w:t>C</w:t>
            </w:r>
            <w:r w:rsidR="00A82901">
              <w:rPr>
                <w:rFonts w:eastAsia="Calibri"/>
              </w:rPr>
              <w:t>onsequence</w:t>
            </w:r>
          </w:p>
        </w:tc>
      </w:tr>
      <w:tr w:rsidR="00A82901" w14:paraId="66344059" w14:textId="77777777" w:rsidTr="00E42F7F">
        <w:tc>
          <w:tcPr>
            <w:tcW w:w="2405" w:type="dxa"/>
          </w:tcPr>
          <w:p w14:paraId="32A23065" w14:textId="70457A2E" w:rsidR="00A82901" w:rsidRPr="004A1DF0" w:rsidRDefault="00A82901" w:rsidP="00A82901">
            <w:pPr>
              <w:pStyle w:val="SingleTxtG"/>
              <w:ind w:left="0"/>
              <w:rPr>
                <w:rFonts w:eastAsia="Calibri"/>
                <w:b/>
                <w:bCs/>
              </w:rPr>
            </w:pPr>
            <w:r w:rsidRPr="004A1DF0">
              <w:rPr>
                <w:b/>
                <w:bCs/>
              </w:rPr>
              <w:t>0</w:t>
            </w:r>
            <w:r w:rsidR="006056AB">
              <w:rPr>
                <w:b/>
                <w:bCs/>
              </w:rPr>
              <w:t>.</w:t>
            </w:r>
            <w:r w:rsidRPr="004A1DF0">
              <w:rPr>
                <w:b/>
                <w:bCs/>
              </w:rPr>
              <w:t>01 bar</w:t>
            </w:r>
          </w:p>
        </w:tc>
        <w:tc>
          <w:tcPr>
            <w:tcW w:w="4961" w:type="dxa"/>
          </w:tcPr>
          <w:p w14:paraId="13274FFC" w14:textId="126E2EB4" w:rsidR="00A82901" w:rsidRPr="004A1DF0" w:rsidRDefault="00B73DBA" w:rsidP="00A82901">
            <w:pPr>
              <w:pStyle w:val="SingleTxtG"/>
              <w:ind w:left="0"/>
              <w:rPr>
                <w:rFonts w:eastAsia="Calibri"/>
                <w:b/>
                <w:bCs/>
              </w:rPr>
            </w:pPr>
            <w:r w:rsidRPr="00B73DBA">
              <w:rPr>
                <w:rFonts w:eastAsia="Calibri"/>
              </w:rPr>
              <w:t>human:</w:t>
            </w:r>
            <w:r>
              <w:rPr>
                <w:b/>
                <w:bCs/>
              </w:rPr>
              <w:t xml:space="preserve"> </w:t>
            </w:r>
            <w:r w:rsidR="00A82901" w:rsidRPr="004A1DF0">
              <w:rPr>
                <w:rFonts w:eastAsia="Calibri"/>
                <w:b/>
                <w:bCs/>
              </w:rPr>
              <w:t>blow over of persons</w:t>
            </w:r>
          </w:p>
        </w:tc>
      </w:tr>
      <w:tr w:rsidR="00A82901" w14:paraId="57CE1A37" w14:textId="77777777" w:rsidTr="00E42F7F">
        <w:tc>
          <w:tcPr>
            <w:tcW w:w="2405" w:type="dxa"/>
          </w:tcPr>
          <w:p w14:paraId="7D95934F" w14:textId="5AD84F2A" w:rsidR="00A82901" w:rsidRDefault="00A82901" w:rsidP="00A82901">
            <w:pPr>
              <w:pStyle w:val="SingleTxtG"/>
              <w:ind w:left="0"/>
              <w:rPr>
                <w:rFonts w:eastAsia="Calibri"/>
              </w:rPr>
            </w:pPr>
            <w:r>
              <w:t>0</w:t>
            </w:r>
            <w:r w:rsidR="006056AB">
              <w:t>.</w:t>
            </w:r>
            <w:r>
              <w:t>03 bar</w:t>
            </w:r>
          </w:p>
        </w:tc>
        <w:tc>
          <w:tcPr>
            <w:tcW w:w="4961" w:type="dxa"/>
          </w:tcPr>
          <w:p w14:paraId="6E413D00" w14:textId="52703EEB" w:rsidR="00A82901" w:rsidRDefault="00B73DBA" w:rsidP="00A82901">
            <w:pPr>
              <w:pStyle w:val="SingleTxtG"/>
              <w:ind w:left="0"/>
              <w:rPr>
                <w:rFonts w:eastAsia="Calibri"/>
              </w:rPr>
            </w:pPr>
            <w:r w:rsidRPr="00B73DBA">
              <w:rPr>
                <w:rFonts w:eastAsia="Calibri"/>
              </w:rPr>
              <w:t>environment:</w:t>
            </w:r>
            <w:r>
              <w:rPr>
                <w:b/>
                <w:bCs/>
              </w:rPr>
              <w:t xml:space="preserve"> </w:t>
            </w:r>
            <w:r w:rsidR="00A82901">
              <w:t>damage of 50 % of glass window</w:t>
            </w:r>
          </w:p>
        </w:tc>
      </w:tr>
      <w:tr w:rsidR="00A82901" w14:paraId="3B24056A" w14:textId="77777777" w:rsidTr="00E42F7F">
        <w:tc>
          <w:tcPr>
            <w:tcW w:w="2405" w:type="dxa"/>
          </w:tcPr>
          <w:p w14:paraId="41C1894A" w14:textId="41D6CFCB" w:rsidR="00A82901" w:rsidRDefault="00A82901" w:rsidP="00A82901">
            <w:pPr>
              <w:pStyle w:val="SingleTxtG"/>
              <w:ind w:left="0"/>
            </w:pPr>
            <w:r>
              <w:t>0</w:t>
            </w:r>
            <w:r w:rsidR="006056AB">
              <w:t>.</w:t>
            </w:r>
            <w:r>
              <w:t>07 bar</w:t>
            </w:r>
          </w:p>
        </w:tc>
        <w:tc>
          <w:tcPr>
            <w:tcW w:w="4961" w:type="dxa"/>
          </w:tcPr>
          <w:p w14:paraId="38BCB978" w14:textId="280273F4" w:rsidR="00A82901" w:rsidRDefault="00B73DBA" w:rsidP="00A82901">
            <w:pPr>
              <w:pStyle w:val="SingleTxtG"/>
              <w:ind w:left="0"/>
            </w:pPr>
            <w:r w:rsidRPr="00B73DBA">
              <w:rPr>
                <w:rFonts w:eastAsia="Calibri"/>
              </w:rPr>
              <w:t>human:</w:t>
            </w:r>
            <w:r>
              <w:rPr>
                <w:b/>
                <w:bCs/>
              </w:rPr>
              <w:t xml:space="preserve"> </w:t>
            </w:r>
            <w:r w:rsidR="00A82901">
              <w:t>injuries by glass window damage</w:t>
            </w:r>
          </w:p>
        </w:tc>
      </w:tr>
      <w:tr w:rsidR="00A82901" w14:paraId="2DFEBDF4" w14:textId="77777777" w:rsidTr="00E42F7F">
        <w:tc>
          <w:tcPr>
            <w:tcW w:w="2405" w:type="dxa"/>
          </w:tcPr>
          <w:p w14:paraId="513734F6" w14:textId="210D7339" w:rsidR="00A82901" w:rsidRDefault="00A82901" w:rsidP="00A82901">
            <w:pPr>
              <w:pStyle w:val="SingleTxtG"/>
              <w:ind w:left="0"/>
            </w:pPr>
            <w:r>
              <w:t>0</w:t>
            </w:r>
            <w:r w:rsidR="006056AB">
              <w:t>.</w:t>
            </w:r>
            <w:r>
              <w:t>16 bar</w:t>
            </w:r>
          </w:p>
        </w:tc>
        <w:tc>
          <w:tcPr>
            <w:tcW w:w="4961" w:type="dxa"/>
          </w:tcPr>
          <w:p w14:paraId="4DF7943D" w14:textId="1A4AD5D4" w:rsidR="00A82901" w:rsidRDefault="00B73DBA" w:rsidP="00A82901">
            <w:pPr>
              <w:pStyle w:val="SingleTxtG"/>
              <w:ind w:left="0"/>
            </w:pPr>
            <w:r w:rsidRPr="00B73DBA">
              <w:t>human:</w:t>
            </w:r>
            <w:r>
              <w:rPr>
                <w:b/>
                <w:bCs/>
              </w:rPr>
              <w:t xml:space="preserve"> </w:t>
            </w:r>
            <w:r w:rsidR="00A82901">
              <w:t>damage of eardrum</w:t>
            </w:r>
          </w:p>
        </w:tc>
      </w:tr>
      <w:tr w:rsidR="00A82901" w14:paraId="0C04F5D8" w14:textId="77777777" w:rsidTr="00E42F7F">
        <w:tc>
          <w:tcPr>
            <w:tcW w:w="2405" w:type="dxa"/>
          </w:tcPr>
          <w:p w14:paraId="1F3B1329" w14:textId="77A5AEC5" w:rsidR="00A82901" w:rsidRPr="00725286" w:rsidRDefault="00A82901" w:rsidP="00A82901">
            <w:pPr>
              <w:pStyle w:val="SingleTxtG"/>
              <w:ind w:left="0"/>
              <w:rPr>
                <w:b/>
                <w:bCs/>
              </w:rPr>
            </w:pPr>
            <w:r w:rsidRPr="00725286">
              <w:rPr>
                <w:b/>
                <w:bCs/>
              </w:rPr>
              <w:t>0.2 bar</w:t>
            </w:r>
          </w:p>
        </w:tc>
        <w:tc>
          <w:tcPr>
            <w:tcW w:w="4961" w:type="dxa"/>
          </w:tcPr>
          <w:p w14:paraId="071A76BA" w14:textId="2BB540B5" w:rsidR="00A82901" w:rsidRDefault="00A9772E" w:rsidP="00A82901">
            <w:pPr>
              <w:pStyle w:val="SingleTxtG"/>
              <w:ind w:left="0"/>
              <w:rPr>
                <w:b/>
                <w:bCs/>
              </w:rPr>
            </w:pPr>
            <w:r w:rsidRPr="00B73DBA">
              <w:t>human:</w:t>
            </w:r>
            <w:r>
              <w:rPr>
                <w:b/>
                <w:bCs/>
              </w:rPr>
              <w:t xml:space="preserve"> </w:t>
            </w:r>
            <w:r w:rsidR="00725286">
              <w:rPr>
                <w:b/>
                <w:bCs/>
              </w:rPr>
              <w:t>s</w:t>
            </w:r>
            <w:r w:rsidR="00A82901" w:rsidRPr="00725286">
              <w:rPr>
                <w:b/>
                <w:bCs/>
              </w:rPr>
              <w:t>erious injuries are common and fatalities may occur</w:t>
            </w:r>
          </w:p>
          <w:p w14:paraId="385ABCAC" w14:textId="220617B5" w:rsidR="00A9772E" w:rsidRPr="00725286" w:rsidRDefault="00A9772E" w:rsidP="00A82901">
            <w:pPr>
              <w:pStyle w:val="SingleTxtG"/>
              <w:ind w:left="0"/>
              <w:rPr>
                <w:b/>
                <w:bCs/>
              </w:rPr>
            </w:pPr>
            <w:r w:rsidRPr="00B73DBA">
              <w:t>environment: damage of steel frame structures; damage of</w:t>
            </w:r>
            <w:r w:rsidR="00B73DBA">
              <w:t xml:space="preserve"> 50 % of</w:t>
            </w:r>
            <w:r w:rsidRPr="00B73DBA">
              <w:t xml:space="preserve"> </w:t>
            </w:r>
            <w:r w:rsidR="00B73DBA" w:rsidRPr="00B73DBA">
              <w:t>brick-made houses</w:t>
            </w:r>
          </w:p>
        </w:tc>
      </w:tr>
      <w:tr w:rsidR="00A82901" w14:paraId="730D5AD8" w14:textId="77777777" w:rsidTr="00E42F7F">
        <w:tc>
          <w:tcPr>
            <w:tcW w:w="2405" w:type="dxa"/>
          </w:tcPr>
          <w:p w14:paraId="0F4C23D5" w14:textId="632BE4FA" w:rsidR="00A82901" w:rsidRDefault="00A82901" w:rsidP="00A82901">
            <w:pPr>
              <w:pStyle w:val="SingleTxtG"/>
              <w:ind w:left="0"/>
            </w:pPr>
            <w:r>
              <w:t>0.35 bar</w:t>
            </w:r>
          </w:p>
        </w:tc>
        <w:tc>
          <w:tcPr>
            <w:tcW w:w="4961" w:type="dxa"/>
          </w:tcPr>
          <w:p w14:paraId="4C382618" w14:textId="77777777" w:rsidR="00A82901" w:rsidRDefault="00B73DBA" w:rsidP="00A82901">
            <w:pPr>
              <w:pStyle w:val="SingleTxtG"/>
              <w:ind w:left="0"/>
            </w:pPr>
            <w:r w:rsidRPr="00B73DBA">
              <w:t>human:</w:t>
            </w:r>
            <w:r>
              <w:rPr>
                <w:b/>
                <w:bCs/>
              </w:rPr>
              <w:t xml:space="preserve"> </w:t>
            </w:r>
            <w:r w:rsidRPr="00B73DBA">
              <w:t>i</w:t>
            </w:r>
            <w:r w:rsidR="005A605F">
              <w:t xml:space="preserve">njuries are universal and </w:t>
            </w:r>
            <w:r w:rsidR="00A82901">
              <w:t>fatalities are widespread</w:t>
            </w:r>
          </w:p>
          <w:p w14:paraId="77076DD4" w14:textId="228BF90D" w:rsidR="00B73DBA" w:rsidRDefault="00B73DBA" w:rsidP="00A82901">
            <w:pPr>
              <w:pStyle w:val="SingleTxtG"/>
              <w:ind w:left="0"/>
            </w:pPr>
            <w:r w:rsidRPr="00B73DBA">
              <w:t>environment:</w:t>
            </w:r>
            <w:r>
              <w:t xml:space="preserve"> extensive damage of buildings</w:t>
            </w:r>
          </w:p>
        </w:tc>
      </w:tr>
      <w:tr w:rsidR="00B73DBA" w14:paraId="160D08EF" w14:textId="77777777" w:rsidTr="00E42F7F">
        <w:tc>
          <w:tcPr>
            <w:tcW w:w="2405" w:type="dxa"/>
          </w:tcPr>
          <w:p w14:paraId="7AED7B32" w14:textId="476B94C7" w:rsidR="00B73DBA" w:rsidRDefault="00B73DBA" w:rsidP="00A82901">
            <w:pPr>
              <w:pStyle w:val="SingleTxtG"/>
              <w:ind w:left="0"/>
            </w:pPr>
            <w:r>
              <w:t>0.5 bar</w:t>
            </w:r>
          </w:p>
        </w:tc>
        <w:tc>
          <w:tcPr>
            <w:tcW w:w="4961" w:type="dxa"/>
          </w:tcPr>
          <w:p w14:paraId="039C1638" w14:textId="25F372ED" w:rsidR="00B73DBA" w:rsidRPr="00B73DBA" w:rsidRDefault="00B73DBA" w:rsidP="00A82901">
            <w:pPr>
              <w:pStyle w:val="SingleTxtG"/>
              <w:ind w:left="0"/>
            </w:pPr>
            <w:r w:rsidRPr="00B73DBA">
              <w:t>environment:</w:t>
            </w:r>
            <w:r>
              <w:t xml:space="preserve"> collapse of 20 to 30 cm thick brick-made walls</w:t>
            </w:r>
          </w:p>
        </w:tc>
      </w:tr>
      <w:tr w:rsidR="005A605F" w14:paraId="4B9F2694" w14:textId="77777777" w:rsidTr="00E42F7F">
        <w:tc>
          <w:tcPr>
            <w:tcW w:w="2405" w:type="dxa"/>
          </w:tcPr>
          <w:p w14:paraId="0DE6EC59" w14:textId="62497F62" w:rsidR="005A605F" w:rsidRDefault="005A605F" w:rsidP="00A82901">
            <w:pPr>
              <w:pStyle w:val="SingleTxtG"/>
              <w:ind w:left="0"/>
            </w:pPr>
            <w:r>
              <w:t>0.7 bar</w:t>
            </w:r>
          </w:p>
        </w:tc>
        <w:tc>
          <w:tcPr>
            <w:tcW w:w="4961" w:type="dxa"/>
          </w:tcPr>
          <w:p w14:paraId="17BCE4E5" w14:textId="77777777" w:rsidR="005A605F" w:rsidRDefault="00B73DBA" w:rsidP="00A82901">
            <w:pPr>
              <w:pStyle w:val="SingleTxtG"/>
              <w:ind w:left="0"/>
            </w:pPr>
            <w:r w:rsidRPr="00B73DBA">
              <w:t>human:</w:t>
            </w:r>
            <w:r>
              <w:rPr>
                <w:b/>
                <w:bCs/>
              </w:rPr>
              <w:t xml:space="preserve"> </w:t>
            </w:r>
            <w:r w:rsidR="005A605F">
              <w:t>most people are killed</w:t>
            </w:r>
          </w:p>
          <w:p w14:paraId="6F05C68E" w14:textId="078CABD8" w:rsidR="00B73DBA" w:rsidRDefault="00B73DBA" w:rsidP="00A82901">
            <w:pPr>
              <w:pStyle w:val="SingleTxtG"/>
              <w:ind w:left="0"/>
            </w:pPr>
            <w:r w:rsidRPr="00B73DBA">
              <w:t>environment:</w:t>
            </w:r>
            <w:r>
              <w:t xml:space="preserve"> extensive damage of buildings</w:t>
            </w:r>
          </w:p>
        </w:tc>
      </w:tr>
      <w:tr w:rsidR="005A605F" w14:paraId="2A1DCF81" w14:textId="77777777" w:rsidTr="00E42F7F">
        <w:tc>
          <w:tcPr>
            <w:tcW w:w="2405" w:type="dxa"/>
          </w:tcPr>
          <w:p w14:paraId="3A91099E" w14:textId="092807F9" w:rsidR="005A605F" w:rsidRDefault="005A605F" w:rsidP="00A82901">
            <w:pPr>
              <w:pStyle w:val="SingleTxtG"/>
              <w:ind w:left="0"/>
            </w:pPr>
            <w:r>
              <w:t>1.4 – 2 bar</w:t>
            </w:r>
          </w:p>
        </w:tc>
        <w:tc>
          <w:tcPr>
            <w:tcW w:w="4961" w:type="dxa"/>
          </w:tcPr>
          <w:p w14:paraId="692ACD95" w14:textId="6B9C1131" w:rsidR="005A605F" w:rsidRDefault="00B73DBA" w:rsidP="00A82901">
            <w:pPr>
              <w:pStyle w:val="SingleTxtG"/>
              <w:ind w:left="0"/>
            </w:pPr>
            <w:r w:rsidRPr="00B73DBA">
              <w:t>human:</w:t>
            </w:r>
            <w:r>
              <w:rPr>
                <w:b/>
                <w:bCs/>
              </w:rPr>
              <w:t xml:space="preserve"> </w:t>
            </w:r>
            <w:r w:rsidR="005A605F">
              <w:t xml:space="preserve">99% fatalities </w:t>
            </w:r>
          </w:p>
        </w:tc>
      </w:tr>
    </w:tbl>
    <w:p w14:paraId="24BA637F" w14:textId="5E9F8A27" w:rsidR="004A1DF0" w:rsidRDefault="004A1DF0" w:rsidP="00AD484A">
      <w:pPr>
        <w:pStyle w:val="SingleTxtG"/>
        <w:spacing w:before="120"/>
        <w:rPr>
          <w:rFonts w:eastAsia="Calibri"/>
        </w:rPr>
      </w:pPr>
      <w:r>
        <w:rPr>
          <w:rFonts w:eastAsia="Calibri"/>
        </w:rPr>
        <w:t>The blow over of persons and damages of some glass window</w:t>
      </w:r>
      <w:r w:rsidR="00576C07">
        <w:rPr>
          <w:rFonts w:eastAsia="Calibri"/>
        </w:rPr>
        <w:t>s</w:t>
      </w:r>
      <w:r>
        <w:rPr>
          <w:rFonts w:eastAsia="Calibri"/>
        </w:rPr>
        <w:t xml:space="preserve"> are used to approximate the number of possibly injured persons, and for fatalities </w:t>
      </w:r>
      <w:r w:rsidR="00576C07">
        <w:rPr>
          <w:rFonts w:eastAsia="Calibri"/>
        </w:rPr>
        <w:t>the</w:t>
      </w:r>
      <w:r>
        <w:rPr>
          <w:rFonts w:eastAsia="Calibri"/>
        </w:rPr>
        <w:t xml:space="preserve"> lower </w:t>
      </w:r>
      <w:r w:rsidR="00576C07">
        <w:rPr>
          <w:rFonts w:eastAsia="Calibri"/>
        </w:rPr>
        <w:t>limit</w:t>
      </w:r>
      <w:r>
        <w:rPr>
          <w:rFonts w:eastAsia="Calibri"/>
        </w:rPr>
        <w:t xml:space="preserve"> is used.</w:t>
      </w:r>
      <w:r w:rsidRPr="004A1DF0">
        <w:rPr>
          <w:rFonts w:eastAsia="Calibri"/>
        </w:rPr>
        <w:t xml:space="preserve"> </w:t>
      </w:r>
      <w:r>
        <w:rPr>
          <w:rFonts w:eastAsia="Calibri"/>
        </w:rPr>
        <w:t>Knowing that there is a variation in model approximation of blast waves, guiding values are illustrated for different gases in the following figure.</w:t>
      </w:r>
      <w:r w:rsidR="00270CC4">
        <w:rPr>
          <w:rFonts w:eastAsia="Calibri"/>
        </w:rPr>
        <w:t xml:space="preserve"> The influence of gas properties is significant.</w:t>
      </w:r>
      <w:r w:rsidR="00FA18AC">
        <w:rPr>
          <w:rFonts w:eastAsia="Calibri"/>
        </w:rPr>
        <w:t xml:space="preserve"> Here the common calculation of an TNT-equivalent has not been used. It overestimates the consequences.</w:t>
      </w:r>
    </w:p>
    <w:p w14:paraId="2671CDB5" w14:textId="54C5A2B2" w:rsidR="004A1DF0" w:rsidRDefault="00FA1EC3" w:rsidP="00A82901">
      <w:pPr>
        <w:pStyle w:val="SingleTxtG"/>
        <w:rPr>
          <w:rFonts w:eastAsia="Calibri"/>
        </w:rPr>
      </w:pPr>
      <w:r>
        <w:rPr>
          <w:rFonts w:eastAsia="Calibri"/>
          <w:noProof/>
          <w:lang w:val="de-DE" w:eastAsia="de-DE"/>
        </w:rPr>
        <w:lastRenderedPageBreak/>
        <w:drawing>
          <wp:inline distT="0" distB="0" distL="0" distR="0" wp14:anchorId="2905BD32" wp14:editId="1A6C0129">
            <wp:extent cx="4708281" cy="306070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6-safety distanc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8387" cy="3067269"/>
                    </a:xfrm>
                    <a:prstGeom prst="rect">
                      <a:avLst/>
                    </a:prstGeom>
                  </pic:spPr>
                </pic:pic>
              </a:graphicData>
            </a:graphic>
          </wp:inline>
        </w:drawing>
      </w:r>
    </w:p>
    <w:p w14:paraId="14364CF2" w14:textId="01365801" w:rsidR="00191301" w:rsidRDefault="00270CC4" w:rsidP="00283412">
      <w:pPr>
        <w:pStyle w:val="SingleTxtG"/>
        <w:rPr>
          <w:rFonts w:eastAsia="Calibri"/>
        </w:rPr>
      </w:pPr>
      <w:r>
        <w:rPr>
          <w:rFonts w:eastAsia="Calibri"/>
        </w:rPr>
        <w:t xml:space="preserve">The </w:t>
      </w:r>
      <w:r w:rsidR="00FA18AC">
        <w:rPr>
          <w:rFonts w:eastAsia="Calibri"/>
        </w:rPr>
        <w:t xml:space="preserve">consequence of a worst-case scenario and therefore the criteria to call it a </w:t>
      </w:r>
      <w:r>
        <w:rPr>
          <w:rFonts w:eastAsia="Calibri"/>
        </w:rPr>
        <w:t xml:space="preserve">catastrophe depends largely on the population density and its lethality due to pressure waves. </w:t>
      </w:r>
      <w:r w:rsidR="00490687">
        <w:rPr>
          <w:rFonts w:eastAsia="Calibri"/>
        </w:rPr>
        <w:t>Higher pressure volume products result in higher overpress</w:t>
      </w:r>
      <w:r w:rsidR="00C91A04">
        <w:rPr>
          <w:rFonts w:eastAsia="Calibri"/>
        </w:rPr>
        <w:t xml:space="preserve">ures and a larger risk area. </w:t>
      </w:r>
      <w:r w:rsidR="00283412">
        <w:rPr>
          <w:rFonts w:eastAsia="Calibri"/>
        </w:rPr>
        <w:t>The</w:t>
      </w:r>
      <w:r w:rsidR="00C91A04">
        <w:rPr>
          <w:rFonts w:eastAsia="Calibri"/>
        </w:rPr>
        <w:t xml:space="preserve"> higher overpressures cause a higher lethality in the near field of the accident. As secondary consequences, e.g. splinters</w:t>
      </w:r>
      <w:r w:rsidR="00F05514">
        <w:rPr>
          <w:rFonts w:eastAsia="Calibri"/>
        </w:rPr>
        <w:t xml:space="preserve"> from the pressure receptacle itself o</w:t>
      </w:r>
      <w:r w:rsidR="0040311D">
        <w:rPr>
          <w:rFonts w:eastAsia="Calibri"/>
        </w:rPr>
        <w:t>r</w:t>
      </w:r>
      <w:r w:rsidR="00F05514">
        <w:rPr>
          <w:rFonts w:eastAsia="Calibri"/>
        </w:rPr>
        <w:t xml:space="preserve"> from impacted buildings</w:t>
      </w:r>
      <w:r w:rsidR="00C91A04">
        <w:rPr>
          <w:rFonts w:eastAsia="Calibri"/>
        </w:rPr>
        <w:t>, are not part in th</w:t>
      </w:r>
      <w:r w:rsidR="00F05514">
        <w:rPr>
          <w:rFonts w:eastAsia="Calibri"/>
        </w:rPr>
        <w:t>is</w:t>
      </w:r>
      <w:r w:rsidR="00C91A04">
        <w:rPr>
          <w:rFonts w:eastAsia="Calibri"/>
        </w:rPr>
        <w:t xml:space="preserve"> </w:t>
      </w:r>
      <w:r w:rsidR="00F05514">
        <w:rPr>
          <w:rFonts w:eastAsia="Calibri"/>
        </w:rPr>
        <w:t xml:space="preserve">analysis of </w:t>
      </w:r>
      <w:r w:rsidR="00C91A04">
        <w:rPr>
          <w:rFonts w:eastAsia="Calibri"/>
        </w:rPr>
        <w:t>fatalities</w:t>
      </w:r>
      <w:r w:rsidR="00F05514">
        <w:rPr>
          <w:rFonts w:eastAsia="Calibri"/>
        </w:rPr>
        <w:t>. T</w:t>
      </w:r>
      <w:r w:rsidR="00C91A04">
        <w:rPr>
          <w:rFonts w:eastAsia="Calibri"/>
        </w:rPr>
        <w:t>hose fatality lines are lower boundaries. The upper boundary is the total number of people inside the risk area.</w:t>
      </w:r>
      <w:r w:rsidR="00C37E1B">
        <w:rPr>
          <w:rFonts w:eastAsia="Calibri"/>
        </w:rPr>
        <w:t xml:space="preserve"> </w:t>
      </w:r>
      <w:r w:rsidR="00B30C01">
        <w:rPr>
          <w:rFonts w:eastAsia="Calibri"/>
        </w:rPr>
        <w:t xml:space="preserve">Both is shown in the figure below. </w:t>
      </w:r>
      <w:r w:rsidR="00C37E1B">
        <w:rPr>
          <w:rFonts w:eastAsia="Calibri"/>
        </w:rPr>
        <w:t xml:space="preserve">The spread </w:t>
      </w:r>
      <w:r w:rsidR="00F1562F">
        <w:rPr>
          <w:rFonts w:eastAsia="Calibri"/>
        </w:rPr>
        <w:t xml:space="preserve">(big arrow) </w:t>
      </w:r>
      <w:r w:rsidR="00C37E1B">
        <w:rPr>
          <w:rFonts w:eastAsia="Calibri"/>
        </w:rPr>
        <w:t>indicates the possible size of the catastrophe</w:t>
      </w:r>
      <w:r w:rsidR="00F1562F">
        <w:rPr>
          <w:rFonts w:eastAsia="Calibri"/>
        </w:rPr>
        <w:t xml:space="preserve"> for the proposed 1.5 Mio bar litre</w:t>
      </w:r>
      <w:r w:rsidR="00C37E1B">
        <w:rPr>
          <w:rFonts w:eastAsia="Calibri"/>
        </w:rPr>
        <w:t xml:space="preserve">. </w:t>
      </w:r>
      <w:r w:rsidR="00893E60">
        <w:rPr>
          <w:rFonts w:eastAsia="Calibri"/>
        </w:rPr>
        <w:t>A</w:t>
      </w:r>
      <w:r w:rsidR="00C37E1B">
        <w:rPr>
          <w:rFonts w:eastAsia="Calibri"/>
        </w:rPr>
        <w:t xml:space="preserve"> population density</w:t>
      </w:r>
      <w:r w:rsidR="00893E60">
        <w:rPr>
          <w:rFonts w:eastAsia="Calibri"/>
        </w:rPr>
        <w:t xml:space="preserve"> of 4000 people/km² is chosen for the following figure.</w:t>
      </w:r>
      <w:r w:rsidR="00AB6D08">
        <w:rPr>
          <w:rFonts w:eastAsia="Calibri"/>
        </w:rPr>
        <w:t xml:space="preserve"> This density represents the average density in </w:t>
      </w:r>
      <w:r w:rsidR="00F05514">
        <w:rPr>
          <w:rFonts w:eastAsia="Calibri"/>
        </w:rPr>
        <w:t>Berlin, which stands for a big city with a lot of forest and water areas. Most cities will have a (much) high population density with an adequate higher consequence.</w:t>
      </w:r>
    </w:p>
    <w:p w14:paraId="64120C49" w14:textId="56F79AEB" w:rsidR="00386DF4" w:rsidRDefault="00B30C01" w:rsidP="00CD4A46">
      <w:pPr>
        <w:pStyle w:val="SingleTxtG"/>
        <w:rPr>
          <w:noProof/>
        </w:rPr>
      </w:pPr>
      <w:r>
        <w:rPr>
          <w:noProof/>
          <w:lang w:val="de-DE" w:eastAsia="de-DE"/>
        </w:rPr>
        <w:drawing>
          <wp:inline distT="0" distB="0" distL="0" distR="0" wp14:anchorId="0A73E1EA" wp14:editId="75219190">
            <wp:extent cx="4677246" cy="294008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talities-radius-dia 2020-11-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931" cy="2954968"/>
                    </a:xfrm>
                    <a:prstGeom prst="rect">
                      <a:avLst/>
                    </a:prstGeom>
                  </pic:spPr>
                </pic:pic>
              </a:graphicData>
            </a:graphic>
          </wp:inline>
        </w:drawing>
      </w:r>
      <w:r w:rsidR="00C91A04">
        <w:rPr>
          <w:noProof/>
        </w:rPr>
        <w:t xml:space="preserve"> </w:t>
      </w:r>
      <w:r w:rsidR="00490687">
        <w:rPr>
          <w:noProof/>
        </w:rPr>
        <w:t xml:space="preserve"> </w:t>
      </w:r>
    </w:p>
    <w:p w14:paraId="28E2048B" w14:textId="3CC38CF2" w:rsidR="00C37E1B" w:rsidRDefault="00AB6D08" w:rsidP="00283412">
      <w:pPr>
        <w:pStyle w:val="SingleTxtG"/>
        <w:rPr>
          <w:rFonts w:eastAsia="Calibri"/>
        </w:rPr>
      </w:pPr>
      <w:r w:rsidRPr="00283412">
        <w:rPr>
          <w:rFonts w:eastAsia="Calibri"/>
        </w:rPr>
        <w:t>In conclusion</w:t>
      </w:r>
      <w:r w:rsidR="00283412" w:rsidRPr="00283412">
        <w:rPr>
          <w:rFonts w:eastAsia="Calibri"/>
        </w:rPr>
        <w:t>,</w:t>
      </w:r>
      <w:r w:rsidRPr="00283412">
        <w:rPr>
          <w:rFonts w:eastAsia="Calibri"/>
        </w:rPr>
        <w:t xml:space="preserve"> for average gas properties and an average city population density a value of 1.5 million bar litre for the product of </w:t>
      </w:r>
      <w:r>
        <w:rPr>
          <w:rFonts w:eastAsia="Calibri"/>
        </w:rPr>
        <w:t xml:space="preserve">test pressure times water capacity is appropriate to limit the size of consequences in terms of fatalities to 45 in general. As some gases may cause worse </w:t>
      </w:r>
      <w:r w:rsidR="00283412">
        <w:rPr>
          <w:rFonts w:eastAsia="Calibri"/>
        </w:rPr>
        <w:t xml:space="preserve">consequences, an additional limit for those gases will be proposed </w:t>
      </w:r>
      <w:r w:rsidR="00283412" w:rsidRPr="00283412">
        <w:rPr>
          <w:rFonts w:eastAsia="Calibri"/>
        </w:rPr>
        <w:t>to amend packing instruction P200.</w:t>
      </w:r>
    </w:p>
    <w:p w14:paraId="5DBC1485" w14:textId="0DE49FAE" w:rsidR="00F05514" w:rsidRDefault="00AD484A" w:rsidP="00AD484A">
      <w:pPr>
        <w:pStyle w:val="H23G"/>
        <w:rPr>
          <w:rFonts w:eastAsia="Calibri"/>
        </w:rPr>
      </w:pPr>
      <w:r>
        <w:rPr>
          <w:rFonts w:eastAsia="Calibri"/>
        </w:rPr>
        <w:lastRenderedPageBreak/>
        <w:tab/>
      </w:r>
      <w:r>
        <w:rPr>
          <w:rFonts w:eastAsia="Calibri"/>
        </w:rPr>
        <w:tab/>
      </w:r>
      <w:r>
        <w:rPr>
          <w:rFonts w:eastAsia="Calibri"/>
        </w:rPr>
        <w:tab/>
      </w:r>
      <w:r w:rsidR="00F05514">
        <w:rPr>
          <w:rFonts w:eastAsia="Calibri"/>
        </w:rPr>
        <w:t>Summary</w:t>
      </w:r>
    </w:p>
    <w:p w14:paraId="00457E27" w14:textId="55E4C751" w:rsidR="00F05514" w:rsidRDefault="00F05514" w:rsidP="00F05514">
      <w:pPr>
        <w:pStyle w:val="SingleTxtG"/>
        <w:numPr>
          <w:ilvl w:val="0"/>
          <w:numId w:val="41"/>
        </w:numPr>
        <w:rPr>
          <w:rFonts w:eastAsia="Calibri"/>
        </w:rPr>
      </w:pPr>
      <w:r>
        <w:rPr>
          <w:rFonts w:eastAsia="Calibri"/>
        </w:rPr>
        <w:t>We are convinced that the introduction of a pV-</w:t>
      </w:r>
      <w:r w:rsidR="005F01CD">
        <w:rPr>
          <w:rFonts w:eastAsia="Calibri"/>
        </w:rPr>
        <w:t xml:space="preserve">limit </w:t>
      </w:r>
      <w:r>
        <w:rPr>
          <w:rFonts w:eastAsia="Calibri"/>
        </w:rPr>
        <w:t>is a necessary topic</w:t>
      </w:r>
      <w:r w:rsidR="00F1562F">
        <w:rPr>
          <w:rFonts w:eastAsia="Calibri"/>
        </w:rPr>
        <w:t xml:space="preserve"> to be decided here and not individually in standardisation projects</w:t>
      </w:r>
      <w:r>
        <w:rPr>
          <w:rFonts w:eastAsia="Calibri"/>
        </w:rPr>
        <w:t>.</w:t>
      </w:r>
    </w:p>
    <w:p w14:paraId="211432CA" w14:textId="0BB92F2D" w:rsidR="005F01CD" w:rsidRDefault="005F01CD" w:rsidP="00F05514">
      <w:pPr>
        <w:pStyle w:val="SingleTxtG"/>
        <w:numPr>
          <w:ilvl w:val="0"/>
          <w:numId w:val="41"/>
        </w:numPr>
        <w:rPr>
          <w:rFonts w:eastAsia="Calibri"/>
        </w:rPr>
      </w:pPr>
      <w:r>
        <w:rPr>
          <w:rFonts w:eastAsia="Calibri"/>
        </w:rPr>
        <w:t xml:space="preserve">We think that this limit </w:t>
      </w:r>
      <w:r w:rsidR="00F1562F">
        <w:rPr>
          <w:rFonts w:eastAsia="Calibri"/>
        </w:rPr>
        <w:t xml:space="preserve">should be </w:t>
      </w:r>
      <w:r>
        <w:rPr>
          <w:rFonts w:eastAsia="Calibri"/>
        </w:rPr>
        <w:t xml:space="preserve">introduced in the definition </w:t>
      </w:r>
      <w:r w:rsidR="00F1562F">
        <w:rPr>
          <w:rFonts w:eastAsia="Calibri"/>
        </w:rPr>
        <w:t xml:space="preserve">and </w:t>
      </w:r>
      <w:r>
        <w:rPr>
          <w:rFonts w:eastAsia="Calibri"/>
        </w:rPr>
        <w:t xml:space="preserve">should be based on the </w:t>
      </w:r>
      <w:r w:rsidR="00F1562F">
        <w:rPr>
          <w:rFonts w:eastAsia="Calibri"/>
        </w:rPr>
        <w:t xml:space="preserve">analysis for a gas with </w:t>
      </w:r>
      <w:r>
        <w:rPr>
          <w:rFonts w:eastAsia="Calibri"/>
        </w:rPr>
        <w:t xml:space="preserve">relatively low consequence </w:t>
      </w:r>
      <w:r w:rsidR="00F1562F">
        <w:rPr>
          <w:rFonts w:eastAsia="Calibri"/>
        </w:rPr>
        <w:t xml:space="preserve">like </w:t>
      </w:r>
      <w:r>
        <w:rPr>
          <w:rFonts w:eastAsia="Calibri"/>
        </w:rPr>
        <w:t>hydrogen.</w:t>
      </w:r>
    </w:p>
    <w:p w14:paraId="40D4C5C7" w14:textId="50550D3F" w:rsidR="005F01CD" w:rsidRDefault="005F01CD" w:rsidP="00F05514">
      <w:pPr>
        <w:pStyle w:val="SingleTxtG"/>
        <w:numPr>
          <w:ilvl w:val="0"/>
          <w:numId w:val="41"/>
        </w:numPr>
        <w:rPr>
          <w:rFonts w:eastAsia="Calibri"/>
        </w:rPr>
      </w:pPr>
      <w:r>
        <w:rPr>
          <w:rFonts w:eastAsia="Calibri"/>
        </w:rPr>
        <w:t>If necessary, the pV-limit may by reduced</w:t>
      </w:r>
      <w:r w:rsidR="00F1562F">
        <w:rPr>
          <w:rFonts w:eastAsia="Calibri"/>
        </w:rPr>
        <w:t xml:space="preserve"> further</w:t>
      </w:r>
      <w:r>
        <w:rPr>
          <w:rFonts w:eastAsia="Calibri"/>
        </w:rPr>
        <w:t xml:space="preserve"> to lower figures </w:t>
      </w:r>
      <w:r w:rsidR="00F1562F">
        <w:rPr>
          <w:rFonts w:eastAsia="Calibri"/>
        </w:rPr>
        <w:t xml:space="preserve">for individual gases </w:t>
      </w:r>
      <w:r>
        <w:rPr>
          <w:rFonts w:eastAsia="Calibri"/>
        </w:rPr>
        <w:t xml:space="preserve">in the tables in P 200 where </w:t>
      </w:r>
      <w:r w:rsidR="00F1562F">
        <w:rPr>
          <w:rFonts w:eastAsia="Calibri"/>
        </w:rPr>
        <w:t xml:space="preserve">a </w:t>
      </w:r>
      <w:r>
        <w:rPr>
          <w:rFonts w:eastAsia="Calibri"/>
        </w:rPr>
        <w:t xml:space="preserve">gas show a high consequence </w:t>
      </w:r>
      <w:r w:rsidR="00F1562F">
        <w:rPr>
          <w:rFonts w:eastAsia="Calibri"/>
        </w:rPr>
        <w:t xml:space="preserve">than hydrogen </w:t>
      </w:r>
      <w:r>
        <w:rPr>
          <w:rFonts w:eastAsia="Calibri"/>
        </w:rPr>
        <w:t>at a given pV-product (e.g. methane/CNG or nitrogen)</w:t>
      </w:r>
      <w:r w:rsidR="00F1562F">
        <w:rPr>
          <w:rFonts w:eastAsia="Calibri"/>
        </w:rPr>
        <w:t>.</w:t>
      </w:r>
    </w:p>
    <w:p w14:paraId="51B044F4" w14:textId="781923D0" w:rsidR="00F05514" w:rsidRDefault="00F05514" w:rsidP="00F05514">
      <w:pPr>
        <w:pStyle w:val="SingleTxtG"/>
        <w:numPr>
          <w:ilvl w:val="0"/>
          <w:numId w:val="41"/>
        </w:numPr>
        <w:rPr>
          <w:rFonts w:eastAsia="Calibri"/>
        </w:rPr>
      </w:pPr>
      <w:r>
        <w:rPr>
          <w:rFonts w:eastAsia="Calibri"/>
        </w:rPr>
        <w:t xml:space="preserve">We are open to discuss the figure of the acceptable pV-limit </w:t>
      </w:r>
      <w:r w:rsidR="005F01CD">
        <w:rPr>
          <w:rFonts w:eastAsia="Calibri"/>
        </w:rPr>
        <w:t xml:space="preserve">on the basis of </w:t>
      </w:r>
      <w:r w:rsidR="00F1562F">
        <w:rPr>
          <w:rFonts w:eastAsia="Calibri"/>
        </w:rPr>
        <w:t xml:space="preserve">consequence </w:t>
      </w:r>
      <w:r w:rsidR="005F01CD">
        <w:rPr>
          <w:rFonts w:eastAsia="Calibri"/>
        </w:rPr>
        <w:t xml:space="preserve">analysis and welcome </w:t>
      </w:r>
      <w:r w:rsidR="00B400D7">
        <w:rPr>
          <w:rFonts w:eastAsia="Calibri"/>
        </w:rPr>
        <w:t xml:space="preserve">each </w:t>
      </w:r>
      <w:r w:rsidR="00F1562F">
        <w:rPr>
          <w:rFonts w:eastAsia="Calibri"/>
        </w:rPr>
        <w:t xml:space="preserve">contribution to this </w:t>
      </w:r>
      <w:r w:rsidR="00B400D7">
        <w:rPr>
          <w:rFonts w:eastAsia="Calibri"/>
        </w:rPr>
        <w:t>discussion</w:t>
      </w:r>
      <w:r w:rsidR="005F01CD">
        <w:rPr>
          <w:rFonts w:eastAsia="Calibri"/>
        </w:rPr>
        <w:t>.</w:t>
      </w:r>
    </w:p>
    <w:p w14:paraId="4D0D0BC6" w14:textId="77777777" w:rsidR="00893E60" w:rsidRPr="00283412" w:rsidRDefault="00893E60" w:rsidP="00CD4A46">
      <w:pPr>
        <w:pStyle w:val="SingleTxtG"/>
        <w:rPr>
          <w:rFonts w:eastAsia="Calibri"/>
        </w:rPr>
      </w:pPr>
    </w:p>
    <w:p w14:paraId="59E4EFA8" w14:textId="21B1ABE7" w:rsidR="00FA53CA" w:rsidRPr="002A3A9C" w:rsidRDefault="003A563A" w:rsidP="00FA53CA">
      <w:pPr>
        <w:pStyle w:val="HChG"/>
        <w:rPr>
          <w:bCs/>
        </w:rPr>
      </w:pPr>
      <w:r>
        <w:rPr>
          <w:noProof/>
          <w:lang w:val="de-DE" w:eastAsia="de-DE"/>
        </w:rPr>
        <w:lastRenderedPageBreak/>
        <w:drawing>
          <wp:anchor distT="0" distB="0" distL="114300" distR="114300" simplePos="0" relativeHeight="251659264" behindDoc="0" locked="0" layoutInCell="1" allowOverlap="1" wp14:anchorId="2535F7B2" wp14:editId="3DF9DB67">
            <wp:simplePos x="0" y="0"/>
            <wp:positionH relativeFrom="column">
              <wp:posOffset>-2540</wp:posOffset>
            </wp:positionH>
            <wp:positionV relativeFrom="paragraph">
              <wp:posOffset>3798570</wp:posOffset>
            </wp:positionV>
            <wp:extent cx="6120765" cy="3665855"/>
            <wp:effectExtent l="57150" t="57150" r="108585" b="10604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366585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0" locked="0" layoutInCell="1" allowOverlap="1" wp14:anchorId="76A1172D" wp14:editId="4430A65F">
            <wp:simplePos x="0" y="0"/>
            <wp:positionH relativeFrom="column">
              <wp:posOffset>3810</wp:posOffset>
            </wp:positionH>
            <wp:positionV relativeFrom="paragraph">
              <wp:posOffset>604520</wp:posOffset>
            </wp:positionV>
            <wp:extent cx="6120765" cy="3014980"/>
            <wp:effectExtent l="57150" t="57150" r="108585" b="10922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01498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D4A46" w:rsidRPr="00191301">
        <w:tab/>
      </w:r>
      <w:r w:rsidR="00CD4A46" w:rsidRPr="00191301">
        <w:tab/>
      </w:r>
      <w:r w:rsidR="007B1FC0" w:rsidRPr="0030495D">
        <w:rPr>
          <w:sz w:val="24"/>
          <w:szCs w:val="18"/>
        </w:rPr>
        <w:t xml:space="preserve">Slides </w:t>
      </w:r>
      <w:r w:rsidR="0030495D" w:rsidRPr="0030495D">
        <w:rPr>
          <w:sz w:val="24"/>
          <w:szCs w:val="18"/>
        </w:rPr>
        <w:t xml:space="preserve">provided in the online session </w:t>
      </w:r>
      <w:r w:rsidR="0030495D">
        <w:rPr>
          <w:sz w:val="24"/>
          <w:szCs w:val="18"/>
        </w:rPr>
        <w:t>during the</w:t>
      </w:r>
      <w:r w:rsidR="0030495D" w:rsidRPr="0030495D">
        <w:rPr>
          <w:bCs/>
          <w:sz w:val="24"/>
          <w:szCs w:val="18"/>
          <w:lang w:val="en-US"/>
        </w:rPr>
        <w:t xml:space="preserve"> </w:t>
      </w:r>
      <w:r w:rsidR="0030495D" w:rsidRPr="0030495D">
        <w:rPr>
          <w:bCs/>
          <w:sz w:val="24"/>
          <w:szCs w:val="18"/>
        </w:rPr>
        <w:t>57th session of TDG Sub-Committee</w:t>
      </w:r>
      <w:r w:rsidR="0030495D" w:rsidRPr="0030495D">
        <w:rPr>
          <w:sz w:val="24"/>
          <w:szCs w:val="18"/>
        </w:rPr>
        <w:t xml:space="preserve"> for </w:t>
      </w:r>
      <w:r w:rsidR="007B1FC0" w:rsidRPr="0030495D">
        <w:rPr>
          <w:bCs/>
          <w:sz w:val="24"/>
          <w:szCs w:val="18"/>
          <w:lang w:val="en-US"/>
        </w:rPr>
        <w:t xml:space="preserve">explanations on the technical background </w:t>
      </w:r>
    </w:p>
    <w:p w14:paraId="62141A39" w14:textId="3ECAD992" w:rsidR="00D74F4C" w:rsidRDefault="00D74F4C" w:rsidP="007B1FC0">
      <w:pPr>
        <w:pStyle w:val="HChG"/>
        <w:rPr>
          <w:bCs/>
          <w:lang w:val="en-US"/>
        </w:rPr>
      </w:pPr>
    </w:p>
    <w:p w14:paraId="62D26099" w14:textId="0FD49C1D" w:rsidR="00D74F4C" w:rsidRPr="002A3A9C" w:rsidRDefault="00D74F4C" w:rsidP="003A563A">
      <w:pPr>
        <w:pStyle w:val="HChG"/>
        <w:ind w:left="0" w:firstLine="0"/>
        <w:rPr>
          <w:bCs/>
        </w:rPr>
      </w:pPr>
    </w:p>
    <w:p w14:paraId="51D5A7D3" w14:textId="373AD329" w:rsidR="00D74F4C" w:rsidRPr="002A3A9C" w:rsidRDefault="00D74F4C" w:rsidP="007B1FC0">
      <w:pPr>
        <w:pStyle w:val="HChG"/>
        <w:rPr>
          <w:bCs/>
        </w:rPr>
      </w:pPr>
      <w:r>
        <w:rPr>
          <w:noProof/>
          <w:lang w:val="de-DE" w:eastAsia="de-DE"/>
        </w:rPr>
        <w:lastRenderedPageBreak/>
        <w:drawing>
          <wp:anchor distT="0" distB="0" distL="114300" distR="114300" simplePos="0" relativeHeight="251661312" behindDoc="0" locked="0" layoutInCell="1" allowOverlap="1" wp14:anchorId="56BD8DAD" wp14:editId="06D8983E">
            <wp:simplePos x="0" y="0"/>
            <wp:positionH relativeFrom="column">
              <wp:posOffset>29210</wp:posOffset>
            </wp:positionH>
            <wp:positionV relativeFrom="paragraph">
              <wp:posOffset>3919220</wp:posOffset>
            </wp:positionV>
            <wp:extent cx="6120765" cy="3670935"/>
            <wp:effectExtent l="57150" t="57150" r="108585" b="12001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36709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0" locked="0" layoutInCell="1" allowOverlap="1" wp14:anchorId="7BE0C295" wp14:editId="7E512ED6">
            <wp:simplePos x="0" y="0"/>
            <wp:positionH relativeFrom="column">
              <wp:posOffset>29210</wp:posOffset>
            </wp:positionH>
            <wp:positionV relativeFrom="paragraph">
              <wp:posOffset>1270</wp:posOffset>
            </wp:positionV>
            <wp:extent cx="6120765" cy="3705225"/>
            <wp:effectExtent l="57150" t="57150" r="108585" b="1238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370522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A7FDB2C" w14:textId="3CC394DE" w:rsidR="00D74F4C" w:rsidRDefault="00D74F4C" w:rsidP="00D74F4C">
      <w:pPr>
        <w:rPr>
          <w:lang w:val="de-DE"/>
        </w:rPr>
      </w:pPr>
      <w:r>
        <w:rPr>
          <w:noProof/>
          <w:lang w:val="de-DE" w:eastAsia="de-DE"/>
        </w:rPr>
        <w:lastRenderedPageBreak/>
        <w:drawing>
          <wp:inline distT="0" distB="0" distL="0" distR="0" wp14:anchorId="21539280" wp14:editId="6F9B0A20">
            <wp:extent cx="6120765" cy="3622040"/>
            <wp:effectExtent l="57150" t="57150" r="108585" b="1117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6220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632E962" w14:textId="1B819120" w:rsidR="00D74F4C" w:rsidRDefault="00D74F4C" w:rsidP="00D74F4C">
      <w:pPr>
        <w:rPr>
          <w:lang w:val="de-DE"/>
        </w:rPr>
      </w:pPr>
    </w:p>
    <w:p w14:paraId="54A93CF6" w14:textId="02815A9B" w:rsidR="00D74F4C" w:rsidRDefault="00D74F4C" w:rsidP="00D74F4C">
      <w:pPr>
        <w:rPr>
          <w:lang w:val="de-DE"/>
        </w:rPr>
      </w:pPr>
      <w:r>
        <w:rPr>
          <w:noProof/>
          <w:lang w:val="de-DE" w:eastAsia="de-DE"/>
        </w:rPr>
        <w:drawing>
          <wp:inline distT="0" distB="0" distL="0" distR="0" wp14:anchorId="351A2514" wp14:editId="79DBDB84">
            <wp:extent cx="6120765" cy="3551555"/>
            <wp:effectExtent l="57150" t="57150" r="108585" b="1060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55155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03B2036B" w14:textId="0F5F9528" w:rsidR="00D74F4C" w:rsidRDefault="003A563A" w:rsidP="00D74F4C">
      <w:pPr>
        <w:rPr>
          <w:lang w:val="de-DE"/>
        </w:rPr>
      </w:pPr>
      <w:r>
        <w:rPr>
          <w:noProof/>
          <w:lang w:val="de-DE" w:eastAsia="de-DE"/>
        </w:rPr>
        <w:lastRenderedPageBreak/>
        <w:drawing>
          <wp:inline distT="0" distB="0" distL="0" distR="0" wp14:anchorId="0C088E86" wp14:editId="1F072B55">
            <wp:extent cx="6120765" cy="3637280"/>
            <wp:effectExtent l="57150" t="57150" r="108585" b="1155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63728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0E9EAE8" w14:textId="0A02CF07" w:rsidR="003A563A" w:rsidRDefault="003A563A" w:rsidP="00D74F4C">
      <w:pPr>
        <w:rPr>
          <w:lang w:val="de-DE"/>
        </w:rPr>
      </w:pPr>
      <w:r>
        <w:rPr>
          <w:noProof/>
          <w:lang w:val="de-DE" w:eastAsia="de-DE"/>
        </w:rPr>
        <w:drawing>
          <wp:inline distT="0" distB="0" distL="0" distR="0" wp14:anchorId="1E62B5FA" wp14:editId="0F00A07E">
            <wp:extent cx="6120765" cy="3653790"/>
            <wp:effectExtent l="57150" t="57150" r="108585" b="1181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6537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8CCF87D" w14:textId="27246246" w:rsidR="003A563A" w:rsidRDefault="003A563A" w:rsidP="00D74F4C">
      <w:pPr>
        <w:rPr>
          <w:lang w:val="de-DE"/>
        </w:rPr>
      </w:pPr>
      <w:r>
        <w:rPr>
          <w:noProof/>
          <w:lang w:val="de-DE" w:eastAsia="de-DE"/>
        </w:rPr>
        <w:lastRenderedPageBreak/>
        <w:drawing>
          <wp:inline distT="0" distB="0" distL="0" distR="0" wp14:anchorId="6C7A3D36" wp14:editId="5B2C669E">
            <wp:extent cx="6120765" cy="3588385"/>
            <wp:effectExtent l="57150" t="57150" r="108585" b="1073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58838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39DAED73" w14:textId="5640FA1F" w:rsidR="003A563A" w:rsidRDefault="003A563A" w:rsidP="00D74F4C">
      <w:pPr>
        <w:rPr>
          <w:lang w:val="de-DE"/>
        </w:rPr>
      </w:pPr>
      <w:r>
        <w:rPr>
          <w:noProof/>
          <w:lang w:val="de-DE" w:eastAsia="de-DE"/>
        </w:rPr>
        <w:drawing>
          <wp:inline distT="0" distB="0" distL="0" distR="0" wp14:anchorId="04A784DE" wp14:editId="4F6AAA3C">
            <wp:extent cx="6120765" cy="3668395"/>
            <wp:effectExtent l="57150" t="57150" r="108585" b="1225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66839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5C867BB" w14:textId="7E211B12" w:rsidR="003A563A" w:rsidRDefault="003A563A" w:rsidP="00D74F4C">
      <w:pPr>
        <w:rPr>
          <w:lang w:val="de-DE"/>
        </w:rPr>
      </w:pPr>
      <w:r>
        <w:rPr>
          <w:noProof/>
          <w:lang w:val="de-DE" w:eastAsia="de-DE"/>
        </w:rPr>
        <w:lastRenderedPageBreak/>
        <w:drawing>
          <wp:inline distT="0" distB="0" distL="0" distR="0" wp14:anchorId="0958AF92" wp14:editId="358D9515">
            <wp:extent cx="6120765" cy="3648075"/>
            <wp:effectExtent l="57150" t="57150" r="108585" b="1238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64807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57187A66" w14:textId="7DA53426" w:rsidR="003A563A" w:rsidRDefault="003A563A" w:rsidP="00D74F4C">
      <w:pPr>
        <w:rPr>
          <w:lang w:val="de-DE"/>
        </w:rPr>
      </w:pPr>
      <w:r>
        <w:rPr>
          <w:noProof/>
          <w:lang w:val="de-DE" w:eastAsia="de-DE"/>
        </w:rPr>
        <w:drawing>
          <wp:inline distT="0" distB="0" distL="0" distR="0" wp14:anchorId="3113BFB3" wp14:editId="01BB4726">
            <wp:extent cx="6120765" cy="3661410"/>
            <wp:effectExtent l="57150" t="57150" r="108585" b="1104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66141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45CE9C00" w14:textId="5F2918BB" w:rsidR="003A563A" w:rsidRDefault="003A563A" w:rsidP="00D74F4C">
      <w:pPr>
        <w:rPr>
          <w:lang w:val="de-DE"/>
        </w:rPr>
      </w:pPr>
      <w:r>
        <w:rPr>
          <w:noProof/>
          <w:lang w:val="de-DE" w:eastAsia="de-DE"/>
        </w:rPr>
        <w:lastRenderedPageBreak/>
        <w:drawing>
          <wp:inline distT="0" distB="0" distL="0" distR="0" wp14:anchorId="6384327F" wp14:editId="2F950394">
            <wp:extent cx="6120765" cy="3562350"/>
            <wp:effectExtent l="57150" t="57150" r="108585" b="11430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56235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46A69467" w14:textId="65B4D76E" w:rsidR="003A563A" w:rsidRDefault="003A563A" w:rsidP="00D74F4C">
      <w:pPr>
        <w:rPr>
          <w:lang w:val="de-DE"/>
        </w:rPr>
      </w:pPr>
      <w:r>
        <w:rPr>
          <w:noProof/>
          <w:lang w:val="de-DE" w:eastAsia="de-DE"/>
        </w:rPr>
        <w:drawing>
          <wp:inline distT="0" distB="0" distL="0" distR="0" wp14:anchorId="730F46A4" wp14:editId="4CBF5C03">
            <wp:extent cx="6120765" cy="3658870"/>
            <wp:effectExtent l="57150" t="57150" r="108585" b="11303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65887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5B980C2" w14:textId="2CFC3E46" w:rsidR="003A563A" w:rsidRDefault="003A563A" w:rsidP="00D74F4C">
      <w:pPr>
        <w:rPr>
          <w:lang w:val="de-DE"/>
        </w:rPr>
      </w:pPr>
      <w:r>
        <w:rPr>
          <w:noProof/>
          <w:lang w:val="de-DE" w:eastAsia="de-DE"/>
        </w:rPr>
        <w:lastRenderedPageBreak/>
        <w:drawing>
          <wp:inline distT="0" distB="0" distL="0" distR="0" wp14:anchorId="17DFC06A" wp14:editId="208F0F50">
            <wp:extent cx="6120765" cy="3672205"/>
            <wp:effectExtent l="57150" t="57150" r="108585" b="1187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67220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63EDDC71" w14:textId="559060DC" w:rsidR="003A563A" w:rsidRDefault="003A563A" w:rsidP="00D74F4C">
      <w:pPr>
        <w:rPr>
          <w:lang w:val="de-DE"/>
        </w:rPr>
      </w:pPr>
      <w:r>
        <w:rPr>
          <w:noProof/>
          <w:lang w:val="de-DE" w:eastAsia="de-DE"/>
        </w:rPr>
        <w:drawing>
          <wp:inline distT="0" distB="0" distL="0" distR="0" wp14:anchorId="17F831E9" wp14:editId="7F1970FD">
            <wp:extent cx="6120765" cy="3637280"/>
            <wp:effectExtent l="57150" t="57150" r="108585" b="1155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63728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EE0BDFA" w14:textId="27558132" w:rsidR="003A563A" w:rsidRDefault="003A563A" w:rsidP="00D74F4C">
      <w:pPr>
        <w:rPr>
          <w:lang w:val="de-DE"/>
        </w:rPr>
      </w:pPr>
      <w:r>
        <w:rPr>
          <w:noProof/>
          <w:lang w:val="de-DE" w:eastAsia="de-DE"/>
        </w:rPr>
        <w:lastRenderedPageBreak/>
        <w:drawing>
          <wp:inline distT="0" distB="0" distL="0" distR="0" wp14:anchorId="6EB3EB6C" wp14:editId="33951312">
            <wp:extent cx="6120765" cy="3700780"/>
            <wp:effectExtent l="57150" t="57150" r="108585" b="1092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70078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64A23FF" w14:textId="4B24E5D5" w:rsidR="003A563A" w:rsidRDefault="003A563A" w:rsidP="00D74F4C">
      <w:pPr>
        <w:rPr>
          <w:lang w:val="de-DE"/>
        </w:rPr>
      </w:pPr>
      <w:r>
        <w:rPr>
          <w:noProof/>
          <w:lang w:val="de-DE" w:eastAsia="de-DE"/>
        </w:rPr>
        <w:drawing>
          <wp:inline distT="0" distB="0" distL="0" distR="0" wp14:anchorId="6191F850" wp14:editId="0C25A2D0">
            <wp:extent cx="6120765" cy="3650615"/>
            <wp:effectExtent l="57150" t="57150" r="108585" b="1212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65061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1638154" w14:textId="77777777" w:rsidR="003A563A" w:rsidRPr="00D74F4C" w:rsidRDefault="003A563A" w:rsidP="00D74F4C">
      <w:pPr>
        <w:rPr>
          <w:lang w:val="de-DE"/>
        </w:rPr>
      </w:pPr>
    </w:p>
    <w:p w14:paraId="2C75577A" w14:textId="77777777" w:rsidR="008A34F6" w:rsidRDefault="008A34F6">
      <w:pPr>
        <w:suppressAutoHyphens w:val="0"/>
        <w:spacing w:line="240" w:lineRule="auto"/>
        <w:rPr>
          <w:b/>
          <w:sz w:val="28"/>
        </w:rPr>
      </w:pPr>
      <w:bookmarkStart w:id="0" w:name="_Hlk57018448"/>
      <w:r>
        <w:br w:type="page"/>
      </w:r>
    </w:p>
    <w:p w14:paraId="48770E8C" w14:textId="2F60B7BB" w:rsidR="003A563A" w:rsidRPr="00191301" w:rsidRDefault="003A563A" w:rsidP="003A563A">
      <w:pPr>
        <w:pStyle w:val="HChG"/>
        <w:ind w:firstLine="0"/>
      </w:pPr>
      <w:r>
        <w:lastRenderedPageBreak/>
        <w:t>Further informatio</w:t>
      </w:r>
      <w:bookmarkEnd w:id="0"/>
      <w:r>
        <w:t>n</w:t>
      </w:r>
    </w:p>
    <w:p w14:paraId="33645CC0" w14:textId="228C564A" w:rsidR="002A3A9C" w:rsidRDefault="002A3A9C" w:rsidP="00084535">
      <w:pPr>
        <w:pStyle w:val="SingleTxtG"/>
        <w:rPr>
          <w:shd w:val="clear" w:color="auto" w:fill="FFFFFF"/>
        </w:rPr>
      </w:pPr>
      <w:r w:rsidRPr="0049320D">
        <w:t xml:space="preserve">The PV product 1.5 </w:t>
      </w:r>
      <w:r w:rsidRPr="0049320D">
        <w:rPr>
          <w:shd w:val="clear" w:color="auto" w:fill="FFFFFF"/>
        </w:rPr>
        <w:t xml:space="preserve">million </w:t>
      </w:r>
      <w:r>
        <w:rPr>
          <w:shd w:val="clear" w:color="auto" w:fill="FFFFFF"/>
        </w:rPr>
        <w:t>bar*litre is determined based on the consideration of assumed population density. The damage radius of explosion of pressure vessels depends on the explosion energy which is linearly related to the PV product; the damage, for example the number of “killed person” by shock wave depends on the number of persons within the radius of shock wave. Parentally, different population densities will result different severity of consequence.</w:t>
      </w:r>
    </w:p>
    <w:p w14:paraId="2C46FB7B" w14:textId="4F0C5127" w:rsidR="002A3A9C" w:rsidRDefault="002A3A9C" w:rsidP="00084535">
      <w:pPr>
        <w:pStyle w:val="SingleTxtG"/>
        <w:rPr>
          <w:shd w:val="clear" w:color="auto" w:fill="FFFFFF"/>
        </w:rPr>
      </w:pPr>
      <w:r>
        <w:rPr>
          <w:shd w:val="clear" w:color="auto" w:fill="FFFFFF"/>
        </w:rPr>
        <w:t xml:space="preserve">The other factor which could influence the limitation of </w:t>
      </w:r>
      <w:r w:rsidRPr="0049320D">
        <w:t xml:space="preserve">1.5 </w:t>
      </w:r>
      <w:r w:rsidRPr="0049320D">
        <w:rPr>
          <w:shd w:val="clear" w:color="auto" w:fill="FFFFFF"/>
        </w:rPr>
        <w:t xml:space="preserve">million </w:t>
      </w:r>
      <w:r>
        <w:rPr>
          <w:shd w:val="clear" w:color="auto" w:fill="FFFFFF"/>
        </w:rPr>
        <w:t>bar*litre is the safety measures for the gas transportation. For example, to define the transport route and the time to reduce the number of the population within the area.</w:t>
      </w:r>
      <w:bookmarkStart w:id="1" w:name="_GoBack"/>
      <w:bookmarkEnd w:id="1"/>
    </w:p>
    <w:p w14:paraId="7CCA3B5E" w14:textId="411DA920" w:rsidR="00CD4A46" w:rsidRPr="00191301" w:rsidRDefault="00CD4A46" w:rsidP="00CD4A46">
      <w:pPr>
        <w:spacing w:before="240"/>
        <w:jc w:val="center"/>
        <w:rPr>
          <w:u w:val="single"/>
        </w:rPr>
      </w:pPr>
      <w:r w:rsidRPr="00191301">
        <w:rPr>
          <w:u w:val="single"/>
        </w:rPr>
        <w:tab/>
      </w:r>
      <w:r w:rsidRPr="00191301">
        <w:rPr>
          <w:u w:val="single"/>
        </w:rPr>
        <w:tab/>
      </w:r>
      <w:r w:rsidRPr="00191301">
        <w:rPr>
          <w:u w:val="single"/>
        </w:rPr>
        <w:tab/>
      </w:r>
    </w:p>
    <w:sectPr w:rsidR="00CD4A46" w:rsidRPr="00191301" w:rsidSect="007A44D6">
      <w:headerReference w:type="even" r:id="rId32"/>
      <w:headerReference w:type="default" r:id="rId33"/>
      <w:footerReference w:type="even" r:id="rId34"/>
      <w:footerReference w:type="default" r:id="rId35"/>
      <w:headerReference w:type="first" r:id="rId36"/>
      <w:footnotePr>
        <w:numRestart w:val="eachSect"/>
      </w:footnotePr>
      <w:endnotePr>
        <w:numFmt w:val="decimal"/>
      </w:endnotePr>
      <w:type w:val="oddPage"/>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BED1C" w14:textId="77777777" w:rsidR="00C52E31" w:rsidRDefault="00C52E31"/>
  </w:endnote>
  <w:endnote w:type="continuationSeparator" w:id="0">
    <w:p w14:paraId="43FE60D0" w14:textId="77777777" w:rsidR="00C52E31" w:rsidRDefault="00C52E31"/>
  </w:endnote>
  <w:endnote w:type="continuationNotice" w:id="1">
    <w:p w14:paraId="50100D82" w14:textId="77777777" w:rsidR="00C52E31" w:rsidRDefault="00C52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B3CE" w14:textId="77777777" w:rsidR="00A2204D" w:rsidRPr="00F257D1" w:rsidRDefault="00A2204D" w:rsidP="00340E2C">
    <w:pPr>
      <w:pStyle w:val="Pieddepage"/>
      <w:rPr>
        <w:rStyle w:val="Numrodepage"/>
        <w:noProof/>
        <w:sz w:val="20"/>
        <w:szCs w:val="22"/>
      </w:rPr>
    </w:pPr>
    <w:r w:rsidRPr="0059131E">
      <w:rPr>
        <w:rStyle w:val="Numrodepage"/>
        <w:sz w:val="20"/>
      </w:rPr>
      <w:fldChar w:fldCharType="begin"/>
    </w:r>
    <w:r w:rsidRPr="0059131E">
      <w:rPr>
        <w:rStyle w:val="Numrodepage"/>
        <w:sz w:val="20"/>
      </w:rPr>
      <w:instrText xml:space="preserve"> PAGE  \* MERGEFORMAT </w:instrText>
    </w:r>
    <w:r w:rsidRPr="0059131E">
      <w:rPr>
        <w:rStyle w:val="Numrodepage"/>
        <w:sz w:val="20"/>
      </w:rPr>
      <w:fldChar w:fldCharType="separate"/>
    </w:r>
    <w:r w:rsidR="00270E2A">
      <w:rPr>
        <w:rStyle w:val="Numrodepage"/>
        <w:noProof/>
        <w:sz w:val="20"/>
      </w:rPr>
      <w:t>4</w:t>
    </w:r>
    <w:r w:rsidRPr="0059131E">
      <w:rPr>
        <w:rStyle w:val="Numrodepage"/>
        <w:sz w:val="20"/>
      </w:rPr>
      <w:fldChar w:fldCharType="end"/>
    </w:r>
  </w:p>
  <w:p w14:paraId="6A959F01" w14:textId="77777777" w:rsidR="00A2204D" w:rsidRDefault="00A220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0AA5" w14:textId="77777777" w:rsidR="00A2204D" w:rsidRPr="000216CC" w:rsidRDefault="00A2204D" w:rsidP="000216CC">
    <w:pPr>
      <w:pStyle w:val="Pieddepage"/>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270E2A">
      <w:rPr>
        <w:b/>
        <w:noProof/>
        <w:sz w:val="18"/>
      </w:rPr>
      <w:t>3</w:t>
    </w:r>
    <w:r w:rsidRPr="000216CC">
      <w:rPr>
        <w:b/>
        <w:sz w:val="18"/>
      </w:rPr>
      <w:fldChar w:fldCharType="end"/>
    </w:r>
  </w:p>
  <w:p w14:paraId="06DF585C" w14:textId="77777777" w:rsidR="00A2204D" w:rsidRDefault="00A220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F37B7" w14:textId="77777777" w:rsidR="00C52E31" w:rsidRPr="000B175B" w:rsidRDefault="00C52E31" w:rsidP="000B175B">
      <w:pPr>
        <w:tabs>
          <w:tab w:val="right" w:pos="2155"/>
        </w:tabs>
        <w:spacing w:after="80"/>
        <w:ind w:left="680"/>
        <w:rPr>
          <w:u w:val="single"/>
        </w:rPr>
      </w:pPr>
      <w:r>
        <w:rPr>
          <w:u w:val="single"/>
        </w:rPr>
        <w:tab/>
      </w:r>
    </w:p>
  </w:footnote>
  <w:footnote w:type="continuationSeparator" w:id="0">
    <w:p w14:paraId="19FF4AA0" w14:textId="77777777" w:rsidR="00C52E31" w:rsidRPr="00FC68B7" w:rsidRDefault="00C52E31" w:rsidP="00FC68B7">
      <w:pPr>
        <w:tabs>
          <w:tab w:val="left" w:pos="2155"/>
        </w:tabs>
        <w:spacing w:after="80"/>
        <w:ind w:left="680"/>
        <w:rPr>
          <w:u w:val="single"/>
        </w:rPr>
      </w:pPr>
      <w:r>
        <w:rPr>
          <w:u w:val="single"/>
        </w:rPr>
        <w:tab/>
      </w:r>
    </w:p>
  </w:footnote>
  <w:footnote w:type="continuationNotice" w:id="1">
    <w:p w14:paraId="0511F7C6" w14:textId="77777777" w:rsidR="00C52E31" w:rsidRDefault="00C52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C8893" w14:textId="5EFBDC86" w:rsidR="00A2204D" w:rsidRPr="00B5392B" w:rsidRDefault="00A2204D">
    <w:pPr>
      <w:pStyle w:val="En-tte"/>
    </w:pPr>
    <w:r>
      <w:t>UN/SCETDG/57/INF.</w:t>
    </w:r>
    <w:r w:rsidR="00084535">
      <w:t>53</w:t>
    </w:r>
  </w:p>
  <w:p w14:paraId="09FA2158" w14:textId="77777777" w:rsidR="00A2204D" w:rsidRDefault="00A220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BC36" w14:textId="7A11A2C8" w:rsidR="00A2204D" w:rsidRPr="000216CC" w:rsidRDefault="00A2204D" w:rsidP="00090CBF">
    <w:pPr>
      <w:pStyle w:val="En-tte"/>
      <w:jc w:val="right"/>
    </w:pPr>
    <w:r>
      <w:t>UN/SCETDG/57/INF.</w:t>
    </w:r>
    <w:r w:rsidR="00084535">
      <w:t>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0400" w14:textId="77777777" w:rsidR="00A2204D" w:rsidRDefault="00A2204D" w:rsidP="00A44269">
    <w:pPr>
      <w:pStyle w:val="En-tte"/>
      <w:pBdr>
        <w:bottom w:val="none" w:sz="0" w:space="0" w:color="auto"/>
      </w:pBdr>
    </w:pPr>
  </w:p>
  <w:p w14:paraId="2E29C253" w14:textId="77777777" w:rsidR="005B254A" w:rsidRDefault="005B254A" w:rsidP="00A44269">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810836"/>
    <w:multiLevelType w:val="hybridMultilevel"/>
    <w:tmpl w:val="F5848EB0"/>
    <w:lvl w:ilvl="0" w:tplc="84DA43DE">
      <w:start w:val="1"/>
      <w:numFmt w:val="decimal"/>
      <w:lvlText w:val="%1."/>
      <w:lvlJc w:val="left"/>
      <w:pPr>
        <w:ind w:left="1710" w:hanging="564"/>
      </w:pPr>
      <w:rPr>
        <w:rFonts w:hint="default"/>
        <w:color w:val="auto"/>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5DD6575"/>
    <w:multiLevelType w:val="hybridMultilevel"/>
    <w:tmpl w:val="0409001D"/>
    <w:styleLink w:val="1ai"/>
    <w:lvl w:ilvl="0" w:tplc="9AF0523A">
      <w:start w:val="1"/>
      <w:numFmt w:val="decimal"/>
      <w:lvlText w:val="%1)"/>
      <w:lvlJc w:val="left"/>
      <w:pPr>
        <w:tabs>
          <w:tab w:val="num" w:pos="360"/>
        </w:tabs>
        <w:ind w:left="360" w:hanging="360"/>
      </w:pPr>
    </w:lvl>
    <w:lvl w:ilvl="1" w:tplc="05085F5C">
      <w:start w:val="1"/>
      <w:numFmt w:val="lowerLetter"/>
      <w:lvlText w:val="%2)"/>
      <w:lvlJc w:val="left"/>
      <w:pPr>
        <w:tabs>
          <w:tab w:val="num" w:pos="720"/>
        </w:tabs>
        <w:ind w:left="720" w:hanging="360"/>
      </w:pPr>
    </w:lvl>
    <w:lvl w:ilvl="2" w:tplc="C0F4E4B2">
      <w:start w:val="1"/>
      <w:numFmt w:val="lowerRoman"/>
      <w:lvlText w:val="%3)"/>
      <w:lvlJc w:val="left"/>
      <w:pPr>
        <w:tabs>
          <w:tab w:val="num" w:pos="1080"/>
        </w:tabs>
        <w:ind w:left="1080" w:hanging="360"/>
      </w:pPr>
    </w:lvl>
    <w:lvl w:ilvl="3" w:tplc="3FBEE57E">
      <w:start w:val="1"/>
      <w:numFmt w:val="decimal"/>
      <w:lvlText w:val="(%4)"/>
      <w:lvlJc w:val="left"/>
      <w:pPr>
        <w:tabs>
          <w:tab w:val="num" w:pos="1440"/>
        </w:tabs>
        <w:ind w:left="1440" w:hanging="360"/>
      </w:pPr>
    </w:lvl>
    <w:lvl w:ilvl="4" w:tplc="B1580C94">
      <w:start w:val="1"/>
      <w:numFmt w:val="lowerLetter"/>
      <w:lvlText w:val="(%5)"/>
      <w:lvlJc w:val="left"/>
      <w:pPr>
        <w:tabs>
          <w:tab w:val="num" w:pos="1800"/>
        </w:tabs>
        <w:ind w:left="1800" w:hanging="360"/>
      </w:pPr>
    </w:lvl>
    <w:lvl w:ilvl="5" w:tplc="D0665CD6">
      <w:start w:val="1"/>
      <w:numFmt w:val="lowerRoman"/>
      <w:lvlText w:val="(%6)"/>
      <w:lvlJc w:val="left"/>
      <w:pPr>
        <w:tabs>
          <w:tab w:val="num" w:pos="2160"/>
        </w:tabs>
        <w:ind w:left="2160" w:hanging="360"/>
      </w:pPr>
    </w:lvl>
    <w:lvl w:ilvl="6" w:tplc="F002FAC6">
      <w:start w:val="1"/>
      <w:numFmt w:val="decimal"/>
      <w:lvlText w:val="%7."/>
      <w:lvlJc w:val="left"/>
      <w:pPr>
        <w:tabs>
          <w:tab w:val="num" w:pos="2520"/>
        </w:tabs>
        <w:ind w:left="2520" w:hanging="360"/>
      </w:pPr>
    </w:lvl>
    <w:lvl w:ilvl="7" w:tplc="4BE27A0A">
      <w:start w:val="1"/>
      <w:numFmt w:val="lowerLetter"/>
      <w:lvlText w:val="%8."/>
      <w:lvlJc w:val="left"/>
      <w:pPr>
        <w:tabs>
          <w:tab w:val="num" w:pos="2880"/>
        </w:tabs>
        <w:ind w:left="2880" w:hanging="360"/>
      </w:pPr>
    </w:lvl>
    <w:lvl w:ilvl="8" w:tplc="59B4C566">
      <w:start w:val="1"/>
      <w:numFmt w:val="lowerRoman"/>
      <w:lvlText w:val="%9."/>
      <w:lvlJc w:val="left"/>
      <w:pPr>
        <w:tabs>
          <w:tab w:val="num" w:pos="3240"/>
        </w:tabs>
        <w:ind w:left="3240" w:hanging="360"/>
      </w:pPr>
    </w:lvl>
  </w:abstractNum>
  <w:abstractNum w:abstractNumId="16"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1BAC3BCF"/>
    <w:multiLevelType w:val="multilevel"/>
    <w:tmpl w:val="6B80AA9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20FE6881"/>
    <w:multiLevelType w:val="hybridMultilevel"/>
    <w:tmpl w:val="D78CC396"/>
    <w:lvl w:ilvl="0" w:tplc="293C5B18">
      <w:start w:val="1"/>
      <w:numFmt w:val="decimal"/>
      <w:lvlText w:val="%1."/>
      <w:lvlJc w:val="left"/>
      <w:pPr>
        <w:tabs>
          <w:tab w:val="num" w:pos="720"/>
        </w:tabs>
        <w:ind w:left="720" w:hanging="720"/>
      </w:pPr>
    </w:lvl>
    <w:lvl w:ilvl="1" w:tplc="FE267CB6">
      <w:start w:val="1"/>
      <w:numFmt w:val="decimal"/>
      <w:lvlText w:val="%2."/>
      <w:lvlJc w:val="left"/>
      <w:pPr>
        <w:tabs>
          <w:tab w:val="num" w:pos="1440"/>
        </w:tabs>
        <w:ind w:left="1440" w:hanging="720"/>
      </w:pPr>
    </w:lvl>
    <w:lvl w:ilvl="2" w:tplc="C5502D92">
      <w:start w:val="1"/>
      <w:numFmt w:val="decimal"/>
      <w:lvlText w:val="%3."/>
      <w:lvlJc w:val="left"/>
      <w:pPr>
        <w:tabs>
          <w:tab w:val="num" w:pos="2160"/>
        </w:tabs>
        <w:ind w:left="2160" w:hanging="720"/>
      </w:pPr>
    </w:lvl>
    <w:lvl w:ilvl="3" w:tplc="A678FD42">
      <w:start w:val="1"/>
      <w:numFmt w:val="decimal"/>
      <w:lvlText w:val="%4."/>
      <w:lvlJc w:val="left"/>
      <w:pPr>
        <w:tabs>
          <w:tab w:val="num" w:pos="2880"/>
        </w:tabs>
        <w:ind w:left="2880" w:hanging="720"/>
      </w:pPr>
    </w:lvl>
    <w:lvl w:ilvl="4" w:tplc="86C80922">
      <w:start w:val="1"/>
      <w:numFmt w:val="decimal"/>
      <w:lvlText w:val="%5."/>
      <w:lvlJc w:val="left"/>
      <w:pPr>
        <w:tabs>
          <w:tab w:val="num" w:pos="3600"/>
        </w:tabs>
        <w:ind w:left="3600" w:hanging="720"/>
      </w:pPr>
    </w:lvl>
    <w:lvl w:ilvl="5" w:tplc="9634B0AA">
      <w:start w:val="1"/>
      <w:numFmt w:val="decimal"/>
      <w:lvlText w:val="%6."/>
      <w:lvlJc w:val="left"/>
      <w:pPr>
        <w:tabs>
          <w:tab w:val="num" w:pos="4320"/>
        </w:tabs>
        <w:ind w:left="4320" w:hanging="720"/>
      </w:pPr>
    </w:lvl>
    <w:lvl w:ilvl="6" w:tplc="05201C1C">
      <w:start w:val="1"/>
      <w:numFmt w:val="decimal"/>
      <w:lvlText w:val="%7."/>
      <w:lvlJc w:val="left"/>
      <w:pPr>
        <w:tabs>
          <w:tab w:val="num" w:pos="5040"/>
        </w:tabs>
        <w:ind w:left="5040" w:hanging="720"/>
      </w:pPr>
    </w:lvl>
    <w:lvl w:ilvl="7" w:tplc="CCB6FD6A">
      <w:start w:val="1"/>
      <w:numFmt w:val="decimal"/>
      <w:lvlText w:val="%8."/>
      <w:lvlJc w:val="left"/>
      <w:pPr>
        <w:tabs>
          <w:tab w:val="num" w:pos="5760"/>
        </w:tabs>
        <w:ind w:left="5760" w:hanging="720"/>
      </w:pPr>
    </w:lvl>
    <w:lvl w:ilvl="8" w:tplc="84DEDF58">
      <w:start w:val="1"/>
      <w:numFmt w:val="decimal"/>
      <w:lvlText w:val="%9."/>
      <w:lvlJc w:val="left"/>
      <w:pPr>
        <w:tabs>
          <w:tab w:val="num" w:pos="6480"/>
        </w:tabs>
        <w:ind w:left="6480" w:hanging="720"/>
      </w:pPr>
    </w:lvl>
  </w:abstractNum>
  <w:abstractNum w:abstractNumId="22"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38C63EA0"/>
    <w:multiLevelType w:val="multilevel"/>
    <w:tmpl w:val="615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7" w15:restartNumberingAfterBreak="0">
    <w:nsid w:val="3EF322E7"/>
    <w:multiLevelType w:val="hybridMultilevel"/>
    <w:tmpl w:val="B358A3A6"/>
    <w:lvl w:ilvl="0" w:tplc="0409000F">
      <w:start w:val="1"/>
      <w:numFmt w:val="decimal"/>
      <w:lvlText w:val="%1."/>
      <w:lvlJc w:val="left"/>
      <w:pPr>
        <w:ind w:left="1494" w:hanging="360"/>
      </w:pPr>
      <w:rPr>
        <w:b w:val="0"/>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8" w15:restartNumberingAfterBreak="0">
    <w:nsid w:val="4247577C"/>
    <w:multiLevelType w:val="hybridMultilevel"/>
    <w:tmpl w:val="0B565D0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9" w15:restartNumberingAfterBreak="0">
    <w:nsid w:val="606677AE"/>
    <w:multiLevelType w:val="multilevel"/>
    <w:tmpl w:val="CA9C7A3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68E14603"/>
    <w:multiLevelType w:val="hybridMultilevel"/>
    <w:tmpl w:val="7AE400E6"/>
    <w:lvl w:ilvl="0" w:tplc="A4EEA9E6">
      <w:start w:val="1"/>
      <w:numFmt w:val="decimal"/>
      <w:lvlText w:val="%1."/>
      <w:lvlJc w:val="left"/>
      <w:pPr>
        <w:ind w:left="1710" w:hanging="576"/>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01328"/>
    <w:multiLevelType w:val="hybridMultilevel"/>
    <w:tmpl w:val="F5848EB0"/>
    <w:lvl w:ilvl="0" w:tplc="84DA43DE">
      <w:start w:val="1"/>
      <w:numFmt w:val="decimal"/>
      <w:lvlText w:val="%1."/>
      <w:lvlJc w:val="left"/>
      <w:pPr>
        <w:ind w:left="1710" w:hanging="564"/>
      </w:pPr>
      <w:rPr>
        <w:rFonts w:hint="default"/>
        <w:color w:val="auto"/>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9"/>
  </w:num>
  <w:num w:numId="12">
    <w:abstractNumId w:val="15"/>
  </w:num>
  <w:num w:numId="13">
    <w:abstractNumId w:val="13"/>
  </w:num>
  <w:num w:numId="14">
    <w:abstractNumId w:val="30"/>
  </w:num>
  <w:num w:numId="15">
    <w:abstractNumId w:val="35"/>
  </w:num>
  <w:num w:numId="16">
    <w:abstractNumId w:val="17"/>
  </w:num>
  <w:num w:numId="17">
    <w:abstractNumId w:val="10"/>
  </w:num>
  <w:num w:numId="18">
    <w:abstractNumId w:val="37"/>
  </w:num>
  <w:num w:numId="19">
    <w:abstractNumId w:val="34"/>
  </w:num>
  <w:num w:numId="20">
    <w:abstractNumId w:val="11"/>
  </w:num>
  <w:num w:numId="21">
    <w:abstractNumId w:val="31"/>
  </w:num>
  <w:num w:numId="22">
    <w:abstractNumId w:val="14"/>
  </w:num>
  <w:num w:numId="23">
    <w:abstractNumId w:val="32"/>
  </w:num>
  <w:num w:numId="24">
    <w:abstractNumId w:val="26"/>
  </w:num>
  <w:num w:numId="25">
    <w:abstractNumId w:val="18"/>
  </w:num>
  <w:num w:numId="26">
    <w:abstractNumId w:val="19"/>
  </w:num>
  <w:num w:numId="27">
    <w:abstractNumId w:val="23"/>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0"/>
  </w:num>
  <w:num w:numId="33">
    <w:abstractNumId w:val="16"/>
  </w:num>
  <w:num w:numId="34">
    <w:abstractNumId w:val="24"/>
  </w:num>
  <w:num w:numId="35">
    <w:abstractNumId w:val="33"/>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5"/>
  </w:num>
  <w:num w:numId="40">
    <w:abstractNumId w:val="36"/>
  </w:num>
  <w:num w:numId="41">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tr-T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FAE"/>
    <w:rsid w:val="00012EB6"/>
    <w:rsid w:val="000133C5"/>
    <w:rsid w:val="00014228"/>
    <w:rsid w:val="00017551"/>
    <w:rsid w:val="00017D24"/>
    <w:rsid w:val="000215D5"/>
    <w:rsid w:val="000216CC"/>
    <w:rsid w:val="000277D3"/>
    <w:rsid w:val="00033414"/>
    <w:rsid w:val="0003375D"/>
    <w:rsid w:val="000362B6"/>
    <w:rsid w:val="00037523"/>
    <w:rsid w:val="00040F52"/>
    <w:rsid w:val="00041EDB"/>
    <w:rsid w:val="00043180"/>
    <w:rsid w:val="000504CE"/>
    <w:rsid w:val="00050922"/>
    <w:rsid w:val="00050F6B"/>
    <w:rsid w:val="00053492"/>
    <w:rsid w:val="000556F5"/>
    <w:rsid w:val="0005710C"/>
    <w:rsid w:val="00064402"/>
    <w:rsid w:val="00067E6D"/>
    <w:rsid w:val="00072C03"/>
    <w:rsid w:val="00072C8C"/>
    <w:rsid w:val="00073129"/>
    <w:rsid w:val="00075F99"/>
    <w:rsid w:val="00076A0A"/>
    <w:rsid w:val="00082CE1"/>
    <w:rsid w:val="00083598"/>
    <w:rsid w:val="00084535"/>
    <w:rsid w:val="00084632"/>
    <w:rsid w:val="00087152"/>
    <w:rsid w:val="00090CBF"/>
    <w:rsid w:val="00091046"/>
    <w:rsid w:val="00091419"/>
    <w:rsid w:val="00091CB3"/>
    <w:rsid w:val="000931C0"/>
    <w:rsid w:val="000A1282"/>
    <w:rsid w:val="000A2236"/>
    <w:rsid w:val="000A35F2"/>
    <w:rsid w:val="000A3A48"/>
    <w:rsid w:val="000A3C11"/>
    <w:rsid w:val="000A4C38"/>
    <w:rsid w:val="000A4F3B"/>
    <w:rsid w:val="000B175B"/>
    <w:rsid w:val="000B3A0F"/>
    <w:rsid w:val="000B4919"/>
    <w:rsid w:val="000B50A6"/>
    <w:rsid w:val="000B6AD1"/>
    <w:rsid w:val="000B7AF2"/>
    <w:rsid w:val="000C08C3"/>
    <w:rsid w:val="000C1ED8"/>
    <w:rsid w:val="000C5D4B"/>
    <w:rsid w:val="000C717F"/>
    <w:rsid w:val="000D0B8F"/>
    <w:rsid w:val="000D209F"/>
    <w:rsid w:val="000D481F"/>
    <w:rsid w:val="000D6D97"/>
    <w:rsid w:val="000D7830"/>
    <w:rsid w:val="000E0415"/>
    <w:rsid w:val="000F0347"/>
    <w:rsid w:val="000F52D6"/>
    <w:rsid w:val="000F6A20"/>
    <w:rsid w:val="0010461A"/>
    <w:rsid w:val="00115303"/>
    <w:rsid w:val="00117787"/>
    <w:rsid w:val="00117D0D"/>
    <w:rsid w:val="00121EB7"/>
    <w:rsid w:val="0012359E"/>
    <w:rsid w:val="00131B10"/>
    <w:rsid w:val="00131D42"/>
    <w:rsid w:val="00133C50"/>
    <w:rsid w:val="001406F4"/>
    <w:rsid w:val="00140F48"/>
    <w:rsid w:val="001518B1"/>
    <w:rsid w:val="0015398E"/>
    <w:rsid w:val="001633FB"/>
    <w:rsid w:val="00163A1B"/>
    <w:rsid w:val="00165735"/>
    <w:rsid w:val="00167786"/>
    <w:rsid w:val="001678D9"/>
    <w:rsid w:val="00180633"/>
    <w:rsid w:val="00181019"/>
    <w:rsid w:val="0018168F"/>
    <w:rsid w:val="00182334"/>
    <w:rsid w:val="001835BF"/>
    <w:rsid w:val="00184120"/>
    <w:rsid w:val="00184B86"/>
    <w:rsid w:val="00187513"/>
    <w:rsid w:val="001911FA"/>
    <w:rsid w:val="00191301"/>
    <w:rsid w:val="00195229"/>
    <w:rsid w:val="001A02A4"/>
    <w:rsid w:val="001A7113"/>
    <w:rsid w:val="001B2674"/>
    <w:rsid w:val="001B35EE"/>
    <w:rsid w:val="001B4B04"/>
    <w:rsid w:val="001B6B72"/>
    <w:rsid w:val="001B740B"/>
    <w:rsid w:val="001C429D"/>
    <w:rsid w:val="001C6663"/>
    <w:rsid w:val="001C7895"/>
    <w:rsid w:val="001D26DF"/>
    <w:rsid w:val="001D2B6E"/>
    <w:rsid w:val="001D2FDC"/>
    <w:rsid w:val="001D3123"/>
    <w:rsid w:val="001D3A88"/>
    <w:rsid w:val="001D49F7"/>
    <w:rsid w:val="001D4AD9"/>
    <w:rsid w:val="001D4B2D"/>
    <w:rsid w:val="001D4E70"/>
    <w:rsid w:val="001D5147"/>
    <w:rsid w:val="001D5F20"/>
    <w:rsid w:val="001E797C"/>
    <w:rsid w:val="001F2D87"/>
    <w:rsid w:val="002003AD"/>
    <w:rsid w:val="002062DE"/>
    <w:rsid w:val="002067ED"/>
    <w:rsid w:val="00211B12"/>
    <w:rsid w:val="00211E0B"/>
    <w:rsid w:val="0021481D"/>
    <w:rsid w:val="00214EA6"/>
    <w:rsid w:val="00221589"/>
    <w:rsid w:val="00221AC2"/>
    <w:rsid w:val="00224CD9"/>
    <w:rsid w:val="002309A7"/>
    <w:rsid w:val="0023231C"/>
    <w:rsid w:val="00235381"/>
    <w:rsid w:val="00237785"/>
    <w:rsid w:val="002403B8"/>
    <w:rsid w:val="00241178"/>
    <w:rsid w:val="00241466"/>
    <w:rsid w:val="00243EC1"/>
    <w:rsid w:val="002440E7"/>
    <w:rsid w:val="00244C52"/>
    <w:rsid w:val="00247570"/>
    <w:rsid w:val="00257C1E"/>
    <w:rsid w:val="0026071E"/>
    <w:rsid w:val="00261B71"/>
    <w:rsid w:val="002621F5"/>
    <w:rsid w:val="002622A9"/>
    <w:rsid w:val="00265C9D"/>
    <w:rsid w:val="00267085"/>
    <w:rsid w:val="002708B5"/>
    <w:rsid w:val="00270CC4"/>
    <w:rsid w:val="00270E2A"/>
    <w:rsid w:val="002725CA"/>
    <w:rsid w:val="00273A92"/>
    <w:rsid w:val="00277896"/>
    <w:rsid w:val="00280EB7"/>
    <w:rsid w:val="00283412"/>
    <w:rsid w:val="00284CD3"/>
    <w:rsid w:val="002905C1"/>
    <w:rsid w:val="0029184C"/>
    <w:rsid w:val="00295C28"/>
    <w:rsid w:val="002976CF"/>
    <w:rsid w:val="002A0BD2"/>
    <w:rsid w:val="002A3A9C"/>
    <w:rsid w:val="002A5B17"/>
    <w:rsid w:val="002A5D09"/>
    <w:rsid w:val="002B067A"/>
    <w:rsid w:val="002B1514"/>
    <w:rsid w:val="002B1CDA"/>
    <w:rsid w:val="002C204A"/>
    <w:rsid w:val="002C7F25"/>
    <w:rsid w:val="002D44DB"/>
    <w:rsid w:val="002D5A85"/>
    <w:rsid w:val="002D5C7D"/>
    <w:rsid w:val="002E35BB"/>
    <w:rsid w:val="002E6960"/>
    <w:rsid w:val="002E7911"/>
    <w:rsid w:val="002F68FD"/>
    <w:rsid w:val="0030495D"/>
    <w:rsid w:val="003107FA"/>
    <w:rsid w:val="00313AC2"/>
    <w:rsid w:val="00315D73"/>
    <w:rsid w:val="00316FF9"/>
    <w:rsid w:val="003201B8"/>
    <w:rsid w:val="00321716"/>
    <w:rsid w:val="003223FC"/>
    <w:rsid w:val="0032273D"/>
    <w:rsid w:val="003229D8"/>
    <w:rsid w:val="003244D9"/>
    <w:rsid w:val="00327D0A"/>
    <w:rsid w:val="00340E2C"/>
    <w:rsid w:val="003517C3"/>
    <w:rsid w:val="00354694"/>
    <w:rsid w:val="00355502"/>
    <w:rsid w:val="00356BC7"/>
    <w:rsid w:val="00357A20"/>
    <w:rsid w:val="00364F14"/>
    <w:rsid w:val="00365AA6"/>
    <w:rsid w:val="00372F06"/>
    <w:rsid w:val="00380C06"/>
    <w:rsid w:val="00384EA5"/>
    <w:rsid w:val="00386DF4"/>
    <w:rsid w:val="00391647"/>
    <w:rsid w:val="00391A13"/>
    <w:rsid w:val="0039260F"/>
    <w:rsid w:val="0039277A"/>
    <w:rsid w:val="00393B99"/>
    <w:rsid w:val="00396F6A"/>
    <w:rsid w:val="003972E0"/>
    <w:rsid w:val="003A1810"/>
    <w:rsid w:val="003A1EC2"/>
    <w:rsid w:val="003A52D7"/>
    <w:rsid w:val="003A563A"/>
    <w:rsid w:val="003A5A16"/>
    <w:rsid w:val="003A6E6C"/>
    <w:rsid w:val="003B0C98"/>
    <w:rsid w:val="003B5EDE"/>
    <w:rsid w:val="003C0039"/>
    <w:rsid w:val="003C0657"/>
    <w:rsid w:val="003C18C9"/>
    <w:rsid w:val="003C2CC4"/>
    <w:rsid w:val="003C655D"/>
    <w:rsid w:val="003D43F7"/>
    <w:rsid w:val="003D4B23"/>
    <w:rsid w:val="003F23A4"/>
    <w:rsid w:val="003F54D8"/>
    <w:rsid w:val="003F5B52"/>
    <w:rsid w:val="00400408"/>
    <w:rsid w:val="0040311D"/>
    <w:rsid w:val="00403EC6"/>
    <w:rsid w:val="00406CD4"/>
    <w:rsid w:val="004108CE"/>
    <w:rsid w:val="004152F8"/>
    <w:rsid w:val="004248D6"/>
    <w:rsid w:val="00430086"/>
    <w:rsid w:val="00430918"/>
    <w:rsid w:val="004317D1"/>
    <w:rsid w:val="004325CB"/>
    <w:rsid w:val="004368A2"/>
    <w:rsid w:val="00437F3F"/>
    <w:rsid w:val="00445B83"/>
    <w:rsid w:val="00446DE4"/>
    <w:rsid w:val="004526E8"/>
    <w:rsid w:val="00452D10"/>
    <w:rsid w:val="00454036"/>
    <w:rsid w:val="004562AA"/>
    <w:rsid w:val="00460B22"/>
    <w:rsid w:val="004615DD"/>
    <w:rsid w:val="0046443A"/>
    <w:rsid w:val="004653B3"/>
    <w:rsid w:val="004654C4"/>
    <w:rsid w:val="004656A9"/>
    <w:rsid w:val="0046668F"/>
    <w:rsid w:val="0046773D"/>
    <w:rsid w:val="0046788D"/>
    <w:rsid w:val="0047642D"/>
    <w:rsid w:val="004773B8"/>
    <w:rsid w:val="004814C2"/>
    <w:rsid w:val="004822C0"/>
    <w:rsid w:val="0048279A"/>
    <w:rsid w:val="0048304D"/>
    <w:rsid w:val="00484A9B"/>
    <w:rsid w:val="00484B85"/>
    <w:rsid w:val="00490687"/>
    <w:rsid w:val="0049211A"/>
    <w:rsid w:val="0049221A"/>
    <w:rsid w:val="00492AF9"/>
    <w:rsid w:val="00494C77"/>
    <w:rsid w:val="00497291"/>
    <w:rsid w:val="00497711"/>
    <w:rsid w:val="004A004F"/>
    <w:rsid w:val="004A1DF0"/>
    <w:rsid w:val="004B25F8"/>
    <w:rsid w:val="004B2C9D"/>
    <w:rsid w:val="004B5939"/>
    <w:rsid w:val="004B73D6"/>
    <w:rsid w:val="004C39D0"/>
    <w:rsid w:val="004C4F1A"/>
    <w:rsid w:val="004C591C"/>
    <w:rsid w:val="004C6D6D"/>
    <w:rsid w:val="004D2D6F"/>
    <w:rsid w:val="004D78AC"/>
    <w:rsid w:val="004E0C5D"/>
    <w:rsid w:val="004E3BDB"/>
    <w:rsid w:val="004E6879"/>
    <w:rsid w:val="004F166D"/>
    <w:rsid w:val="004F4240"/>
    <w:rsid w:val="004F6DF4"/>
    <w:rsid w:val="004F77CD"/>
    <w:rsid w:val="00500292"/>
    <w:rsid w:val="0050042A"/>
    <w:rsid w:val="00504855"/>
    <w:rsid w:val="00507CF1"/>
    <w:rsid w:val="00522177"/>
    <w:rsid w:val="00526AFD"/>
    <w:rsid w:val="00527910"/>
    <w:rsid w:val="005318BF"/>
    <w:rsid w:val="00534695"/>
    <w:rsid w:val="0054140E"/>
    <w:rsid w:val="005420F2"/>
    <w:rsid w:val="00542505"/>
    <w:rsid w:val="005475D4"/>
    <w:rsid w:val="0055208B"/>
    <w:rsid w:val="00552CEE"/>
    <w:rsid w:val="00555CDB"/>
    <w:rsid w:val="00561B6D"/>
    <w:rsid w:val="00562D45"/>
    <w:rsid w:val="0056615B"/>
    <w:rsid w:val="00567DFB"/>
    <w:rsid w:val="00571DAA"/>
    <w:rsid w:val="00572049"/>
    <w:rsid w:val="0057364C"/>
    <w:rsid w:val="00576C07"/>
    <w:rsid w:val="0058129D"/>
    <w:rsid w:val="00590144"/>
    <w:rsid w:val="0059131E"/>
    <w:rsid w:val="0059682C"/>
    <w:rsid w:val="005A3F48"/>
    <w:rsid w:val="005A605F"/>
    <w:rsid w:val="005A6301"/>
    <w:rsid w:val="005A64DD"/>
    <w:rsid w:val="005B09F0"/>
    <w:rsid w:val="005B0CED"/>
    <w:rsid w:val="005B254A"/>
    <w:rsid w:val="005B3DB3"/>
    <w:rsid w:val="005B528A"/>
    <w:rsid w:val="005B6088"/>
    <w:rsid w:val="005B7182"/>
    <w:rsid w:val="005C3490"/>
    <w:rsid w:val="005C4CB5"/>
    <w:rsid w:val="005D0C6C"/>
    <w:rsid w:val="005D1BB4"/>
    <w:rsid w:val="005E010D"/>
    <w:rsid w:val="005E0BF6"/>
    <w:rsid w:val="005E28E0"/>
    <w:rsid w:val="005E3563"/>
    <w:rsid w:val="005E3AAD"/>
    <w:rsid w:val="005E590D"/>
    <w:rsid w:val="005E5946"/>
    <w:rsid w:val="005E75CA"/>
    <w:rsid w:val="005F01CD"/>
    <w:rsid w:val="005F3A39"/>
    <w:rsid w:val="005F5C2F"/>
    <w:rsid w:val="005F7BB1"/>
    <w:rsid w:val="00602490"/>
    <w:rsid w:val="00603E3C"/>
    <w:rsid w:val="006056AB"/>
    <w:rsid w:val="00605A68"/>
    <w:rsid w:val="00605CB5"/>
    <w:rsid w:val="00606482"/>
    <w:rsid w:val="0060673A"/>
    <w:rsid w:val="00611FC4"/>
    <w:rsid w:val="00612812"/>
    <w:rsid w:val="006176FB"/>
    <w:rsid w:val="006216A1"/>
    <w:rsid w:val="00622379"/>
    <w:rsid w:val="00626B06"/>
    <w:rsid w:val="006279AC"/>
    <w:rsid w:val="0063013A"/>
    <w:rsid w:val="0063419C"/>
    <w:rsid w:val="00635381"/>
    <w:rsid w:val="00636986"/>
    <w:rsid w:val="00637542"/>
    <w:rsid w:val="00640B26"/>
    <w:rsid w:val="00641194"/>
    <w:rsid w:val="00642D06"/>
    <w:rsid w:val="00645A0B"/>
    <w:rsid w:val="00647446"/>
    <w:rsid w:val="006500BA"/>
    <w:rsid w:val="006506DB"/>
    <w:rsid w:val="006537A7"/>
    <w:rsid w:val="00662121"/>
    <w:rsid w:val="00662E09"/>
    <w:rsid w:val="0066725E"/>
    <w:rsid w:val="00670CF0"/>
    <w:rsid w:val="00675F87"/>
    <w:rsid w:val="0068118F"/>
    <w:rsid w:val="0068220E"/>
    <w:rsid w:val="006870AE"/>
    <w:rsid w:val="00690CD6"/>
    <w:rsid w:val="006A3932"/>
    <w:rsid w:val="006A53DC"/>
    <w:rsid w:val="006A63E3"/>
    <w:rsid w:val="006A7392"/>
    <w:rsid w:val="006B1148"/>
    <w:rsid w:val="006B1C55"/>
    <w:rsid w:val="006B4E63"/>
    <w:rsid w:val="006C0D34"/>
    <w:rsid w:val="006C251B"/>
    <w:rsid w:val="006C2F7E"/>
    <w:rsid w:val="006C6F3D"/>
    <w:rsid w:val="006D0533"/>
    <w:rsid w:val="006D3560"/>
    <w:rsid w:val="006E3B65"/>
    <w:rsid w:val="006E4E78"/>
    <w:rsid w:val="006E564B"/>
    <w:rsid w:val="0070084B"/>
    <w:rsid w:val="007025C0"/>
    <w:rsid w:val="00707F04"/>
    <w:rsid w:val="00711637"/>
    <w:rsid w:val="00714F4F"/>
    <w:rsid w:val="0071611E"/>
    <w:rsid w:val="00717306"/>
    <w:rsid w:val="00721CAC"/>
    <w:rsid w:val="00724E6E"/>
    <w:rsid w:val="00725286"/>
    <w:rsid w:val="0072632A"/>
    <w:rsid w:val="00734F20"/>
    <w:rsid w:val="00736E6A"/>
    <w:rsid w:val="00741F59"/>
    <w:rsid w:val="00744C85"/>
    <w:rsid w:val="0074697D"/>
    <w:rsid w:val="007510F5"/>
    <w:rsid w:val="00755EBE"/>
    <w:rsid w:val="00761619"/>
    <w:rsid w:val="0076177C"/>
    <w:rsid w:val="00763C33"/>
    <w:rsid w:val="00766322"/>
    <w:rsid w:val="00770621"/>
    <w:rsid w:val="00770BCD"/>
    <w:rsid w:val="00771904"/>
    <w:rsid w:val="00773353"/>
    <w:rsid w:val="00774129"/>
    <w:rsid w:val="00774E8F"/>
    <w:rsid w:val="00774EAA"/>
    <w:rsid w:val="0077553A"/>
    <w:rsid w:val="0078123B"/>
    <w:rsid w:val="00781B57"/>
    <w:rsid w:val="007829F6"/>
    <w:rsid w:val="007854D9"/>
    <w:rsid w:val="00786434"/>
    <w:rsid w:val="00786465"/>
    <w:rsid w:val="00790791"/>
    <w:rsid w:val="00796F36"/>
    <w:rsid w:val="007A2CDB"/>
    <w:rsid w:val="007A334C"/>
    <w:rsid w:val="007A44D6"/>
    <w:rsid w:val="007A62EC"/>
    <w:rsid w:val="007B1A7E"/>
    <w:rsid w:val="007B1FC0"/>
    <w:rsid w:val="007B2BA8"/>
    <w:rsid w:val="007B4133"/>
    <w:rsid w:val="007B649A"/>
    <w:rsid w:val="007B6BA5"/>
    <w:rsid w:val="007B7F03"/>
    <w:rsid w:val="007C2C0D"/>
    <w:rsid w:val="007C3162"/>
    <w:rsid w:val="007C3390"/>
    <w:rsid w:val="007C4F4B"/>
    <w:rsid w:val="007C644D"/>
    <w:rsid w:val="007D1406"/>
    <w:rsid w:val="007D2AC1"/>
    <w:rsid w:val="007D384C"/>
    <w:rsid w:val="007D7BC6"/>
    <w:rsid w:val="007E4BD3"/>
    <w:rsid w:val="007E5D7C"/>
    <w:rsid w:val="007F1ADD"/>
    <w:rsid w:val="007F2A54"/>
    <w:rsid w:val="007F5104"/>
    <w:rsid w:val="007F6611"/>
    <w:rsid w:val="00800024"/>
    <w:rsid w:val="008037A2"/>
    <w:rsid w:val="008107F5"/>
    <w:rsid w:val="00816582"/>
    <w:rsid w:val="008175E9"/>
    <w:rsid w:val="00820A2D"/>
    <w:rsid w:val="008242D7"/>
    <w:rsid w:val="00826C09"/>
    <w:rsid w:val="00830027"/>
    <w:rsid w:val="0083043E"/>
    <w:rsid w:val="0083055C"/>
    <w:rsid w:val="0083069A"/>
    <w:rsid w:val="00832A1D"/>
    <w:rsid w:val="00834479"/>
    <w:rsid w:val="00843AB2"/>
    <w:rsid w:val="008450D3"/>
    <w:rsid w:val="00846809"/>
    <w:rsid w:val="00854A76"/>
    <w:rsid w:val="00857789"/>
    <w:rsid w:val="0086107D"/>
    <w:rsid w:val="00864251"/>
    <w:rsid w:val="00867DDB"/>
    <w:rsid w:val="00871FD5"/>
    <w:rsid w:val="00880AA9"/>
    <w:rsid w:val="00881213"/>
    <w:rsid w:val="00882E80"/>
    <w:rsid w:val="008830CC"/>
    <w:rsid w:val="00893E60"/>
    <w:rsid w:val="008979B1"/>
    <w:rsid w:val="008A0B75"/>
    <w:rsid w:val="008A1542"/>
    <w:rsid w:val="008A275B"/>
    <w:rsid w:val="008A34F6"/>
    <w:rsid w:val="008A490A"/>
    <w:rsid w:val="008A6B25"/>
    <w:rsid w:val="008A6C4F"/>
    <w:rsid w:val="008A7679"/>
    <w:rsid w:val="008A7AB3"/>
    <w:rsid w:val="008A7E0F"/>
    <w:rsid w:val="008B65FB"/>
    <w:rsid w:val="008C0327"/>
    <w:rsid w:val="008C3B3C"/>
    <w:rsid w:val="008C4283"/>
    <w:rsid w:val="008C7033"/>
    <w:rsid w:val="008C74C3"/>
    <w:rsid w:val="008C7BF7"/>
    <w:rsid w:val="008D134F"/>
    <w:rsid w:val="008D3C75"/>
    <w:rsid w:val="008D6942"/>
    <w:rsid w:val="008E0E46"/>
    <w:rsid w:val="008E1DAE"/>
    <w:rsid w:val="008E295A"/>
    <w:rsid w:val="008F2D9A"/>
    <w:rsid w:val="008F44B8"/>
    <w:rsid w:val="008F504A"/>
    <w:rsid w:val="008F5C0B"/>
    <w:rsid w:val="0090092A"/>
    <w:rsid w:val="0090434E"/>
    <w:rsid w:val="009045EE"/>
    <w:rsid w:val="00904EBC"/>
    <w:rsid w:val="00906C3D"/>
    <w:rsid w:val="00910C38"/>
    <w:rsid w:val="00913F0C"/>
    <w:rsid w:val="00923019"/>
    <w:rsid w:val="009243E6"/>
    <w:rsid w:val="00924B63"/>
    <w:rsid w:val="0093487F"/>
    <w:rsid w:val="009363B6"/>
    <w:rsid w:val="00940F46"/>
    <w:rsid w:val="00941ECC"/>
    <w:rsid w:val="00941FFD"/>
    <w:rsid w:val="00945A5D"/>
    <w:rsid w:val="00946A0D"/>
    <w:rsid w:val="00955109"/>
    <w:rsid w:val="00956AD7"/>
    <w:rsid w:val="00963B67"/>
    <w:rsid w:val="00963CBA"/>
    <w:rsid w:val="00964682"/>
    <w:rsid w:val="009701ED"/>
    <w:rsid w:val="00972A01"/>
    <w:rsid w:val="00980BD7"/>
    <w:rsid w:val="00981A15"/>
    <w:rsid w:val="00984471"/>
    <w:rsid w:val="00985F37"/>
    <w:rsid w:val="009879EA"/>
    <w:rsid w:val="009908A5"/>
    <w:rsid w:val="0099124E"/>
    <w:rsid w:val="00991261"/>
    <w:rsid w:val="00991CC2"/>
    <w:rsid w:val="009953D5"/>
    <w:rsid w:val="009A1D29"/>
    <w:rsid w:val="009A7305"/>
    <w:rsid w:val="009B7CD1"/>
    <w:rsid w:val="009C1217"/>
    <w:rsid w:val="009C6394"/>
    <w:rsid w:val="009C7A10"/>
    <w:rsid w:val="009D0BEC"/>
    <w:rsid w:val="009D0E2A"/>
    <w:rsid w:val="009D0F0E"/>
    <w:rsid w:val="009D146A"/>
    <w:rsid w:val="009D1AAE"/>
    <w:rsid w:val="009D634E"/>
    <w:rsid w:val="009E09CE"/>
    <w:rsid w:val="009E1560"/>
    <w:rsid w:val="009E321A"/>
    <w:rsid w:val="009F0F06"/>
    <w:rsid w:val="009F1220"/>
    <w:rsid w:val="009F4FC5"/>
    <w:rsid w:val="009F6969"/>
    <w:rsid w:val="00A01249"/>
    <w:rsid w:val="00A0152E"/>
    <w:rsid w:val="00A1255A"/>
    <w:rsid w:val="00A12B58"/>
    <w:rsid w:val="00A1427D"/>
    <w:rsid w:val="00A160EA"/>
    <w:rsid w:val="00A2204D"/>
    <w:rsid w:val="00A2217D"/>
    <w:rsid w:val="00A235F1"/>
    <w:rsid w:val="00A23F62"/>
    <w:rsid w:val="00A34B00"/>
    <w:rsid w:val="00A34F51"/>
    <w:rsid w:val="00A3777A"/>
    <w:rsid w:val="00A378DF"/>
    <w:rsid w:val="00A42FC4"/>
    <w:rsid w:val="00A44269"/>
    <w:rsid w:val="00A50077"/>
    <w:rsid w:val="00A531FD"/>
    <w:rsid w:val="00A54CA8"/>
    <w:rsid w:val="00A60120"/>
    <w:rsid w:val="00A60196"/>
    <w:rsid w:val="00A6199C"/>
    <w:rsid w:val="00A622AF"/>
    <w:rsid w:val="00A65F4A"/>
    <w:rsid w:val="00A66636"/>
    <w:rsid w:val="00A6759D"/>
    <w:rsid w:val="00A7223B"/>
    <w:rsid w:val="00A72630"/>
    <w:rsid w:val="00A72F22"/>
    <w:rsid w:val="00A73472"/>
    <w:rsid w:val="00A744D7"/>
    <w:rsid w:val="00A748A6"/>
    <w:rsid w:val="00A74A46"/>
    <w:rsid w:val="00A75EC9"/>
    <w:rsid w:val="00A810D4"/>
    <w:rsid w:val="00A82901"/>
    <w:rsid w:val="00A83451"/>
    <w:rsid w:val="00A83538"/>
    <w:rsid w:val="00A8523D"/>
    <w:rsid w:val="00A864F0"/>
    <w:rsid w:val="00A879A4"/>
    <w:rsid w:val="00A902D6"/>
    <w:rsid w:val="00A92EB5"/>
    <w:rsid w:val="00A94FFE"/>
    <w:rsid w:val="00A9772E"/>
    <w:rsid w:val="00AA1D9A"/>
    <w:rsid w:val="00AA32EB"/>
    <w:rsid w:val="00AB1DA6"/>
    <w:rsid w:val="00AB382F"/>
    <w:rsid w:val="00AB4CF1"/>
    <w:rsid w:val="00AB6D08"/>
    <w:rsid w:val="00AD0755"/>
    <w:rsid w:val="00AD1151"/>
    <w:rsid w:val="00AD34EE"/>
    <w:rsid w:val="00AD484A"/>
    <w:rsid w:val="00AD5478"/>
    <w:rsid w:val="00AD5A87"/>
    <w:rsid w:val="00AD7C88"/>
    <w:rsid w:val="00AE23DC"/>
    <w:rsid w:val="00AE3D48"/>
    <w:rsid w:val="00AE45DE"/>
    <w:rsid w:val="00AF0878"/>
    <w:rsid w:val="00AF2F9D"/>
    <w:rsid w:val="00AF6710"/>
    <w:rsid w:val="00B013E6"/>
    <w:rsid w:val="00B03FC2"/>
    <w:rsid w:val="00B04D66"/>
    <w:rsid w:val="00B06AAF"/>
    <w:rsid w:val="00B07781"/>
    <w:rsid w:val="00B10C19"/>
    <w:rsid w:val="00B1157C"/>
    <w:rsid w:val="00B14DBB"/>
    <w:rsid w:val="00B1501F"/>
    <w:rsid w:val="00B22971"/>
    <w:rsid w:val="00B26710"/>
    <w:rsid w:val="00B26B3C"/>
    <w:rsid w:val="00B30179"/>
    <w:rsid w:val="00B304E1"/>
    <w:rsid w:val="00B30C01"/>
    <w:rsid w:val="00B3317B"/>
    <w:rsid w:val="00B33735"/>
    <w:rsid w:val="00B400D7"/>
    <w:rsid w:val="00B41384"/>
    <w:rsid w:val="00B4398E"/>
    <w:rsid w:val="00B45BCD"/>
    <w:rsid w:val="00B45C35"/>
    <w:rsid w:val="00B5392B"/>
    <w:rsid w:val="00B666B2"/>
    <w:rsid w:val="00B71E2B"/>
    <w:rsid w:val="00B73DA8"/>
    <w:rsid w:val="00B73DBA"/>
    <w:rsid w:val="00B74F7C"/>
    <w:rsid w:val="00B7577F"/>
    <w:rsid w:val="00B75E05"/>
    <w:rsid w:val="00B81E12"/>
    <w:rsid w:val="00B84AAC"/>
    <w:rsid w:val="00B90F54"/>
    <w:rsid w:val="00B91CC3"/>
    <w:rsid w:val="00B92A0C"/>
    <w:rsid w:val="00B93068"/>
    <w:rsid w:val="00B96260"/>
    <w:rsid w:val="00B9702C"/>
    <w:rsid w:val="00BB176D"/>
    <w:rsid w:val="00BB3B28"/>
    <w:rsid w:val="00BC62B6"/>
    <w:rsid w:val="00BC74E9"/>
    <w:rsid w:val="00BC7E85"/>
    <w:rsid w:val="00BD05FC"/>
    <w:rsid w:val="00BD2077"/>
    <w:rsid w:val="00BE1FF8"/>
    <w:rsid w:val="00BE382C"/>
    <w:rsid w:val="00BE4448"/>
    <w:rsid w:val="00BE4582"/>
    <w:rsid w:val="00BE50CA"/>
    <w:rsid w:val="00BE618E"/>
    <w:rsid w:val="00BF09CE"/>
    <w:rsid w:val="00C0263F"/>
    <w:rsid w:val="00C03B44"/>
    <w:rsid w:val="00C05987"/>
    <w:rsid w:val="00C10A0B"/>
    <w:rsid w:val="00C13A85"/>
    <w:rsid w:val="00C14B0B"/>
    <w:rsid w:val="00C17563"/>
    <w:rsid w:val="00C217D5"/>
    <w:rsid w:val="00C218A4"/>
    <w:rsid w:val="00C31519"/>
    <w:rsid w:val="00C3515A"/>
    <w:rsid w:val="00C36D37"/>
    <w:rsid w:val="00C37E1B"/>
    <w:rsid w:val="00C463DD"/>
    <w:rsid w:val="00C46832"/>
    <w:rsid w:val="00C46D5B"/>
    <w:rsid w:val="00C52E31"/>
    <w:rsid w:val="00C537D5"/>
    <w:rsid w:val="00C62F76"/>
    <w:rsid w:val="00C66D78"/>
    <w:rsid w:val="00C730AF"/>
    <w:rsid w:val="00C737DA"/>
    <w:rsid w:val="00C745C3"/>
    <w:rsid w:val="00C81212"/>
    <w:rsid w:val="00C84FF1"/>
    <w:rsid w:val="00C9055D"/>
    <w:rsid w:val="00C91180"/>
    <w:rsid w:val="00C91A04"/>
    <w:rsid w:val="00C93C11"/>
    <w:rsid w:val="00C971F6"/>
    <w:rsid w:val="00CA049C"/>
    <w:rsid w:val="00CA2130"/>
    <w:rsid w:val="00CA381C"/>
    <w:rsid w:val="00CA74D3"/>
    <w:rsid w:val="00CB0187"/>
    <w:rsid w:val="00CB2158"/>
    <w:rsid w:val="00CB3CEA"/>
    <w:rsid w:val="00CB6380"/>
    <w:rsid w:val="00CC4CA6"/>
    <w:rsid w:val="00CD0009"/>
    <w:rsid w:val="00CD2CE2"/>
    <w:rsid w:val="00CD30EE"/>
    <w:rsid w:val="00CD3225"/>
    <w:rsid w:val="00CD35E8"/>
    <w:rsid w:val="00CD4A46"/>
    <w:rsid w:val="00CD5868"/>
    <w:rsid w:val="00CE09DE"/>
    <w:rsid w:val="00CE0DE9"/>
    <w:rsid w:val="00CE33D5"/>
    <w:rsid w:val="00CE4083"/>
    <w:rsid w:val="00CE46BA"/>
    <w:rsid w:val="00CE4A8F"/>
    <w:rsid w:val="00CE74ED"/>
    <w:rsid w:val="00CF4259"/>
    <w:rsid w:val="00CF4FE1"/>
    <w:rsid w:val="00CF6F32"/>
    <w:rsid w:val="00CF778D"/>
    <w:rsid w:val="00D053F5"/>
    <w:rsid w:val="00D05BBA"/>
    <w:rsid w:val="00D0631B"/>
    <w:rsid w:val="00D06C3A"/>
    <w:rsid w:val="00D164BA"/>
    <w:rsid w:val="00D16C2F"/>
    <w:rsid w:val="00D17375"/>
    <w:rsid w:val="00D2031B"/>
    <w:rsid w:val="00D2263F"/>
    <w:rsid w:val="00D25E8C"/>
    <w:rsid w:val="00D25FE2"/>
    <w:rsid w:val="00D27E89"/>
    <w:rsid w:val="00D37E80"/>
    <w:rsid w:val="00D40B76"/>
    <w:rsid w:val="00D4313C"/>
    <w:rsid w:val="00D43252"/>
    <w:rsid w:val="00D46231"/>
    <w:rsid w:val="00D477C4"/>
    <w:rsid w:val="00D50DF8"/>
    <w:rsid w:val="00D5409C"/>
    <w:rsid w:val="00D57C13"/>
    <w:rsid w:val="00D57FD9"/>
    <w:rsid w:val="00D610C1"/>
    <w:rsid w:val="00D6123A"/>
    <w:rsid w:val="00D658FA"/>
    <w:rsid w:val="00D66588"/>
    <w:rsid w:val="00D727DA"/>
    <w:rsid w:val="00D730E3"/>
    <w:rsid w:val="00D73803"/>
    <w:rsid w:val="00D74F4C"/>
    <w:rsid w:val="00D753D8"/>
    <w:rsid w:val="00D80B70"/>
    <w:rsid w:val="00D9274F"/>
    <w:rsid w:val="00D96248"/>
    <w:rsid w:val="00D96CC5"/>
    <w:rsid w:val="00D978C6"/>
    <w:rsid w:val="00D97B77"/>
    <w:rsid w:val="00DA6620"/>
    <w:rsid w:val="00DA67AD"/>
    <w:rsid w:val="00DB3327"/>
    <w:rsid w:val="00DD42A0"/>
    <w:rsid w:val="00DE236F"/>
    <w:rsid w:val="00DE3ECB"/>
    <w:rsid w:val="00DE4785"/>
    <w:rsid w:val="00DE7267"/>
    <w:rsid w:val="00DF0A4D"/>
    <w:rsid w:val="00DF3039"/>
    <w:rsid w:val="00DF3A04"/>
    <w:rsid w:val="00DF4518"/>
    <w:rsid w:val="00DF51FB"/>
    <w:rsid w:val="00DF69A6"/>
    <w:rsid w:val="00E004AA"/>
    <w:rsid w:val="00E130AB"/>
    <w:rsid w:val="00E1679E"/>
    <w:rsid w:val="00E20FBA"/>
    <w:rsid w:val="00E239A0"/>
    <w:rsid w:val="00E26039"/>
    <w:rsid w:val="00E3141C"/>
    <w:rsid w:val="00E33D6E"/>
    <w:rsid w:val="00E34E58"/>
    <w:rsid w:val="00E3677E"/>
    <w:rsid w:val="00E36838"/>
    <w:rsid w:val="00E369EE"/>
    <w:rsid w:val="00E36C10"/>
    <w:rsid w:val="00E40B76"/>
    <w:rsid w:val="00E40D7C"/>
    <w:rsid w:val="00E42202"/>
    <w:rsid w:val="00E422B7"/>
    <w:rsid w:val="00E42461"/>
    <w:rsid w:val="00E42F7F"/>
    <w:rsid w:val="00E4443D"/>
    <w:rsid w:val="00E453C0"/>
    <w:rsid w:val="00E51E11"/>
    <w:rsid w:val="00E52EB0"/>
    <w:rsid w:val="00E54352"/>
    <w:rsid w:val="00E54F05"/>
    <w:rsid w:val="00E54FA4"/>
    <w:rsid w:val="00E5644E"/>
    <w:rsid w:val="00E5691C"/>
    <w:rsid w:val="00E56B35"/>
    <w:rsid w:val="00E60903"/>
    <w:rsid w:val="00E631BA"/>
    <w:rsid w:val="00E631FE"/>
    <w:rsid w:val="00E63481"/>
    <w:rsid w:val="00E63DE8"/>
    <w:rsid w:val="00E6613A"/>
    <w:rsid w:val="00E7260F"/>
    <w:rsid w:val="00E730D8"/>
    <w:rsid w:val="00E800F5"/>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2C2B"/>
    <w:rsid w:val="00EC6471"/>
    <w:rsid w:val="00EC6BFD"/>
    <w:rsid w:val="00EC755A"/>
    <w:rsid w:val="00ED1CD6"/>
    <w:rsid w:val="00ED33BB"/>
    <w:rsid w:val="00ED3508"/>
    <w:rsid w:val="00ED3F6F"/>
    <w:rsid w:val="00ED769C"/>
    <w:rsid w:val="00ED7A2A"/>
    <w:rsid w:val="00ED7BE3"/>
    <w:rsid w:val="00EE2966"/>
    <w:rsid w:val="00EE4D59"/>
    <w:rsid w:val="00EE6A50"/>
    <w:rsid w:val="00EE73C3"/>
    <w:rsid w:val="00EE78B9"/>
    <w:rsid w:val="00EF1D7F"/>
    <w:rsid w:val="00EF460B"/>
    <w:rsid w:val="00EF4AAC"/>
    <w:rsid w:val="00EF5645"/>
    <w:rsid w:val="00F01C57"/>
    <w:rsid w:val="00F03FA2"/>
    <w:rsid w:val="00F04308"/>
    <w:rsid w:val="00F05283"/>
    <w:rsid w:val="00F05514"/>
    <w:rsid w:val="00F07537"/>
    <w:rsid w:val="00F07E12"/>
    <w:rsid w:val="00F1200D"/>
    <w:rsid w:val="00F1562F"/>
    <w:rsid w:val="00F21A22"/>
    <w:rsid w:val="00F22D71"/>
    <w:rsid w:val="00F257D1"/>
    <w:rsid w:val="00F30A8A"/>
    <w:rsid w:val="00F34267"/>
    <w:rsid w:val="00F3574D"/>
    <w:rsid w:val="00F40295"/>
    <w:rsid w:val="00F40D33"/>
    <w:rsid w:val="00F40E75"/>
    <w:rsid w:val="00F4111B"/>
    <w:rsid w:val="00F412D3"/>
    <w:rsid w:val="00F444E3"/>
    <w:rsid w:val="00F5087E"/>
    <w:rsid w:val="00F51BAB"/>
    <w:rsid w:val="00F535BE"/>
    <w:rsid w:val="00F54674"/>
    <w:rsid w:val="00F56336"/>
    <w:rsid w:val="00F5743B"/>
    <w:rsid w:val="00F64C95"/>
    <w:rsid w:val="00F75E96"/>
    <w:rsid w:val="00F875B0"/>
    <w:rsid w:val="00F9067E"/>
    <w:rsid w:val="00FA00A0"/>
    <w:rsid w:val="00FA032F"/>
    <w:rsid w:val="00FA0EB8"/>
    <w:rsid w:val="00FA18AC"/>
    <w:rsid w:val="00FA1EC3"/>
    <w:rsid w:val="00FA3FB7"/>
    <w:rsid w:val="00FA53CA"/>
    <w:rsid w:val="00FB4552"/>
    <w:rsid w:val="00FB5A37"/>
    <w:rsid w:val="00FB744D"/>
    <w:rsid w:val="00FB7793"/>
    <w:rsid w:val="00FC1128"/>
    <w:rsid w:val="00FC18AA"/>
    <w:rsid w:val="00FC215C"/>
    <w:rsid w:val="00FC68B7"/>
    <w:rsid w:val="00FD3C5D"/>
    <w:rsid w:val="00FD3E70"/>
    <w:rsid w:val="00FD6B2B"/>
    <w:rsid w:val="00FE3EEA"/>
    <w:rsid w:val="00FE422B"/>
    <w:rsid w:val="00FE58A3"/>
    <w:rsid w:val="00FF03BB"/>
    <w:rsid w:val="00FF071A"/>
    <w:rsid w:val="00FF2D01"/>
    <w:rsid w:val="00FF51FB"/>
    <w:rsid w:val="00FF67F6"/>
    <w:rsid w:val="05FDEAD5"/>
    <w:rsid w:val="09939D8E"/>
    <w:rsid w:val="0B9EEBFF"/>
    <w:rsid w:val="147AA3A2"/>
    <w:rsid w:val="2BCB7254"/>
    <w:rsid w:val="2C19E1FF"/>
    <w:rsid w:val="320D2B6F"/>
    <w:rsid w:val="3616F79D"/>
    <w:rsid w:val="435DFC7D"/>
    <w:rsid w:val="4CCF97B6"/>
    <w:rsid w:val="4DE7ECDE"/>
    <w:rsid w:val="4EF87190"/>
    <w:rsid w:val="53AC56CA"/>
    <w:rsid w:val="5B0D94D9"/>
    <w:rsid w:val="5F1A194D"/>
    <w:rsid w:val="61579390"/>
    <w:rsid w:val="6D0AD8E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E4042"/>
  <w15:docId w15:val="{01C28710-EF5F-47D6-8CD8-536BB71D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style>
  <w:style w:type="paragraph" w:styleId="Titre1">
    <w:name w:val="heading 1"/>
    <w:aliases w:val="Table_G"/>
    <w:basedOn w:val="SingleTxtG"/>
    <w:next w:val="SingleTxtG"/>
    <w:link w:val="Titre1Car"/>
    <w:qFormat/>
    <w:rsid w:val="00A8523D"/>
    <w:pPr>
      <w:spacing w:after="0" w:line="240" w:lineRule="auto"/>
      <w:ind w:right="0"/>
      <w:jc w:val="left"/>
      <w:outlineLvl w:val="0"/>
    </w:pPr>
  </w:style>
  <w:style w:type="paragraph" w:styleId="Titre2">
    <w:name w:val="heading 2"/>
    <w:basedOn w:val="Normal"/>
    <w:next w:val="Normal"/>
    <w:qFormat/>
    <w:rsid w:val="00A8523D"/>
    <w:pPr>
      <w:spacing w:line="240" w:lineRule="auto"/>
      <w:outlineLvl w:val="1"/>
    </w:pPr>
  </w:style>
  <w:style w:type="paragraph" w:styleId="Titre3">
    <w:name w:val="heading 3"/>
    <w:basedOn w:val="Normal"/>
    <w:next w:val="Normal"/>
    <w:link w:val="Titre3Car"/>
    <w:qFormat/>
    <w:rsid w:val="00A8523D"/>
    <w:pPr>
      <w:spacing w:line="240" w:lineRule="auto"/>
      <w:outlineLvl w:val="2"/>
    </w:pPr>
  </w:style>
  <w:style w:type="paragraph" w:styleId="Titre4">
    <w:name w:val="heading 4"/>
    <w:basedOn w:val="Normal"/>
    <w:next w:val="Normal"/>
    <w:qFormat/>
    <w:rsid w:val="00A8523D"/>
    <w:pPr>
      <w:spacing w:line="240" w:lineRule="auto"/>
      <w:outlineLvl w:val="3"/>
    </w:pPr>
  </w:style>
  <w:style w:type="paragraph" w:styleId="Titre5">
    <w:name w:val="heading 5"/>
    <w:basedOn w:val="Normal"/>
    <w:next w:val="Normal"/>
    <w:link w:val="Titre5Car"/>
    <w:qFormat/>
    <w:rsid w:val="00A8523D"/>
    <w:pPr>
      <w:spacing w:line="240" w:lineRule="auto"/>
      <w:outlineLvl w:val="4"/>
    </w:pPr>
  </w:style>
  <w:style w:type="paragraph" w:styleId="Titre6">
    <w:name w:val="heading 6"/>
    <w:basedOn w:val="Normal"/>
    <w:next w:val="Normal"/>
    <w:qFormat/>
    <w:rsid w:val="00A8523D"/>
    <w:pPr>
      <w:spacing w:line="240" w:lineRule="auto"/>
      <w:outlineLvl w:val="5"/>
    </w:pPr>
  </w:style>
  <w:style w:type="paragraph" w:styleId="Titre7">
    <w:name w:val="heading 7"/>
    <w:basedOn w:val="Normal"/>
    <w:next w:val="Normal"/>
    <w:qFormat/>
    <w:rsid w:val="00A8523D"/>
    <w:pPr>
      <w:spacing w:line="240" w:lineRule="auto"/>
      <w:outlineLvl w:val="6"/>
    </w:pPr>
  </w:style>
  <w:style w:type="paragraph" w:styleId="Titre8">
    <w:name w:val="heading 8"/>
    <w:basedOn w:val="Normal"/>
    <w:next w:val="Normal"/>
    <w:qFormat/>
    <w:rsid w:val="00A8523D"/>
    <w:pPr>
      <w:spacing w:line="240" w:lineRule="auto"/>
      <w:outlineLvl w:val="7"/>
    </w:pPr>
  </w:style>
  <w:style w:type="paragraph" w:styleId="Titre9">
    <w:name w:val="heading 9"/>
    <w:basedOn w:val="Normal"/>
    <w:next w:val="Normal"/>
    <w:qFormat/>
    <w:rsid w:val="00A8523D"/>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Numrodepage">
    <w:name w:val="page number"/>
    <w:aliases w:val="7_G"/>
    <w:qFormat/>
    <w:rsid w:val="00A8523D"/>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Appeldenotedefin">
    <w:name w:val="endnote reference"/>
    <w:aliases w:val="1_G"/>
    <w:qFormat/>
    <w:rsid w:val="00A8523D"/>
    <w:rPr>
      <w:rFonts w:ascii="Times New Roman" w:hAnsi="Times New Roman"/>
      <w:sz w:val="18"/>
      <w:vertAlign w:val="superscript"/>
    </w:rPr>
  </w:style>
  <w:style w:type="character" w:styleId="Appelnotedebasdep">
    <w:name w:val="footnote reference"/>
    <w:aliases w:val="4_G,Footnote Reference/"/>
    <w:qFormat/>
    <w:rsid w:val="00A8523D"/>
    <w:rPr>
      <w:rFonts w:ascii="Times New Roman" w:hAnsi="Times New Roman"/>
      <w:sz w:val="18"/>
      <w:vertAlign w:val="superscript"/>
    </w:rPr>
  </w:style>
  <w:style w:type="paragraph" w:styleId="Notedebasdepage">
    <w:name w:val="footnote text"/>
    <w:aliases w:val="5_G"/>
    <w:basedOn w:val="Normal"/>
    <w:link w:val="NotedebasdepageCar"/>
    <w:qFormat/>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Notedefin">
    <w:name w:val="endnote text"/>
    <w:aliases w:val="2_G"/>
    <w:basedOn w:val="Notedebasdepage"/>
    <w:link w:val="NotedefinCar"/>
    <w:qFormat/>
    <w:rsid w:val="00A8523D"/>
  </w:style>
  <w:style w:type="character" w:styleId="Marquedecommentaire">
    <w:name w:val="annotation reference"/>
    <w:uiPriority w:val="99"/>
    <w:rPr>
      <w:sz w:val="6"/>
    </w:rPr>
  </w:style>
  <w:style w:type="paragraph" w:styleId="Commentaire">
    <w:name w:val="annotation text"/>
    <w:basedOn w:val="Normal"/>
    <w:link w:val="CommentaireCar"/>
    <w:uiPriority w:val="99"/>
    <w:rPr>
      <w:lang w:eastAsia="x-none"/>
    </w:rPr>
  </w:style>
  <w:style w:type="character" w:styleId="Numrodeligne">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uiPriority w:val="20"/>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rsid w:val="00A8523D"/>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uiPriority w:val="99"/>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A8523D"/>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qFormat/>
    <w:rsid w:val="00A8523D"/>
    <w:pPr>
      <w:spacing w:line="240" w:lineRule="auto"/>
    </w:pPr>
    <w:rPr>
      <w:sz w:val="16"/>
    </w:rPr>
  </w:style>
  <w:style w:type="paragraph" w:styleId="En-tte">
    <w:name w:val="header"/>
    <w:aliases w:val="6_G"/>
    <w:basedOn w:val="Normal"/>
    <w:link w:val="En-tteCar"/>
    <w:qFormat/>
    <w:rsid w:val="00A8523D"/>
    <w:pPr>
      <w:pBdr>
        <w:bottom w:val="single" w:sz="4" w:space="4" w:color="auto"/>
      </w:pBdr>
      <w:spacing w:line="240" w:lineRule="auto"/>
    </w:pPr>
    <w:rPr>
      <w:b/>
      <w:sz w:val="18"/>
    </w:rPr>
  </w:style>
  <w:style w:type="paragraph" w:styleId="Textedebulles">
    <w:name w:val="Balloon Text"/>
    <w:basedOn w:val="Normal"/>
    <w:link w:val="TextedebullesCar"/>
    <w:rsid w:val="000216CC"/>
    <w:pPr>
      <w:spacing w:line="240" w:lineRule="auto"/>
    </w:pPr>
    <w:rPr>
      <w:rFonts w:ascii="Tahoma" w:hAnsi="Tahoma"/>
      <w:sz w:val="16"/>
      <w:szCs w:val="16"/>
    </w:rPr>
  </w:style>
  <w:style w:type="character" w:customStyle="1" w:styleId="TextedebullesCar">
    <w:name w:val="Texte de bulles Car"/>
    <w:link w:val="Textedebulles"/>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Paragraphedeliste">
    <w:name w:val="List Paragraph"/>
    <w:basedOn w:val="Normal"/>
    <w:uiPriority w:val="34"/>
    <w:qFormat/>
    <w:rsid w:val="006B1C55"/>
    <w:pPr>
      <w:suppressAutoHyphens w:val="0"/>
      <w:spacing w:line="240" w:lineRule="auto"/>
      <w:ind w:left="720"/>
      <w:jc w:val="both"/>
    </w:pPr>
    <w:rPr>
      <w:sz w:val="24"/>
      <w:szCs w:val="24"/>
    </w:rPr>
  </w:style>
  <w:style w:type="paragraph" w:customStyle="1" w:styleId="Default">
    <w:name w:val="Default"/>
    <w:rsid w:val="00494C77"/>
    <w:pPr>
      <w:autoSpaceDE w:val="0"/>
      <w:autoSpaceDN w:val="0"/>
      <w:adjustRightInd w:val="0"/>
    </w:pPr>
    <w:rPr>
      <w:color w:val="000000"/>
      <w:sz w:val="24"/>
      <w:szCs w:val="24"/>
      <w:lang w:eastAsia="sv-SE"/>
    </w:rPr>
  </w:style>
  <w:style w:type="character" w:customStyle="1" w:styleId="SingleTxtGChar">
    <w:name w:val="_ Single Txt_G Char"/>
    <w:link w:val="SingleTxtG"/>
    <w:qFormat/>
    <w:locked/>
    <w:rsid w:val="00E34E58"/>
    <w:rPr>
      <w:lang w:eastAsia="en-US"/>
    </w:rPr>
  </w:style>
  <w:style w:type="character" w:customStyle="1" w:styleId="NotedebasdepageCar">
    <w:name w:val="Note de bas de page Car"/>
    <w:aliases w:val="5_G Car"/>
    <w:link w:val="Notedebasdepage"/>
    <w:rsid w:val="00E34E58"/>
    <w:rPr>
      <w:sz w:val="18"/>
      <w:lang w:eastAsia="en-US"/>
    </w:rPr>
  </w:style>
  <w:style w:type="paragraph" w:styleId="Objetducommentaire">
    <w:name w:val="annotation subject"/>
    <w:basedOn w:val="Commentaire"/>
    <w:next w:val="Commentaire"/>
    <w:link w:val="ObjetducommentaireCar"/>
    <w:rsid w:val="00115303"/>
    <w:rPr>
      <w:b/>
      <w:bCs/>
    </w:rPr>
  </w:style>
  <w:style w:type="character" w:customStyle="1" w:styleId="CommentaireCar">
    <w:name w:val="Commentaire Car"/>
    <w:link w:val="Commentaire"/>
    <w:uiPriority w:val="99"/>
    <w:rsid w:val="00115303"/>
    <w:rPr>
      <w:lang w:val="en-GB"/>
    </w:rPr>
  </w:style>
  <w:style w:type="character" w:customStyle="1" w:styleId="ObjetducommentaireCar">
    <w:name w:val="Objet du commentaire Car"/>
    <w:link w:val="Objetducommentaire"/>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Titre3Car">
    <w:name w:val="Titre 3 Car"/>
    <w:link w:val="Titre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Corpsdetexte"/>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PrformatHTMLCar">
    <w:name w:val="Préformaté HTML Car"/>
    <w:link w:val="PrformatHTML"/>
    <w:uiPriority w:val="99"/>
    <w:rsid w:val="00EC1F27"/>
    <w:rPr>
      <w:rFonts w:ascii="Courier New" w:hAnsi="Courier New" w:cs="Courier New"/>
      <w:lang w:eastAsia="en-US"/>
    </w:rPr>
  </w:style>
  <w:style w:type="character" w:customStyle="1" w:styleId="PieddepageCar">
    <w:name w:val="Pied de page Car"/>
    <w:aliases w:val="3_G Car"/>
    <w:link w:val="Pieddepage"/>
    <w:uiPriority w:val="99"/>
    <w:rsid w:val="00EC1F27"/>
    <w:rPr>
      <w:sz w:val="16"/>
      <w:lang w:eastAsia="en-US"/>
    </w:rPr>
  </w:style>
  <w:style w:type="character" w:customStyle="1" w:styleId="RetraitcorpsdetexteCar">
    <w:name w:val="Retrait corps de texte Car"/>
    <w:link w:val="Retraitcorpsdetexte"/>
    <w:semiHidden/>
    <w:rsid w:val="00EC1F27"/>
    <w:rPr>
      <w:lang w:eastAsia="en-US"/>
    </w:rPr>
  </w:style>
  <w:style w:type="character" w:customStyle="1" w:styleId="Retraitcorpsdetexte2Car">
    <w:name w:val="Retrait corps de texte 2 Car"/>
    <w:link w:val="Retraitcorpsdetexte2"/>
    <w:semiHidden/>
    <w:rsid w:val="00EC1F27"/>
    <w:rPr>
      <w:lang w:eastAsia="en-US"/>
    </w:rPr>
  </w:style>
  <w:style w:type="character" w:customStyle="1" w:styleId="CorpsdetexteCar">
    <w:name w:val="Corps de texte Car"/>
    <w:link w:val="Corpsdetexte"/>
    <w:semiHidden/>
    <w:rsid w:val="00EC1F27"/>
    <w:rPr>
      <w:lang w:eastAsia="en-US"/>
    </w:rPr>
  </w:style>
  <w:style w:type="character" w:customStyle="1" w:styleId="En-tteCar">
    <w:name w:val="En-tête Car"/>
    <w:aliases w:val="6_G Car"/>
    <w:link w:val="En-tte"/>
    <w:rsid w:val="00EC1F27"/>
    <w:rPr>
      <w:b/>
      <w:sz w:val="18"/>
      <w:lang w:eastAsia="en-US"/>
    </w:rPr>
  </w:style>
  <w:style w:type="character" w:customStyle="1" w:styleId="Retraitcorpsdetexte3Car">
    <w:name w:val="Retrait corps de texte 3 Car"/>
    <w:link w:val="Retraitcorpsdetexte3"/>
    <w:semiHidden/>
    <w:rsid w:val="00EC1F27"/>
    <w:rPr>
      <w:sz w:val="16"/>
      <w:szCs w:val="16"/>
      <w:lang w:eastAsia="en-US"/>
    </w:rPr>
  </w:style>
  <w:style w:type="character" w:customStyle="1" w:styleId="TitreCar">
    <w:name w:val="Titre Car"/>
    <w:link w:val="Titre"/>
    <w:rsid w:val="00EC1F27"/>
    <w:rPr>
      <w:rFonts w:ascii="Arial" w:hAnsi="Arial" w:cs="Arial"/>
      <w:b/>
      <w:bCs/>
      <w:kern w:val="28"/>
      <w:sz w:val="32"/>
      <w:szCs w:val="32"/>
      <w:lang w:eastAsia="en-US"/>
    </w:rPr>
  </w:style>
  <w:style w:type="character" w:customStyle="1" w:styleId="Titre5Car">
    <w:name w:val="Titre 5 Car"/>
    <w:link w:val="Titre5"/>
    <w:rsid w:val="00EC1F27"/>
    <w:rPr>
      <w:lang w:eastAsia="en-US"/>
    </w:rPr>
  </w:style>
  <w:style w:type="character" w:customStyle="1" w:styleId="NotedefinCar">
    <w:name w:val="Note de fin Car"/>
    <w:aliases w:val="2_G Car"/>
    <w:link w:val="Notedefin"/>
    <w:rsid w:val="00EC1F27"/>
    <w:rPr>
      <w:sz w:val="18"/>
      <w:lang w:val="en-GB"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Corpsdetexte"/>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Corpsdetexte2Car">
    <w:name w:val="Corps de texte 2 Car"/>
    <w:link w:val="Corpsdetexte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Textedelespacerserv">
    <w:name w:val="Placeholder Text"/>
    <w:uiPriority w:val="99"/>
    <w:semiHidden/>
    <w:rsid w:val="00EC1F27"/>
    <w:rPr>
      <w:color w:val="808080"/>
    </w:rPr>
  </w:style>
  <w:style w:type="paragraph" w:styleId="Lgende">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eastAsia="fr-FR"/>
    </w:rPr>
  </w:style>
  <w:style w:type="paragraph" w:customStyle="1" w:styleId="Level2">
    <w:name w:val="Level 2"/>
    <w:semiHidden/>
    <w:rsid w:val="00EC1F27"/>
    <w:pPr>
      <w:autoSpaceDE w:val="0"/>
      <w:autoSpaceDN w:val="0"/>
      <w:adjustRightInd w:val="0"/>
      <w:ind w:left="-1440"/>
      <w:jc w:val="both"/>
    </w:pPr>
    <w:rPr>
      <w:sz w:val="24"/>
      <w:szCs w:val="24"/>
      <w:lang w:eastAsia="fr-FR"/>
    </w:rPr>
  </w:style>
  <w:style w:type="paragraph" w:customStyle="1" w:styleId="Level3">
    <w:name w:val="Level 3"/>
    <w:semiHidden/>
    <w:rsid w:val="00EC1F27"/>
    <w:pPr>
      <w:autoSpaceDE w:val="0"/>
      <w:autoSpaceDN w:val="0"/>
      <w:adjustRightInd w:val="0"/>
      <w:ind w:left="-1440"/>
      <w:jc w:val="both"/>
    </w:pPr>
    <w:rPr>
      <w:sz w:val="24"/>
      <w:szCs w:val="24"/>
      <w:lang w:eastAsia="fr-FR"/>
    </w:rPr>
  </w:style>
  <w:style w:type="paragraph" w:customStyle="1" w:styleId="Level4">
    <w:name w:val="Level 4"/>
    <w:semiHidden/>
    <w:rsid w:val="00EC1F27"/>
    <w:pPr>
      <w:autoSpaceDE w:val="0"/>
      <w:autoSpaceDN w:val="0"/>
      <w:adjustRightInd w:val="0"/>
      <w:ind w:left="-1440"/>
      <w:jc w:val="both"/>
    </w:pPr>
    <w:rPr>
      <w:sz w:val="24"/>
      <w:szCs w:val="24"/>
      <w:lang w:eastAsia="fr-FR"/>
    </w:rPr>
  </w:style>
  <w:style w:type="paragraph" w:customStyle="1" w:styleId="Level5">
    <w:name w:val="Level 5"/>
    <w:semiHidden/>
    <w:rsid w:val="00EC1F27"/>
    <w:pPr>
      <w:autoSpaceDE w:val="0"/>
      <w:autoSpaceDN w:val="0"/>
      <w:adjustRightInd w:val="0"/>
      <w:ind w:left="-1440"/>
      <w:jc w:val="both"/>
    </w:pPr>
    <w:rPr>
      <w:sz w:val="24"/>
      <w:szCs w:val="24"/>
      <w:lang w:eastAsia="fr-FR"/>
    </w:rPr>
  </w:style>
  <w:style w:type="paragraph" w:customStyle="1" w:styleId="Level6">
    <w:name w:val="Level 6"/>
    <w:semiHidden/>
    <w:rsid w:val="00EC1F27"/>
    <w:pPr>
      <w:autoSpaceDE w:val="0"/>
      <w:autoSpaceDN w:val="0"/>
      <w:adjustRightInd w:val="0"/>
      <w:ind w:left="-1440"/>
      <w:jc w:val="both"/>
    </w:pPr>
    <w:rPr>
      <w:sz w:val="24"/>
      <w:szCs w:val="24"/>
      <w:lang w:eastAsia="fr-FR"/>
    </w:rPr>
  </w:style>
  <w:style w:type="paragraph" w:customStyle="1" w:styleId="Level7">
    <w:name w:val="Level 7"/>
    <w:semiHidden/>
    <w:rsid w:val="00EC1F27"/>
    <w:pPr>
      <w:autoSpaceDE w:val="0"/>
      <w:autoSpaceDN w:val="0"/>
      <w:adjustRightInd w:val="0"/>
      <w:ind w:left="-1440"/>
      <w:jc w:val="both"/>
    </w:pPr>
    <w:rPr>
      <w:sz w:val="24"/>
      <w:szCs w:val="24"/>
      <w:lang w:eastAsia="fr-FR"/>
    </w:rPr>
  </w:style>
  <w:style w:type="paragraph" w:customStyle="1" w:styleId="Level8">
    <w:name w:val="Level 8"/>
    <w:semiHidden/>
    <w:rsid w:val="00EC1F27"/>
    <w:pPr>
      <w:autoSpaceDE w:val="0"/>
      <w:autoSpaceDN w:val="0"/>
      <w:adjustRightInd w:val="0"/>
      <w:ind w:left="-1440"/>
      <w:jc w:val="both"/>
    </w:pPr>
    <w:rPr>
      <w:sz w:val="24"/>
      <w:szCs w:val="24"/>
      <w:lang w:eastAsia="fr-FR"/>
    </w:rPr>
  </w:style>
  <w:style w:type="paragraph" w:customStyle="1" w:styleId="Level9">
    <w:name w:val="Level 9"/>
    <w:semiHidden/>
    <w:rsid w:val="00EC1F27"/>
    <w:pPr>
      <w:autoSpaceDE w:val="0"/>
      <w:autoSpaceDN w:val="0"/>
      <w:adjustRightInd w:val="0"/>
      <w:ind w:left="-1440"/>
      <w:jc w:val="both"/>
    </w:pPr>
    <w:rPr>
      <w:b/>
      <w:bCs/>
      <w:sz w:val="24"/>
      <w:szCs w:val="24"/>
      <w:lang w:eastAsia="fr-FR"/>
    </w:rPr>
  </w:style>
  <w:style w:type="character" w:customStyle="1" w:styleId="H23GChar">
    <w:name w:val="_ H_2/3_G Char"/>
    <w:link w:val="H23G"/>
    <w:rsid w:val="00EC1F27"/>
    <w:rPr>
      <w:b/>
      <w:lang w:eastAsia="en-US"/>
    </w:rPr>
  </w:style>
  <w:style w:type="paragraph" w:styleId="Rvision">
    <w:name w:val="Revision"/>
    <w:hidden/>
    <w:uiPriority w:val="99"/>
    <w:semiHidden/>
    <w:rsid w:val="00EC1F27"/>
    <w:rPr>
      <w:lang w:eastAsia="fr-FR"/>
    </w:rPr>
  </w:style>
  <w:style w:type="character" w:customStyle="1" w:styleId="UnresolvedMention1">
    <w:name w:val="Unresolved Mention1"/>
    <w:basedOn w:val="Policepardfau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eastAsia="fr-FR"/>
    </w:rPr>
  </w:style>
  <w:style w:type="character" w:customStyle="1" w:styleId="Titre1Car">
    <w:name w:val="Titre 1 Car"/>
    <w:aliases w:val="Table_G Car"/>
    <w:basedOn w:val="Policepardfaut"/>
    <w:link w:val="Titre1"/>
    <w:rsid w:val="00365AA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338391051">
      <w:bodyDiv w:val="1"/>
      <w:marLeft w:val="0"/>
      <w:marRight w:val="0"/>
      <w:marTop w:val="0"/>
      <w:marBottom w:val="0"/>
      <w:divBdr>
        <w:top w:val="none" w:sz="0" w:space="0" w:color="auto"/>
        <w:left w:val="none" w:sz="0" w:space="0" w:color="auto"/>
        <w:bottom w:val="none" w:sz="0" w:space="0" w:color="auto"/>
        <w:right w:val="none" w:sz="0" w:space="0" w:color="auto"/>
      </w:divBdr>
    </w:div>
    <w:div w:id="545336462">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768356664">
      <w:bodyDiv w:val="1"/>
      <w:marLeft w:val="0"/>
      <w:marRight w:val="0"/>
      <w:marTop w:val="0"/>
      <w:marBottom w:val="0"/>
      <w:divBdr>
        <w:top w:val="none" w:sz="0" w:space="0" w:color="auto"/>
        <w:left w:val="none" w:sz="0" w:space="0" w:color="auto"/>
        <w:bottom w:val="none" w:sz="0" w:space="0" w:color="auto"/>
        <w:right w:val="none" w:sz="0" w:space="0" w:color="auto"/>
      </w:divBdr>
    </w:div>
    <w:div w:id="776221311">
      <w:bodyDiv w:val="1"/>
      <w:marLeft w:val="0"/>
      <w:marRight w:val="0"/>
      <w:marTop w:val="0"/>
      <w:marBottom w:val="0"/>
      <w:divBdr>
        <w:top w:val="none" w:sz="0" w:space="0" w:color="auto"/>
        <w:left w:val="none" w:sz="0" w:space="0" w:color="auto"/>
        <w:bottom w:val="none" w:sz="0" w:space="0" w:color="auto"/>
        <w:right w:val="none" w:sz="0" w:space="0" w:color="auto"/>
      </w:divBdr>
    </w:div>
    <w:div w:id="987830512">
      <w:bodyDiv w:val="1"/>
      <w:marLeft w:val="0"/>
      <w:marRight w:val="0"/>
      <w:marTop w:val="0"/>
      <w:marBottom w:val="0"/>
      <w:divBdr>
        <w:top w:val="none" w:sz="0" w:space="0" w:color="auto"/>
        <w:left w:val="none" w:sz="0" w:space="0" w:color="auto"/>
        <w:bottom w:val="none" w:sz="0" w:space="0" w:color="auto"/>
        <w:right w:val="none" w:sz="0" w:space="0" w:color="auto"/>
      </w:divBdr>
    </w:div>
    <w:div w:id="1075785294">
      <w:bodyDiv w:val="1"/>
      <w:marLeft w:val="0"/>
      <w:marRight w:val="0"/>
      <w:marTop w:val="0"/>
      <w:marBottom w:val="0"/>
      <w:divBdr>
        <w:top w:val="none" w:sz="0" w:space="0" w:color="auto"/>
        <w:left w:val="none" w:sz="0" w:space="0" w:color="auto"/>
        <w:bottom w:val="none" w:sz="0" w:space="0" w:color="auto"/>
        <w:right w:val="none" w:sz="0" w:space="0" w:color="auto"/>
      </w:divBdr>
    </w:div>
    <w:div w:id="1217811964">
      <w:bodyDiv w:val="1"/>
      <w:marLeft w:val="0"/>
      <w:marRight w:val="0"/>
      <w:marTop w:val="0"/>
      <w:marBottom w:val="0"/>
      <w:divBdr>
        <w:top w:val="none" w:sz="0" w:space="0" w:color="auto"/>
        <w:left w:val="none" w:sz="0" w:space="0" w:color="auto"/>
        <w:bottom w:val="none" w:sz="0" w:space="0" w:color="auto"/>
        <w:right w:val="none" w:sz="0" w:space="0" w:color="auto"/>
      </w:divBdr>
    </w:div>
    <w:div w:id="1310552300">
      <w:bodyDiv w:val="1"/>
      <w:marLeft w:val="0"/>
      <w:marRight w:val="0"/>
      <w:marTop w:val="0"/>
      <w:marBottom w:val="0"/>
      <w:divBdr>
        <w:top w:val="none" w:sz="0" w:space="0" w:color="auto"/>
        <w:left w:val="none" w:sz="0" w:space="0" w:color="auto"/>
        <w:bottom w:val="none" w:sz="0" w:space="0" w:color="auto"/>
        <w:right w:val="none" w:sz="0" w:space="0" w:color="auto"/>
      </w:divBdr>
    </w:div>
    <w:div w:id="1514682480">
      <w:bodyDiv w:val="1"/>
      <w:marLeft w:val="0"/>
      <w:marRight w:val="0"/>
      <w:marTop w:val="0"/>
      <w:marBottom w:val="0"/>
      <w:divBdr>
        <w:top w:val="none" w:sz="0" w:space="0" w:color="auto"/>
        <w:left w:val="none" w:sz="0" w:space="0" w:color="auto"/>
        <w:bottom w:val="none" w:sz="0" w:space="0" w:color="auto"/>
        <w:right w:val="none" w:sz="0" w:space="0" w:color="auto"/>
      </w:divBdr>
    </w:div>
    <w:div w:id="1583875557">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655335383">
      <w:bodyDiv w:val="1"/>
      <w:marLeft w:val="0"/>
      <w:marRight w:val="0"/>
      <w:marTop w:val="0"/>
      <w:marBottom w:val="0"/>
      <w:divBdr>
        <w:top w:val="none" w:sz="0" w:space="0" w:color="auto"/>
        <w:left w:val="none" w:sz="0" w:space="0" w:color="auto"/>
        <w:bottom w:val="none" w:sz="0" w:space="0" w:color="auto"/>
        <w:right w:val="none" w:sz="0" w:space="0" w:color="auto"/>
      </w:divBdr>
    </w:div>
    <w:div w:id="1727072545">
      <w:bodyDiv w:val="1"/>
      <w:marLeft w:val="0"/>
      <w:marRight w:val="0"/>
      <w:marTop w:val="0"/>
      <w:marBottom w:val="0"/>
      <w:divBdr>
        <w:top w:val="none" w:sz="0" w:space="0" w:color="auto"/>
        <w:left w:val="none" w:sz="0" w:space="0" w:color="auto"/>
        <w:bottom w:val="none" w:sz="0" w:space="0" w:color="auto"/>
        <w:right w:val="none" w:sz="0" w:space="0" w:color="auto"/>
      </w:divBdr>
    </w:div>
    <w:div w:id="1727484828">
      <w:bodyDiv w:val="1"/>
      <w:marLeft w:val="0"/>
      <w:marRight w:val="0"/>
      <w:marTop w:val="0"/>
      <w:marBottom w:val="0"/>
      <w:divBdr>
        <w:top w:val="none" w:sz="0" w:space="0" w:color="auto"/>
        <w:left w:val="none" w:sz="0" w:space="0" w:color="auto"/>
        <w:bottom w:val="none" w:sz="0" w:space="0" w:color="auto"/>
        <w:right w:val="none" w:sz="0" w:space="0" w:color="auto"/>
      </w:divBdr>
    </w:div>
    <w:div w:id="1774548837">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860780602">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 w:id="205469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ysafe.info/iahysafe/wp-content/uploads/2019_papers/104.pdf"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01E86-257E-4455-8A32-86AA353E7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581C6-3357-4FE5-A582-1F69580B09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D09AB-6FC5-4759-9A2D-47190DC75F83}">
  <ds:schemaRefs>
    <ds:schemaRef ds:uri="http://schemas.microsoft.com/sharepoint/v3/contenttype/forms"/>
  </ds:schemaRefs>
</ds:datastoreItem>
</file>

<file path=customXml/itemProps4.xml><?xml version="1.0" encoding="utf-8"?>
<ds:datastoreItem xmlns:ds="http://schemas.openxmlformats.org/officeDocument/2006/customXml" ds:itemID="{A0511A48-4ADB-411B-9CEB-0EAB3074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39</TotalTime>
  <Pages>15</Pages>
  <Words>1973</Words>
  <Characters>11248</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Rakowski, Korinna</dc:creator>
  <cp:lastModifiedBy>Romain Hubert</cp:lastModifiedBy>
  <cp:revision>21</cp:revision>
  <cp:lastPrinted>2020-10-05T13:18:00Z</cp:lastPrinted>
  <dcterms:created xsi:type="dcterms:W3CDTF">2020-11-27T18:44:00Z</dcterms:created>
  <dcterms:modified xsi:type="dcterms:W3CDTF">2020-11-27T20:03:00Z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ies>
</file>