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3FF43550"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211A08">
              <w:rPr>
                <w:b/>
                <w:sz w:val="40"/>
                <w:szCs w:val="40"/>
              </w:rPr>
              <w:t>7</w:t>
            </w:r>
            <w:r w:rsidRPr="0049211A">
              <w:rPr>
                <w:b/>
                <w:sz w:val="40"/>
                <w:szCs w:val="40"/>
              </w:rPr>
              <w:t>/INF.</w:t>
            </w:r>
            <w:r w:rsidR="009C52CC">
              <w:rPr>
                <w:b/>
                <w:sz w:val="40"/>
                <w:szCs w:val="40"/>
              </w:rPr>
              <w:t>5</w:t>
            </w:r>
            <w:r w:rsidR="00985E1D">
              <w:rPr>
                <w:b/>
                <w:sz w:val="40"/>
                <w:szCs w:val="40"/>
              </w:rPr>
              <w:t>1</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756BC261" w:rsidR="00645A0B" w:rsidRPr="0049211A" w:rsidRDefault="00645A0B" w:rsidP="00E275F7">
            <w:pPr>
              <w:tabs>
                <w:tab w:val="right" w:pos="9214"/>
              </w:tabs>
            </w:pPr>
            <w:r w:rsidRPr="0049211A">
              <w:rPr>
                <w:b/>
                <w:sz w:val="24"/>
                <w:szCs w:val="24"/>
              </w:rPr>
              <w:t>Committee of Experts on the Transport of Dangerous Goods</w:t>
            </w:r>
            <w:r w:rsidRPr="0049211A">
              <w:rPr>
                <w:b/>
                <w:sz w:val="24"/>
                <w:szCs w:val="24"/>
              </w:rPr>
              <w:br/>
              <w:t>and on the Globally Harmonized System of Classification</w:t>
            </w:r>
            <w:r w:rsidRPr="0049211A">
              <w:rPr>
                <w:b/>
                <w:sz w:val="24"/>
                <w:szCs w:val="24"/>
              </w:rPr>
              <w:br/>
              <w:t>and Labelling of Chemicals</w:t>
            </w:r>
            <w:r w:rsidRPr="0049211A">
              <w:rPr>
                <w:b/>
              </w:rPr>
              <w:tab/>
            </w:r>
            <w:r w:rsidR="00E275F7">
              <w:rPr>
                <w:b/>
              </w:rPr>
              <w:t>2</w:t>
            </w:r>
            <w:r w:rsidR="00211A08">
              <w:rPr>
                <w:b/>
              </w:rPr>
              <w:t>7</w:t>
            </w:r>
            <w:r w:rsidR="008B57F6">
              <w:rPr>
                <w:b/>
              </w:rPr>
              <w:t xml:space="preserve"> </w:t>
            </w:r>
            <w:r w:rsidR="00211A08">
              <w:rPr>
                <w:b/>
              </w:rPr>
              <w:t>November</w:t>
            </w:r>
            <w:r w:rsidR="006216A1" w:rsidRPr="006216A1">
              <w:rPr>
                <w:b/>
              </w:rPr>
              <w:t xml:space="preserve"> </w:t>
            </w:r>
            <w:r w:rsidR="006A53DC" w:rsidRPr="006216A1">
              <w:rPr>
                <w:b/>
              </w:rPr>
              <w:t>20</w:t>
            </w:r>
            <w:r w:rsidR="00211A08">
              <w:rPr>
                <w:b/>
              </w:rPr>
              <w:t>20</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49211A" w:rsidRDefault="008B57F6" w:rsidP="00D73803">
            <w:pPr>
              <w:spacing w:before="40"/>
              <w:rPr>
                <w:b/>
              </w:rPr>
            </w:pPr>
            <w:r w:rsidRPr="0049211A">
              <w:rPr>
                <w:b/>
              </w:rPr>
              <w:t xml:space="preserve">Sub-Committee of Experts on the Transport of Dangerous Goods </w:t>
            </w:r>
          </w:p>
          <w:p w14:paraId="3C34F18C" w14:textId="0C86DBAD" w:rsidR="008B57F6" w:rsidRPr="0049211A" w:rsidRDefault="008B57F6" w:rsidP="00D73803">
            <w:pPr>
              <w:spacing w:line="240" w:lineRule="auto"/>
              <w:ind w:left="34" w:hanging="34"/>
              <w:rPr>
                <w:b/>
              </w:rPr>
            </w:pPr>
            <w:r w:rsidRPr="0049211A">
              <w:rPr>
                <w:b/>
              </w:rPr>
              <w:t>Fifty-</w:t>
            </w:r>
            <w:r w:rsidR="008476FA">
              <w:rPr>
                <w:b/>
              </w:rPr>
              <w:t>seventh</w:t>
            </w:r>
            <w:r w:rsidRPr="0049211A">
              <w:rPr>
                <w:b/>
              </w:rPr>
              <w:t xml:space="preserve"> session</w:t>
            </w:r>
          </w:p>
          <w:p w14:paraId="56235436" w14:textId="52074E76" w:rsidR="008B57F6" w:rsidRPr="0049211A" w:rsidRDefault="008B57F6" w:rsidP="00CE74ED">
            <w:pPr>
              <w:tabs>
                <w:tab w:val="left" w:pos="6361"/>
                <w:tab w:val="left" w:pos="6939"/>
              </w:tabs>
              <w:spacing w:before="40"/>
              <w:outlineLvl w:val="0"/>
              <w:rPr>
                <w:bCs/>
              </w:rPr>
            </w:pPr>
            <w:r w:rsidRPr="0049211A">
              <w:t xml:space="preserve">Geneva, </w:t>
            </w:r>
            <w:r w:rsidR="008476FA" w:rsidRPr="002D3ADC">
              <w:t>30 November-8 December 2</w:t>
            </w:r>
            <w:r>
              <w:t>0</w:t>
            </w:r>
            <w:r w:rsidR="008476FA">
              <w:t>20</w:t>
            </w:r>
          </w:p>
          <w:p w14:paraId="246278FB" w14:textId="05DED2D4" w:rsidR="008B57F6" w:rsidRPr="009143D2" w:rsidRDefault="008B57F6" w:rsidP="00EA48C4">
            <w:pPr>
              <w:spacing w:before="40"/>
              <w:ind w:left="34" w:hanging="34"/>
            </w:pPr>
            <w:r w:rsidRPr="009143D2">
              <w:t xml:space="preserve">Item </w:t>
            </w:r>
            <w:r w:rsidR="00AB62CB" w:rsidRPr="009143D2">
              <w:t>15</w:t>
            </w:r>
            <w:r w:rsidRPr="009143D2">
              <w:t xml:space="preserve"> of the provisional agenda</w:t>
            </w:r>
          </w:p>
          <w:p w14:paraId="70C7F518" w14:textId="0EFD28BF" w:rsidR="008B57F6" w:rsidRPr="008A72CF" w:rsidRDefault="00AB62CB" w:rsidP="000B6AD1">
            <w:pPr>
              <w:spacing w:before="40"/>
              <w:rPr>
                <w:b/>
                <w:bCs/>
              </w:rPr>
            </w:pPr>
            <w:r w:rsidRPr="009143D2">
              <w:rPr>
                <w:b/>
                <w:bCs/>
              </w:rPr>
              <w:t>Other business</w:t>
            </w:r>
          </w:p>
        </w:tc>
      </w:tr>
    </w:tbl>
    <w:p w14:paraId="68B073EB" w14:textId="77777777" w:rsidR="00CA6A5A" w:rsidRDefault="00CA6A5A" w:rsidP="00CA6A5A">
      <w:pPr>
        <w:pStyle w:val="HChG"/>
      </w:pPr>
      <w:r>
        <w:rPr>
          <w:rFonts w:eastAsia="MS Mincho"/>
          <w:lang w:eastAsia="ja-JP"/>
        </w:rPr>
        <w:tab/>
      </w:r>
      <w:r>
        <w:rPr>
          <w:rFonts w:eastAsia="MS Mincho"/>
          <w:lang w:eastAsia="ja-JP"/>
        </w:rPr>
        <w:tab/>
        <w:t>Information on South Africa’s response to the Beirut catastrophe caused by explosion of a large quantity of ammonium nitrate stored in a warehouse in the Port</w:t>
      </w:r>
    </w:p>
    <w:p w14:paraId="545BF009" w14:textId="77777777" w:rsidR="00CA6A5A" w:rsidRDefault="00CA6A5A" w:rsidP="00CA6A5A">
      <w:pPr>
        <w:pStyle w:val="H1G"/>
        <w:spacing w:before="240" w:after="120"/>
        <w:jc w:val="both"/>
      </w:pPr>
      <w:r>
        <w:tab/>
      </w:r>
      <w:r>
        <w:tab/>
        <w:t xml:space="preserve">Transmitted by the Responsible Packaging Management Association of Southern Africa (RPMASA) </w:t>
      </w:r>
    </w:p>
    <w:p w14:paraId="66147829" w14:textId="77777777" w:rsidR="00CA6A5A" w:rsidRDefault="00CA6A5A" w:rsidP="00AB62CB">
      <w:pPr>
        <w:pStyle w:val="HChG"/>
        <w:rPr>
          <w:lang w:val="en-ZA"/>
        </w:rPr>
      </w:pPr>
      <w:r>
        <w:rPr>
          <w:rFonts w:eastAsia="MS Mincho"/>
          <w:lang w:eastAsia="ja-JP"/>
        </w:rPr>
        <w:tab/>
      </w:r>
      <w:r>
        <w:rPr>
          <w:rFonts w:eastAsia="MS Mincho"/>
          <w:lang w:eastAsia="ja-JP"/>
        </w:rPr>
        <w:tab/>
      </w:r>
      <w:r>
        <w:tab/>
        <w:t>Introduction and background</w:t>
      </w:r>
    </w:p>
    <w:p w14:paraId="3A52B681" w14:textId="30ECA565" w:rsidR="00CA6A5A" w:rsidRPr="00AB62CB" w:rsidRDefault="00AB62CB" w:rsidP="00AB62CB">
      <w:pPr>
        <w:pStyle w:val="SingleTxtG"/>
      </w:pPr>
      <w:r>
        <w:tab/>
      </w:r>
      <w:r>
        <w:rPr>
          <w:lang w:val="fr-CH"/>
        </w:rPr>
        <w:t>1.</w:t>
      </w:r>
      <w:r>
        <w:tab/>
      </w:r>
      <w:r w:rsidR="00CA6A5A" w:rsidRPr="00AB62CB">
        <w:t>This paper is for information only to inform S</w:t>
      </w:r>
      <w:r w:rsidR="006F5BE9">
        <w:rPr>
          <w:lang w:val="fr-CH"/>
        </w:rPr>
        <w:t>ub-Committee</w:t>
      </w:r>
      <w:r w:rsidR="00CA6A5A" w:rsidRPr="00AB62CB">
        <w:t xml:space="preserve"> Members of the initiative taken in South Africa to evaluate current regulations, and practices in place so as to prevent a similar type catastrophe happening in South Africa</w:t>
      </w:r>
      <w:r w:rsidR="00181FAA">
        <w:rPr>
          <w:lang w:val="fr-CH"/>
        </w:rPr>
        <w:t xml:space="preserve"> (SA)</w:t>
      </w:r>
      <w:r w:rsidR="00CA6A5A" w:rsidRPr="00AB62CB">
        <w:t>, and to improve safety of dangerous goods in storage and transport.</w:t>
      </w:r>
    </w:p>
    <w:p w14:paraId="12304523" w14:textId="63895417" w:rsidR="00CA6A5A" w:rsidRPr="00AB62CB" w:rsidRDefault="00AB62CB" w:rsidP="00AB62CB">
      <w:pPr>
        <w:pStyle w:val="SingleTxtG"/>
      </w:pPr>
      <w:r>
        <w:tab/>
      </w:r>
      <w:r>
        <w:rPr>
          <w:lang w:val="fr-CH"/>
        </w:rPr>
        <w:t>2.</w:t>
      </w:r>
      <w:r>
        <w:tab/>
      </w:r>
      <w:r w:rsidR="00CA6A5A" w:rsidRPr="00AB62CB">
        <w:t>Following the Beirut catastrophe, the Chief Director of the Dep</w:t>
      </w:r>
      <w:r w:rsidR="00163FA1">
        <w:rPr>
          <w:lang w:val="fr-CH"/>
        </w:rPr>
        <w:t>artment</w:t>
      </w:r>
      <w:r w:rsidR="00CA6A5A" w:rsidRPr="00AB62CB">
        <w:t xml:space="preserve"> of Transport Maritime contacted RPMASA to ask if we thought a similar type of disaster could occur in one of South Africa’s Ports, or anywhere in </w:t>
      </w:r>
      <w:r w:rsidR="00181FAA">
        <w:rPr>
          <w:lang w:val="fr-CH"/>
        </w:rPr>
        <w:t>SA</w:t>
      </w:r>
      <w:r w:rsidR="00CA6A5A" w:rsidRPr="00AB62CB">
        <w:t>, and how we could prevent such.</w:t>
      </w:r>
    </w:p>
    <w:p w14:paraId="13516917" w14:textId="6B28760E" w:rsidR="0064506A" w:rsidRPr="0064506A" w:rsidRDefault="00AC32B1" w:rsidP="001B6E15">
      <w:pPr>
        <w:pStyle w:val="SingleTxtG"/>
        <w:kinsoku w:val="0"/>
        <w:overflowPunct w:val="0"/>
        <w:autoSpaceDE w:val="0"/>
        <w:autoSpaceDN w:val="0"/>
        <w:adjustRightInd w:val="0"/>
        <w:snapToGrid w:val="0"/>
      </w:pPr>
      <w:r>
        <w:rPr>
          <w:lang w:val="fr-CH"/>
        </w:rPr>
        <w:t>3.</w:t>
      </w:r>
      <w:r>
        <w:tab/>
      </w:r>
      <w:r w:rsidR="00CA6A5A">
        <w:t xml:space="preserve">This resulted in forming a core Task Group of Regulators with RPMASA Industry Experts </w:t>
      </w:r>
      <w:r w:rsidR="00CA6A5A" w:rsidRPr="00640BA5">
        <w:rPr>
          <w:rFonts w:eastAsiaTheme="majorEastAsia"/>
          <w:color w:val="000000" w:themeColor="text1"/>
          <w:kern w:val="24"/>
        </w:rPr>
        <w:t>who identified a need for further consideration of</w:t>
      </w:r>
      <w:r w:rsidR="0064506A">
        <w:rPr>
          <w:rFonts w:eastAsiaTheme="majorEastAsia"/>
          <w:color w:val="000000" w:themeColor="text1"/>
          <w:kern w:val="24"/>
          <w:lang w:val="fr-CH"/>
        </w:rPr>
        <w:t>:</w:t>
      </w:r>
    </w:p>
    <w:p w14:paraId="2EA9CB86" w14:textId="6040F802" w:rsidR="003B2657" w:rsidRPr="003B2657" w:rsidRDefault="00CA6A5A" w:rsidP="003B2657">
      <w:pPr>
        <w:pStyle w:val="Bullet1G"/>
        <w:rPr>
          <w:rFonts w:eastAsiaTheme="majorEastAsia"/>
        </w:rPr>
      </w:pPr>
      <w:r w:rsidRPr="003B2657">
        <w:rPr>
          <w:rFonts w:eastAsiaTheme="majorEastAsia"/>
        </w:rPr>
        <w:t>Existing Legislation &amp; gaps</w:t>
      </w:r>
    </w:p>
    <w:p w14:paraId="4D1BF32B" w14:textId="4B163586" w:rsidR="003B2657" w:rsidRPr="003B2657" w:rsidRDefault="00CA6A5A" w:rsidP="003B2657">
      <w:pPr>
        <w:pStyle w:val="Bullet1G"/>
        <w:rPr>
          <w:rFonts w:eastAsiaTheme="majorEastAsia"/>
        </w:rPr>
      </w:pPr>
      <w:r w:rsidRPr="003B2657">
        <w:rPr>
          <w:rFonts w:eastAsiaTheme="majorEastAsia"/>
        </w:rPr>
        <w:t xml:space="preserve">Inter departmental cooperation </w:t>
      </w:r>
    </w:p>
    <w:p w14:paraId="497EA052" w14:textId="2E103F08" w:rsidR="003B2657" w:rsidRPr="003B2657" w:rsidRDefault="00CA6A5A" w:rsidP="003B2657">
      <w:pPr>
        <w:pStyle w:val="Bullet1G"/>
        <w:rPr>
          <w:rFonts w:eastAsiaTheme="majorEastAsia"/>
        </w:rPr>
      </w:pPr>
      <w:r w:rsidRPr="003B2657">
        <w:rPr>
          <w:rFonts w:eastAsiaTheme="majorEastAsia"/>
        </w:rPr>
        <w:t>Controls in place, Inspection Regimes</w:t>
      </w:r>
    </w:p>
    <w:p w14:paraId="41E707EC" w14:textId="0153B8EC" w:rsidR="003B2657" w:rsidRPr="003B2657" w:rsidRDefault="00CA6A5A" w:rsidP="003B2657">
      <w:pPr>
        <w:pStyle w:val="Bullet1G"/>
        <w:rPr>
          <w:rFonts w:eastAsiaTheme="majorEastAsia"/>
        </w:rPr>
      </w:pPr>
      <w:r w:rsidRPr="003B2657">
        <w:rPr>
          <w:rFonts w:eastAsiaTheme="majorEastAsia"/>
        </w:rPr>
        <w:t xml:space="preserve">Permits &amp; licensing – Major Hazards Installation Risk Assessments &amp; monitoring </w:t>
      </w:r>
    </w:p>
    <w:p w14:paraId="2D90D9DB" w14:textId="03E9DBF4" w:rsidR="003B2657" w:rsidRPr="003B2657" w:rsidRDefault="00CA6A5A" w:rsidP="003B2657">
      <w:pPr>
        <w:pStyle w:val="Bullet1G"/>
        <w:rPr>
          <w:rFonts w:eastAsiaTheme="majorEastAsia"/>
        </w:rPr>
      </w:pPr>
      <w:r w:rsidRPr="003B2657">
        <w:rPr>
          <w:rFonts w:eastAsiaTheme="majorEastAsia"/>
        </w:rPr>
        <w:t xml:space="preserve">National Standards </w:t>
      </w:r>
    </w:p>
    <w:p w14:paraId="3297DE0B" w14:textId="62AF94C2" w:rsidR="003B2657" w:rsidRPr="003B2657" w:rsidRDefault="00CA6A5A" w:rsidP="003B2657">
      <w:pPr>
        <w:pStyle w:val="Bullet1G"/>
        <w:rPr>
          <w:rFonts w:eastAsiaTheme="majorEastAsia"/>
        </w:rPr>
      </w:pPr>
      <w:r w:rsidRPr="003B2657">
        <w:rPr>
          <w:rFonts w:eastAsiaTheme="majorEastAsia"/>
        </w:rPr>
        <w:t xml:space="preserve">International instruments </w:t>
      </w:r>
      <w:r w:rsidR="003B2657" w:rsidRPr="003B2657">
        <w:rPr>
          <w:rFonts w:eastAsiaTheme="majorEastAsia"/>
        </w:rPr>
        <w:t>–</w:t>
      </w:r>
      <w:r w:rsidRPr="003B2657">
        <w:rPr>
          <w:rFonts w:eastAsiaTheme="majorEastAsia"/>
        </w:rPr>
        <w:t xml:space="preserve"> UN TDG Model Regulations, IMDG etc</w:t>
      </w:r>
    </w:p>
    <w:p w14:paraId="02E5E340" w14:textId="77B6FC4C" w:rsidR="00CA6A5A" w:rsidRPr="00640BA5" w:rsidRDefault="003B2657" w:rsidP="003B2657">
      <w:pPr>
        <w:pStyle w:val="SingleTxtG"/>
      </w:pPr>
      <w:r>
        <w:rPr>
          <w:rFonts w:eastAsiaTheme="majorEastAsia"/>
          <w:lang w:val="fr-CH"/>
        </w:rPr>
        <w:t>4.</w:t>
      </w:r>
      <w:r>
        <w:rPr>
          <w:rFonts w:eastAsiaTheme="majorEastAsia"/>
        </w:rPr>
        <w:tab/>
      </w:r>
      <w:r w:rsidR="00CA6A5A">
        <w:rPr>
          <w:rFonts w:eastAsiaTheme="majorEastAsia"/>
        </w:rPr>
        <w:t xml:space="preserve">South Africa is </w:t>
      </w:r>
      <w:proofErr w:type="gramStart"/>
      <w:r w:rsidR="00CA6A5A">
        <w:rPr>
          <w:rFonts w:eastAsiaTheme="majorEastAsia"/>
        </w:rPr>
        <w:t>a</w:t>
      </w:r>
      <w:proofErr w:type="gramEnd"/>
      <w:r w:rsidR="00CA6A5A">
        <w:rPr>
          <w:rFonts w:eastAsiaTheme="majorEastAsia"/>
        </w:rPr>
        <w:t xml:space="preserve"> Manufacturer, importer and exporter of Ammonium nitrate.</w:t>
      </w:r>
    </w:p>
    <w:p w14:paraId="484BB6A3" w14:textId="5486C0E5" w:rsidR="00CA6A5A" w:rsidRPr="00640BA5" w:rsidRDefault="003B2657" w:rsidP="003B2657">
      <w:pPr>
        <w:pStyle w:val="SingleTxtG"/>
      </w:pPr>
      <w:r>
        <w:tab/>
      </w:r>
      <w:r>
        <w:rPr>
          <w:lang w:val="fr-CH"/>
        </w:rPr>
        <w:t>5.</w:t>
      </w:r>
      <w:r>
        <w:tab/>
      </w:r>
      <w:r w:rsidR="00CA6A5A">
        <w:t xml:space="preserve">A </w:t>
      </w:r>
      <w:r w:rsidR="00CA6A5A" w:rsidRPr="00640BA5">
        <w:rPr>
          <w:rFonts w:eastAsiaTheme="majorEastAsia"/>
        </w:rPr>
        <w:t>Public-Private Partnership was agreed</w:t>
      </w:r>
      <w:r w:rsidR="00CA6A5A">
        <w:rPr>
          <w:rFonts w:eastAsiaTheme="majorEastAsia"/>
        </w:rPr>
        <w:t xml:space="preserve">, together </w:t>
      </w:r>
      <w:r w:rsidR="00CA6A5A" w:rsidRPr="00640BA5">
        <w:rPr>
          <w:rFonts w:eastAsiaTheme="majorEastAsia"/>
        </w:rPr>
        <w:t xml:space="preserve">with </w:t>
      </w:r>
      <w:r w:rsidR="00CA6A5A" w:rsidRPr="001A13C2">
        <w:rPr>
          <w:rFonts w:eastAsiaTheme="majorEastAsia"/>
          <w:color w:val="000000" w:themeColor="text1"/>
        </w:rPr>
        <w:t>Terms of Reference for</w:t>
      </w:r>
      <w:r w:rsidR="00CA6A5A" w:rsidRPr="00640BA5">
        <w:rPr>
          <w:rFonts w:eastAsiaTheme="majorEastAsia"/>
        </w:rPr>
        <w:t xml:space="preserve"> 5 Expert Working Groups</w:t>
      </w:r>
      <w:r w:rsidR="00CA6A5A">
        <w:rPr>
          <w:rFonts w:eastAsiaTheme="majorEastAsia"/>
        </w:rPr>
        <w:t xml:space="preserve"> to address transport &amp; storage of explosives and oxidizers - </w:t>
      </w:r>
    </w:p>
    <w:p w14:paraId="1BAA6163" w14:textId="77777777" w:rsidR="00CA6A5A" w:rsidRPr="00640BA5" w:rsidRDefault="00CA6A5A" w:rsidP="003B2657">
      <w:pPr>
        <w:pStyle w:val="SingleTxtG"/>
        <w:ind w:left="1701"/>
      </w:pPr>
      <w:r>
        <w:rPr>
          <w:rFonts w:eastAsiaTheme="minorEastAsia"/>
          <w:color w:val="000000"/>
        </w:rPr>
        <w:t>EWG 1</w:t>
      </w:r>
      <w:r w:rsidRPr="00640BA5">
        <w:rPr>
          <w:rFonts w:eastAsiaTheme="minorEastAsia"/>
        </w:rPr>
        <w:t>. Data Gathering</w:t>
      </w:r>
      <w:r>
        <w:rPr>
          <w:rFonts w:eastAsiaTheme="minorEastAsia"/>
        </w:rPr>
        <w:t xml:space="preserve"> – imports, exports, storage</w:t>
      </w:r>
    </w:p>
    <w:p w14:paraId="7266D918" w14:textId="77777777" w:rsidR="00CA6A5A" w:rsidRPr="00640BA5" w:rsidRDefault="00CA6A5A" w:rsidP="003B2657">
      <w:pPr>
        <w:pStyle w:val="SingleTxtG"/>
        <w:ind w:left="1701"/>
      </w:pPr>
      <w:r>
        <w:rPr>
          <w:rFonts w:eastAsiaTheme="minorEastAsia"/>
        </w:rPr>
        <w:t xml:space="preserve">EWG </w:t>
      </w:r>
      <w:r w:rsidRPr="00640BA5">
        <w:rPr>
          <w:rFonts w:eastAsiaTheme="minorEastAsia"/>
        </w:rPr>
        <w:t>2. Legal</w:t>
      </w:r>
      <w:r>
        <w:rPr>
          <w:rFonts w:eastAsiaTheme="minorEastAsia"/>
        </w:rPr>
        <w:t xml:space="preserve"> – what regulations under who’s jurisdictions and possible gaps</w:t>
      </w:r>
    </w:p>
    <w:p w14:paraId="6EA36E85" w14:textId="77777777" w:rsidR="00CA6A5A" w:rsidRPr="00640BA5" w:rsidRDefault="00CA6A5A" w:rsidP="003B2657">
      <w:pPr>
        <w:pStyle w:val="SingleTxtG"/>
        <w:ind w:left="1701"/>
      </w:pPr>
      <w:r>
        <w:rPr>
          <w:rFonts w:eastAsiaTheme="minorEastAsia"/>
        </w:rPr>
        <w:t xml:space="preserve">EWG </w:t>
      </w:r>
      <w:r w:rsidRPr="00640BA5">
        <w:rPr>
          <w:rFonts w:eastAsiaTheme="minorEastAsia"/>
        </w:rPr>
        <w:t>3. Monitoring and Enforcement</w:t>
      </w:r>
      <w:r>
        <w:rPr>
          <w:rFonts w:eastAsiaTheme="minorEastAsia"/>
        </w:rPr>
        <w:t xml:space="preserve"> – who monitors what, penalties and gaps</w:t>
      </w:r>
    </w:p>
    <w:p w14:paraId="0ED3C773" w14:textId="77777777" w:rsidR="00CA6A5A" w:rsidRPr="00640BA5" w:rsidRDefault="00CA6A5A" w:rsidP="003B2657">
      <w:pPr>
        <w:pStyle w:val="SingleTxtG"/>
        <w:ind w:left="1701"/>
      </w:pPr>
      <w:r>
        <w:rPr>
          <w:rFonts w:eastAsiaTheme="minorEastAsia"/>
        </w:rPr>
        <w:t xml:space="preserve">EWG </w:t>
      </w:r>
      <w:r w:rsidRPr="00640BA5">
        <w:rPr>
          <w:rFonts w:eastAsiaTheme="minorEastAsia"/>
        </w:rPr>
        <w:t>4. Risk Assessment, Emergency Preparedness &amp; Response</w:t>
      </w:r>
      <w:r>
        <w:rPr>
          <w:rFonts w:eastAsiaTheme="minorEastAsia"/>
        </w:rPr>
        <w:t xml:space="preserve"> – Regulated &amp; Industry initiative </w:t>
      </w:r>
    </w:p>
    <w:p w14:paraId="6D97463D" w14:textId="77777777" w:rsidR="00CA6A5A" w:rsidRDefault="00CA6A5A" w:rsidP="003B2657">
      <w:pPr>
        <w:pStyle w:val="SingleTxtG"/>
        <w:ind w:left="1701"/>
        <w:rPr>
          <w:rFonts w:eastAsiaTheme="minorEastAsia"/>
        </w:rPr>
      </w:pPr>
      <w:r>
        <w:rPr>
          <w:rFonts w:eastAsiaTheme="minorEastAsia"/>
        </w:rPr>
        <w:t xml:space="preserve">EWG </w:t>
      </w:r>
      <w:r w:rsidRPr="00640BA5">
        <w:rPr>
          <w:rFonts w:eastAsiaTheme="minorEastAsia"/>
        </w:rPr>
        <w:t>5. Training &amp; Awareness Raising</w:t>
      </w:r>
      <w:r>
        <w:rPr>
          <w:rFonts w:eastAsiaTheme="minorEastAsia"/>
        </w:rPr>
        <w:t xml:space="preserve"> – mandatory and voluntary</w:t>
      </w:r>
    </w:p>
    <w:p w14:paraId="5F6E8C97" w14:textId="3ED5B6C9" w:rsidR="00CA6A5A" w:rsidRPr="002826E7" w:rsidRDefault="00CA6A5A" w:rsidP="003B2657">
      <w:pPr>
        <w:pStyle w:val="NormalWeb"/>
        <w:rPr>
          <w:sz w:val="20"/>
          <w:szCs w:val="20"/>
        </w:rPr>
      </w:pPr>
    </w:p>
    <w:p w14:paraId="2F147591" w14:textId="130789DB" w:rsidR="00CA6A5A" w:rsidRPr="002826E7" w:rsidRDefault="003B2657" w:rsidP="003B2657">
      <w:pPr>
        <w:pStyle w:val="SingleTxtG"/>
      </w:pPr>
      <w:r>
        <w:rPr>
          <w:rFonts w:eastAsiaTheme="majorEastAsia"/>
        </w:rPr>
        <w:lastRenderedPageBreak/>
        <w:tab/>
      </w:r>
      <w:r>
        <w:rPr>
          <w:rFonts w:eastAsiaTheme="majorEastAsia"/>
          <w:lang w:val="fr-CH"/>
        </w:rPr>
        <w:t>6.</w:t>
      </w:r>
      <w:r>
        <w:rPr>
          <w:rFonts w:eastAsiaTheme="majorEastAsia"/>
        </w:rPr>
        <w:tab/>
      </w:r>
      <w:r w:rsidR="00CA6A5A">
        <w:rPr>
          <w:rFonts w:eastAsiaTheme="majorEastAsia"/>
        </w:rPr>
        <w:t>Representative from SA Police Explosives Unit, SA Port Authority, Port Terminals, SA Maritime Safety Authority, DOT Maritime, Roads, Road Traffic Management Corporation, Road Traffic Inspectorate, Rail Regulator, Dept Labour for regulation of MHI storage and National Disaster Management Centre together with Industry experts from each of the companies who manufacture Ammonium nitrate in South Africa.</w:t>
      </w:r>
    </w:p>
    <w:p w14:paraId="3EEF070E" w14:textId="7E7918D7" w:rsidR="00CA6A5A" w:rsidRPr="005D0785" w:rsidRDefault="003B2657" w:rsidP="003B2657">
      <w:pPr>
        <w:pStyle w:val="SingleTxtG"/>
        <w:rPr>
          <w:lang w:val="fr-CH"/>
        </w:rPr>
      </w:pPr>
      <w:r>
        <w:rPr>
          <w:rFonts w:eastAsiaTheme="majorEastAsia"/>
        </w:rPr>
        <w:tab/>
      </w:r>
      <w:r>
        <w:rPr>
          <w:rFonts w:eastAsiaTheme="majorEastAsia"/>
          <w:lang w:val="fr-CH"/>
        </w:rPr>
        <w:t>7.</w:t>
      </w:r>
      <w:r>
        <w:rPr>
          <w:rFonts w:eastAsiaTheme="majorEastAsia"/>
        </w:rPr>
        <w:tab/>
      </w:r>
      <w:r w:rsidR="00CA6A5A">
        <w:rPr>
          <w:rFonts w:eastAsiaTheme="majorEastAsia"/>
        </w:rPr>
        <w:t>Each EWG has met and initial outcomes include</w:t>
      </w:r>
      <w:r w:rsidR="005D0785">
        <w:rPr>
          <w:rFonts w:eastAsiaTheme="majorEastAsia"/>
          <w:lang w:val="fr-CH"/>
        </w:rPr>
        <w:t>:</w:t>
      </w:r>
    </w:p>
    <w:p w14:paraId="72EE7395" w14:textId="4CFDD44F" w:rsidR="00CA6A5A" w:rsidRPr="005D0785" w:rsidRDefault="003B2657" w:rsidP="003B2657">
      <w:pPr>
        <w:pStyle w:val="SingleTxtG"/>
        <w:ind w:left="1701"/>
        <w:rPr>
          <w:lang w:val="fr-CH"/>
        </w:rPr>
      </w:pPr>
      <w:r>
        <w:rPr>
          <w:rFonts w:eastAsiaTheme="majorEastAsia"/>
        </w:rPr>
        <w:tab/>
      </w:r>
      <w:r>
        <w:rPr>
          <w:rFonts w:eastAsiaTheme="majorEastAsia"/>
          <w:lang w:val="fr-CH"/>
        </w:rPr>
        <w:t>(a)</w:t>
      </w:r>
      <w:r>
        <w:rPr>
          <w:rFonts w:eastAsiaTheme="majorEastAsia"/>
        </w:rPr>
        <w:tab/>
      </w:r>
      <w:r w:rsidR="00CA6A5A" w:rsidRPr="003B2657">
        <w:rPr>
          <w:rFonts w:eastAsiaTheme="majorEastAsia"/>
        </w:rPr>
        <w:t>finding the value and need for working together across the Regulators</w:t>
      </w:r>
      <w:r w:rsidR="005D0785">
        <w:rPr>
          <w:rFonts w:eastAsiaTheme="majorEastAsia"/>
          <w:lang w:val="fr-CH"/>
        </w:rPr>
        <w:t>,</w:t>
      </w:r>
    </w:p>
    <w:p w14:paraId="40D5109E" w14:textId="40C6AA46" w:rsidR="00CA6A5A" w:rsidRPr="005D0785" w:rsidRDefault="003B2657" w:rsidP="003B2657">
      <w:pPr>
        <w:pStyle w:val="SingleTxtG"/>
        <w:ind w:left="1701"/>
        <w:rPr>
          <w:lang w:val="fr-CH"/>
        </w:rPr>
      </w:pPr>
      <w:r>
        <w:rPr>
          <w:rFonts w:eastAsiaTheme="majorEastAsia"/>
        </w:rPr>
        <w:tab/>
      </w:r>
      <w:r>
        <w:rPr>
          <w:rFonts w:eastAsiaTheme="majorEastAsia"/>
          <w:lang w:val="fr-CH"/>
        </w:rPr>
        <w:t>(b)</w:t>
      </w:r>
      <w:r>
        <w:rPr>
          <w:rFonts w:eastAsiaTheme="majorEastAsia"/>
        </w:rPr>
        <w:tab/>
      </w:r>
      <w:r w:rsidR="00CA6A5A" w:rsidRPr="003B2657">
        <w:rPr>
          <w:rFonts w:eastAsiaTheme="majorEastAsia"/>
        </w:rPr>
        <w:t>need for more awareness of all applicable regulations</w:t>
      </w:r>
      <w:r w:rsidR="005D0785">
        <w:rPr>
          <w:rFonts w:eastAsiaTheme="majorEastAsia"/>
          <w:lang w:val="fr-CH"/>
        </w:rPr>
        <w:t>,</w:t>
      </w:r>
    </w:p>
    <w:p w14:paraId="48EB500B" w14:textId="207F1586" w:rsidR="00CA6A5A" w:rsidRPr="005D0785" w:rsidRDefault="003B2657" w:rsidP="003B2657">
      <w:pPr>
        <w:pStyle w:val="SingleTxtG"/>
        <w:ind w:left="1701"/>
        <w:rPr>
          <w:lang w:val="fr-CH"/>
        </w:rPr>
      </w:pPr>
      <w:r>
        <w:rPr>
          <w:rFonts w:eastAsiaTheme="majorEastAsia"/>
        </w:rPr>
        <w:tab/>
      </w:r>
      <w:r>
        <w:rPr>
          <w:rFonts w:eastAsiaTheme="majorEastAsia"/>
          <w:lang w:val="fr-CH"/>
        </w:rPr>
        <w:t>(c)</w:t>
      </w:r>
      <w:r>
        <w:rPr>
          <w:rFonts w:eastAsiaTheme="majorEastAsia"/>
        </w:rPr>
        <w:tab/>
      </w:r>
      <w:r w:rsidR="00CA6A5A" w:rsidRPr="003B2657">
        <w:rPr>
          <w:rFonts w:eastAsiaTheme="majorEastAsia"/>
        </w:rPr>
        <w:t>importance of identifying gaps to fill</w:t>
      </w:r>
      <w:r w:rsidR="005D0785">
        <w:rPr>
          <w:rFonts w:eastAsiaTheme="majorEastAsia"/>
          <w:lang w:val="fr-CH"/>
        </w:rPr>
        <w:t>,</w:t>
      </w:r>
    </w:p>
    <w:p w14:paraId="066A9D40" w14:textId="46698434" w:rsidR="00CA6A5A" w:rsidRPr="005D0785" w:rsidRDefault="003B2657" w:rsidP="003B2657">
      <w:pPr>
        <w:pStyle w:val="SingleTxtG"/>
        <w:ind w:left="1701"/>
        <w:rPr>
          <w:lang w:val="fr-CH"/>
        </w:rPr>
      </w:pPr>
      <w:r>
        <w:rPr>
          <w:rFonts w:eastAsiaTheme="majorEastAsia"/>
        </w:rPr>
        <w:tab/>
      </w:r>
      <w:r>
        <w:rPr>
          <w:rFonts w:eastAsiaTheme="majorEastAsia"/>
          <w:lang w:val="fr-CH"/>
        </w:rPr>
        <w:t>(d)</w:t>
      </w:r>
      <w:r>
        <w:rPr>
          <w:rFonts w:eastAsiaTheme="majorEastAsia"/>
        </w:rPr>
        <w:tab/>
      </w:r>
      <w:r w:rsidR="00CA6A5A" w:rsidRPr="003B2657">
        <w:rPr>
          <w:rFonts w:eastAsiaTheme="majorEastAsia"/>
        </w:rPr>
        <w:t>need to raise awareness of what Dangerous Goods are, and the potential risks along the Supply Chain</w:t>
      </w:r>
      <w:r w:rsidR="005D0785">
        <w:rPr>
          <w:rFonts w:eastAsiaTheme="majorEastAsia"/>
          <w:lang w:val="fr-CH"/>
        </w:rPr>
        <w:t>,</w:t>
      </w:r>
    </w:p>
    <w:p w14:paraId="431F5F44" w14:textId="42F8A295" w:rsidR="00CA6A5A" w:rsidRPr="005D0785" w:rsidRDefault="003B2657" w:rsidP="003B2657">
      <w:pPr>
        <w:pStyle w:val="SingleTxtG"/>
        <w:ind w:left="1701"/>
        <w:rPr>
          <w:rFonts w:eastAsiaTheme="majorEastAsia"/>
          <w:lang w:val="fr-CH"/>
        </w:rPr>
      </w:pPr>
      <w:r>
        <w:rPr>
          <w:rFonts w:eastAsiaTheme="majorEastAsia"/>
        </w:rPr>
        <w:tab/>
      </w:r>
      <w:r>
        <w:rPr>
          <w:rFonts w:eastAsiaTheme="majorEastAsia"/>
          <w:lang w:val="fr-CH"/>
        </w:rPr>
        <w:t>(e)</w:t>
      </w:r>
      <w:r>
        <w:rPr>
          <w:rFonts w:eastAsiaTheme="majorEastAsia"/>
        </w:rPr>
        <w:tab/>
      </w:r>
      <w:r w:rsidR="00CA6A5A" w:rsidRPr="003B2657">
        <w:rPr>
          <w:rFonts w:eastAsiaTheme="majorEastAsia"/>
        </w:rPr>
        <w:t>need to raise awareness of mandatory Dangerous Goods Training e.g. IMDG for shoreside personnel and CTU packing</w:t>
      </w:r>
      <w:r w:rsidR="005D0785">
        <w:rPr>
          <w:rFonts w:eastAsiaTheme="majorEastAsia"/>
          <w:lang w:val="fr-CH"/>
        </w:rPr>
        <w:t>,</w:t>
      </w:r>
    </w:p>
    <w:p w14:paraId="25968454" w14:textId="2F5DF7D0" w:rsidR="00CA6A5A" w:rsidRPr="005D0785" w:rsidRDefault="003B2657" w:rsidP="003B2657">
      <w:pPr>
        <w:pStyle w:val="SingleTxtG"/>
        <w:ind w:left="1701"/>
        <w:rPr>
          <w:lang w:val="fr-CH"/>
        </w:rPr>
      </w:pPr>
      <w:r>
        <w:rPr>
          <w:rFonts w:eastAsiaTheme="majorEastAsia"/>
        </w:rPr>
        <w:tab/>
      </w:r>
      <w:r>
        <w:rPr>
          <w:rFonts w:eastAsiaTheme="majorEastAsia"/>
          <w:lang w:val="fr-CH"/>
        </w:rPr>
        <w:t>(f)</w:t>
      </w:r>
      <w:r>
        <w:rPr>
          <w:rFonts w:eastAsiaTheme="majorEastAsia"/>
        </w:rPr>
        <w:tab/>
      </w:r>
      <w:r w:rsidR="00CA6A5A" w:rsidRPr="003B2657">
        <w:rPr>
          <w:rFonts w:eastAsiaTheme="majorEastAsia"/>
        </w:rPr>
        <w:t>need to keep regulations and Standards up to date and aligned for seamless transition between modes and regulators jurisdiction</w:t>
      </w:r>
      <w:r w:rsidR="005D0785">
        <w:rPr>
          <w:rFonts w:eastAsiaTheme="majorEastAsia"/>
          <w:lang w:val="fr-CH"/>
        </w:rPr>
        <w:t>,</w:t>
      </w:r>
    </w:p>
    <w:p w14:paraId="1A5F4F14" w14:textId="36B71D96" w:rsidR="00CA6A5A" w:rsidRPr="005D0785" w:rsidRDefault="003B2657" w:rsidP="003B2657">
      <w:pPr>
        <w:pStyle w:val="SingleTxtG"/>
        <w:ind w:left="1701"/>
        <w:rPr>
          <w:lang w:val="fr-CH"/>
        </w:rPr>
      </w:pPr>
      <w:r>
        <w:rPr>
          <w:rFonts w:eastAsiaTheme="majorEastAsia"/>
        </w:rPr>
        <w:tab/>
      </w:r>
      <w:r>
        <w:rPr>
          <w:rFonts w:eastAsiaTheme="majorEastAsia"/>
          <w:lang w:val="fr-CH"/>
        </w:rPr>
        <w:t>(g)</w:t>
      </w:r>
      <w:r>
        <w:rPr>
          <w:rFonts w:eastAsiaTheme="majorEastAsia"/>
        </w:rPr>
        <w:tab/>
      </w:r>
      <w:r w:rsidR="00CA6A5A" w:rsidRPr="003B2657">
        <w:rPr>
          <w:rFonts w:eastAsiaTheme="majorEastAsia"/>
        </w:rPr>
        <w:t>urgent need for Awareness and Training, and quality of Training for all along the supply chain</w:t>
      </w:r>
      <w:r w:rsidR="005D0785">
        <w:rPr>
          <w:rFonts w:eastAsiaTheme="majorEastAsia"/>
          <w:lang w:val="fr-CH"/>
        </w:rPr>
        <w:t>.</w:t>
      </w:r>
    </w:p>
    <w:p w14:paraId="48990E60" w14:textId="1623D66C" w:rsidR="00CA6A5A" w:rsidRPr="00883A50" w:rsidRDefault="00EE1472" w:rsidP="00EE1472">
      <w:pPr>
        <w:pStyle w:val="SingleTxtG"/>
        <w:kinsoku w:val="0"/>
        <w:overflowPunct w:val="0"/>
        <w:autoSpaceDE w:val="0"/>
        <w:autoSpaceDN w:val="0"/>
        <w:adjustRightInd w:val="0"/>
        <w:snapToGrid w:val="0"/>
        <w:jc w:val="left"/>
      </w:pPr>
      <w:r>
        <w:rPr>
          <w:rFonts w:eastAsiaTheme="majorEastAsia"/>
          <w:color w:val="000000" w:themeColor="text1"/>
          <w:kern w:val="24"/>
        </w:rPr>
        <w:tab/>
      </w:r>
      <w:r>
        <w:rPr>
          <w:rFonts w:eastAsiaTheme="majorEastAsia"/>
          <w:color w:val="000000" w:themeColor="text1"/>
          <w:kern w:val="24"/>
          <w:lang w:val="fr-CH"/>
        </w:rPr>
        <w:t>8.</w:t>
      </w:r>
      <w:r>
        <w:rPr>
          <w:rFonts w:eastAsiaTheme="majorEastAsia"/>
          <w:color w:val="000000" w:themeColor="text1"/>
          <w:kern w:val="24"/>
        </w:rPr>
        <w:tab/>
      </w:r>
      <w:r w:rsidR="00CA6A5A">
        <w:rPr>
          <w:rFonts w:eastAsiaTheme="majorEastAsia"/>
          <w:color w:val="000000" w:themeColor="text1"/>
          <w:kern w:val="24"/>
        </w:rPr>
        <w:t xml:space="preserve">The EWG’s will continue to meet monthly to progress evaluated needs including, </w:t>
      </w:r>
    </w:p>
    <w:p w14:paraId="32C94FCB" w14:textId="7B148765" w:rsidR="00CA6A5A" w:rsidRPr="00EE1472" w:rsidRDefault="00AC32B1" w:rsidP="00AC32B1">
      <w:pPr>
        <w:pStyle w:val="SingleTxtG"/>
        <w:ind w:left="1701"/>
      </w:pPr>
      <w:r>
        <w:rPr>
          <w:rFonts w:eastAsiaTheme="majorEastAsia"/>
        </w:rPr>
        <w:tab/>
      </w:r>
      <w:r>
        <w:rPr>
          <w:rFonts w:eastAsiaTheme="majorEastAsia"/>
          <w:lang w:val="fr-CH"/>
        </w:rPr>
        <w:t>(a)</w:t>
      </w:r>
      <w:r>
        <w:rPr>
          <w:rFonts w:eastAsiaTheme="majorEastAsia"/>
        </w:rPr>
        <w:tab/>
      </w:r>
      <w:r w:rsidR="00CA6A5A" w:rsidRPr="00EE1472">
        <w:rPr>
          <w:rFonts w:eastAsiaTheme="majorEastAsia"/>
        </w:rPr>
        <w:t>capacity building and awareness raising,</w:t>
      </w:r>
    </w:p>
    <w:p w14:paraId="7006ED32" w14:textId="12E0A4B7" w:rsidR="00CA6A5A" w:rsidRPr="00EE1472" w:rsidRDefault="00AC32B1" w:rsidP="00AC32B1">
      <w:pPr>
        <w:pStyle w:val="SingleTxtG"/>
        <w:ind w:left="1701"/>
      </w:pPr>
      <w:r>
        <w:rPr>
          <w:rFonts w:eastAsiaTheme="majorEastAsia"/>
        </w:rPr>
        <w:tab/>
      </w:r>
      <w:r>
        <w:rPr>
          <w:rFonts w:eastAsiaTheme="majorEastAsia"/>
          <w:lang w:val="fr-CH"/>
        </w:rPr>
        <w:t>(b)</w:t>
      </w:r>
      <w:r>
        <w:rPr>
          <w:rFonts w:eastAsiaTheme="majorEastAsia"/>
        </w:rPr>
        <w:tab/>
      </w:r>
      <w:r w:rsidR="00CA6A5A" w:rsidRPr="00EE1472">
        <w:rPr>
          <w:rFonts w:eastAsiaTheme="majorEastAsia"/>
        </w:rPr>
        <w:t xml:space="preserve">strengthening operational practices, </w:t>
      </w:r>
    </w:p>
    <w:p w14:paraId="54C677D2" w14:textId="22905AB8" w:rsidR="00CA6A5A" w:rsidRPr="008537B9" w:rsidRDefault="00AC32B1" w:rsidP="00AC32B1">
      <w:pPr>
        <w:pStyle w:val="SingleTxtG"/>
        <w:ind w:left="1701"/>
        <w:rPr>
          <w:lang w:val="fr-CH"/>
        </w:rPr>
      </w:pPr>
      <w:r>
        <w:rPr>
          <w:rFonts w:eastAsiaTheme="majorEastAsia"/>
        </w:rPr>
        <w:tab/>
      </w:r>
      <w:r>
        <w:rPr>
          <w:rFonts w:eastAsiaTheme="majorEastAsia"/>
          <w:lang w:val="fr-CH"/>
        </w:rPr>
        <w:t>(c)</w:t>
      </w:r>
      <w:r>
        <w:rPr>
          <w:rFonts w:eastAsiaTheme="majorEastAsia"/>
        </w:rPr>
        <w:tab/>
      </w:r>
      <w:r w:rsidR="00CA6A5A" w:rsidRPr="00EE1472">
        <w:rPr>
          <w:rFonts w:eastAsiaTheme="majorEastAsia"/>
        </w:rPr>
        <w:t>improving access to quality Training and filling the gaps in regulations</w:t>
      </w:r>
      <w:r w:rsidR="008537B9">
        <w:rPr>
          <w:rFonts w:eastAsiaTheme="majorEastAsia"/>
          <w:lang w:val="fr-CH"/>
        </w:rPr>
        <w:t>,</w:t>
      </w:r>
    </w:p>
    <w:p w14:paraId="6EDD6773" w14:textId="16F51492" w:rsidR="00CA6A5A" w:rsidRDefault="00CA6A5A" w:rsidP="00CA6A5A">
      <w:pPr>
        <w:pStyle w:val="SingleTxtG"/>
        <w:spacing w:after="0" w:line="240" w:lineRule="auto"/>
        <w:ind w:firstLine="567"/>
        <w:jc w:val="left"/>
        <w:rPr>
          <w:rFonts w:eastAsiaTheme="majorEastAsia"/>
          <w:color w:val="000000" w:themeColor="text1"/>
          <w:kern w:val="24"/>
        </w:rPr>
      </w:pPr>
      <w:r>
        <w:rPr>
          <w:rFonts w:eastAsiaTheme="majorEastAsia"/>
          <w:color w:val="000000" w:themeColor="text1"/>
          <w:kern w:val="24"/>
        </w:rPr>
        <w:t>together with other needs identified to keep South Africa safe.</w:t>
      </w:r>
    </w:p>
    <w:p w14:paraId="3ED68EDA" w14:textId="77777777" w:rsidR="00CA6A5A" w:rsidRDefault="00CA6A5A" w:rsidP="00CA6A5A">
      <w:pPr>
        <w:pStyle w:val="SingleTxtG"/>
        <w:spacing w:after="0" w:line="240" w:lineRule="auto"/>
        <w:ind w:firstLine="567"/>
        <w:jc w:val="left"/>
        <w:rPr>
          <w:rFonts w:eastAsiaTheme="majorEastAsia"/>
          <w:color w:val="000000" w:themeColor="text1"/>
          <w:kern w:val="24"/>
        </w:rPr>
      </w:pPr>
      <w:r w:rsidRPr="001A13C2">
        <w:rPr>
          <w:rFonts w:eastAsiaTheme="majorEastAsia"/>
          <w:color w:val="000000" w:themeColor="text1"/>
          <w:kern w:val="24"/>
        </w:rPr>
        <w:tab/>
      </w:r>
    </w:p>
    <w:p w14:paraId="48332693" w14:textId="5BF165AB" w:rsidR="00CA6A5A" w:rsidRDefault="00AC32B1" w:rsidP="00AC32B1">
      <w:pPr>
        <w:pStyle w:val="SingleTxtG"/>
        <w:rPr>
          <w:rFonts w:eastAsiaTheme="majorEastAsia"/>
        </w:rPr>
      </w:pPr>
      <w:r>
        <w:rPr>
          <w:rFonts w:eastAsiaTheme="majorEastAsia"/>
          <w:lang w:val="fr-CH"/>
        </w:rPr>
        <w:t>9.</w:t>
      </w:r>
      <w:r>
        <w:rPr>
          <w:rFonts w:eastAsiaTheme="majorEastAsia"/>
        </w:rPr>
        <w:tab/>
      </w:r>
      <w:r w:rsidR="00CA6A5A">
        <w:rPr>
          <w:rFonts w:eastAsiaTheme="majorEastAsia"/>
        </w:rPr>
        <w:t>We hope that this initiative could be extended to other countries in our region.</w:t>
      </w:r>
    </w:p>
    <w:p w14:paraId="6FFD1F1A" w14:textId="6E0470F5" w:rsidR="00CA6A5A" w:rsidRDefault="00AC32B1" w:rsidP="00AC32B1">
      <w:pPr>
        <w:pStyle w:val="SingleTxtG"/>
        <w:rPr>
          <w:rFonts w:eastAsiaTheme="majorEastAsia"/>
        </w:rPr>
      </w:pPr>
      <w:r>
        <w:rPr>
          <w:rFonts w:eastAsiaTheme="majorEastAsia"/>
        </w:rPr>
        <w:tab/>
      </w:r>
      <w:r>
        <w:rPr>
          <w:rFonts w:eastAsiaTheme="majorEastAsia"/>
          <w:lang w:val="fr-CH"/>
        </w:rPr>
        <w:t>10.</w:t>
      </w:r>
      <w:r>
        <w:rPr>
          <w:rFonts w:eastAsiaTheme="majorEastAsia"/>
        </w:rPr>
        <w:tab/>
      </w:r>
      <w:r w:rsidR="00CA6A5A">
        <w:rPr>
          <w:rFonts w:eastAsiaTheme="majorEastAsia"/>
        </w:rPr>
        <w:t>We would appreciate and invite any assistance with awareness raising, capacity building and Training.</w:t>
      </w:r>
    </w:p>
    <w:p w14:paraId="5C9F0A13" w14:textId="48A77A7A" w:rsidR="00CA6A5A" w:rsidRPr="00AC32B1" w:rsidRDefault="00AC32B1" w:rsidP="00AC32B1">
      <w:pPr>
        <w:spacing w:before="240"/>
        <w:jc w:val="center"/>
        <w:rPr>
          <w:rFonts w:eastAsiaTheme="majorEastAsia"/>
          <w:u w:val="single"/>
        </w:rPr>
      </w:pPr>
      <w:r>
        <w:rPr>
          <w:rFonts w:eastAsiaTheme="majorEastAsia"/>
          <w:u w:val="single"/>
        </w:rPr>
        <w:tab/>
      </w:r>
      <w:r>
        <w:rPr>
          <w:rFonts w:eastAsiaTheme="majorEastAsia"/>
          <w:u w:val="single"/>
        </w:rPr>
        <w:tab/>
      </w:r>
      <w:r>
        <w:rPr>
          <w:rFonts w:eastAsiaTheme="majorEastAsia"/>
          <w:u w:val="single"/>
        </w:rPr>
        <w:tab/>
      </w:r>
      <w:bookmarkStart w:id="0" w:name="_GoBack"/>
      <w:bookmarkEnd w:id="0"/>
    </w:p>
    <w:sectPr w:rsidR="00CA6A5A" w:rsidRPr="00AC32B1" w:rsidSect="00E03CF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5432" w14:textId="77777777" w:rsidR="007C0290" w:rsidRDefault="007C0290"/>
  </w:endnote>
  <w:endnote w:type="continuationSeparator" w:id="0">
    <w:p w14:paraId="6CCBB877" w14:textId="77777777" w:rsidR="007C0290" w:rsidRDefault="007C0290"/>
  </w:endnote>
  <w:endnote w:type="continuationNotice" w:id="1">
    <w:p w14:paraId="2380CFA9" w14:textId="77777777" w:rsidR="007C0290" w:rsidRDefault="007C0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77777777" w:rsidR="005E5C40" w:rsidRPr="00F257D1" w:rsidRDefault="005E5C40" w:rsidP="00F257D1">
    <w:pPr>
      <w:pStyle w:val="Pieddepage"/>
      <w:jc w:val="right"/>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Pr>
        <w:rStyle w:val="Numrodepage"/>
        <w:noProof/>
        <w:sz w:val="20"/>
        <w:szCs w:val="22"/>
      </w:rPr>
      <w:t>2</w:t>
    </w:r>
    <w:r w:rsidRPr="0059131E">
      <w:rPr>
        <w:rStyle w:val="Numrodepage"/>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77777777" w:rsidR="005E5C40" w:rsidRPr="000216CC" w:rsidRDefault="005E5C40"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1FE1" w14:textId="77777777" w:rsidR="00AC32B1" w:rsidRDefault="00AC32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F00A" w14:textId="77777777" w:rsidR="007C0290" w:rsidRPr="000B175B" w:rsidRDefault="007C0290" w:rsidP="000B175B">
      <w:pPr>
        <w:tabs>
          <w:tab w:val="right" w:pos="2155"/>
        </w:tabs>
        <w:spacing w:after="80"/>
        <w:ind w:left="680"/>
        <w:rPr>
          <w:u w:val="single"/>
        </w:rPr>
      </w:pPr>
      <w:r>
        <w:rPr>
          <w:u w:val="single"/>
        </w:rPr>
        <w:tab/>
      </w:r>
    </w:p>
  </w:footnote>
  <w:footnote w:type="continuationSeparator" w:id="0">
    <w:p w14:paraId="6E925FE9" w14:textId="77777777" w:rsidR="007C0290" w:rsidRPr="00FC68B7" w:rsidRDefault="007C0290" w:rsidP="00FC68B7">
      <w:pPr>
        <w:tabs>
          <w:tab w:val="left" w:pos="2155"/>
        </w:tabs>
        <w:spacing w:after="80"/>
        <w:ind w:left="680"/>
        <w:rPr>
          <w:u w:val="single"/>
        </w:rPr>
      </w:pPr>
      <w:r>
        <w:rPr>
          <w:u w:val="single"/>
        </w:rPr>
        <w:tab/>
      </w:r>
    </w:p>
  </w:footnote>
  <w:footnote w:type="continuationNotice" w:id="1">
    <w:p w14:paraId="5864268B" w14:textId="77777777" w:rsidR="007C0290" w:rsidRDefault="007C0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2A7243A4" w:rsidR="005E5C40" w:rsidRPr="00B5392B" w:rsidRDefault="005E5C40">
    <w:pPr>
      <w:pStyle w:val="En-tte"/>
      <w:rPr>
        <w:lang w:val="nl-NL"/>
      </w:rPr>
    </w:pPr>
    <w:r w:rsidRPr="00460B22">
      <w:rPr>
        <w:lang w:val="nl-NL"/>
      </w:rPr>
      <w:t>UN/SCE</w:t>
    </w:r>
    <w:r>
      <w:rPr>
        <w:lang w:val="nl-NL"/>
      </w:rPr>
      <w:t>TDG</w:t>
    </w:r>
    <w:r w:rsidRPr="00460B22">
      <w:rPr>
        <w:lang w:val="nl-NL"/>
      </w:rPr>
      <w:t>/</w:t>
    </w:r>
    <w:r>
      <w:rPr>
        <w:lang w:val="nl-NL"/>
      </w:rPr>
      <w:t>5</w:t>
    </w:r>
    <w:r w:rsidR="00566FF9">
      <w:rPr>
        <w:lang w:val="nl-NL"/>
      </w:rPr>
      <w:t>7</w:t>
    </w:r>
    <w:r w:rsidRPr="00460B22">
      <w:rPr>
        <w:lang w:val="nl-NL"/>
      </w:rPr>
      <w:t>/INF.</w:t>
    </w:r>
    <w:r w:rsidR="00566FF9">
      <w:rPr>
        <w:lang w:val="nl-NL"/>
      </w:rPr>
      <w:t>5</w:t>
    </w:r>
    <w:r w:rsidR="00AC32B1">
      <w:rPr>
        <w:lang w:val="nl-N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6225FE7A" w:rsidR="005E5C40" w:rsidRPr="000216CC" w:rsidRDefault="005E5C40" w:rsidP="000216CC">
    <w:pPr>
      <w:pStyle w:val="En-tte"/>
      <w:jc w:val="right"/>
    </w:pPr>
    <w:r w:rsidRPr="0059131E">
      <w:t>UN/SCETDG/5</w:t>
    </w:r>
    <w:r w:rsidR="002E3C8E">
      <w:t>7</w:t>
    </w:r>
    <w:r w:rsidRPr="0059131E">
      <w:t>/INF.5</w:t>
    </w:r>
    <w:r w:rsidR="002E3C8E">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E66E" w14:textId="77777777" w:rsidR="00566FF9" w:rsidRDefault="00566FF9" w:rsidP="00566FF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E28C0"/>
    <w:multiLevelType w:val="multilevel"/>
    <w:tmpl w:val="0DA49E40"/>
    <w:lvl w:ilvl="0">
      <w:start w:val="1"/>
      <w:numFmt w:val="bullet"/>
      <w:lvlText w:val="•"/>
      <w:lvlJc w:val="left"/>
      <w:pPr>
        <w:ind w:left="2847" w:hanging="360"/>
      </w:pPr>
      <w:rPr>
        <w:rFonts w:ascii="Times New Roman" w:hAnsi="Times New Roman" w:cs="Times New Roman" w:hint="default"/>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13"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hint="default"/>
        <w:color w:val="000000" w:themeColor="text1"/>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C22E3"/>
    <w:multiLevelType w:val="hybridMultilevel"/>
    <w:tmpl w:val="6D9EA796"/>
    <w:lvl w:ilvl="0" w:tplc="AD1209B2">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7"/>
  </w:num>
  <w:num w:numId="17">
    <w:abstractNumId w:val="14"/>
  </w:num>
  <w:num w:numId="18">
    <w:abstractNumId w:val="12"/>
  </w:num>
  <w:num w:numId="19">
    <w:abstractNumId w:val="19"/>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45655"/>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2326F"/>
    <w:rsid w:val="00130A1F"/>
    <w:rsid w:val="00131B10"/>
    <w:rsid w:val="00131D42"/>
    <w:rsid w:val="00133C50"/>
    <w:rsid w:val="00136550"/>
    <w:rsid w:val="00140684"/>
    <w:rsid w:val="001406F4"/>
    <w:rsid w:val="00140F48"/>
    <w:rsid w:val="001633FB"/>
    <w:rsid w:val="00163A1B"/>
    <w:rsid w:val="00163FA1"/>
    <w:rsid w:val="00165735"/>
    <w:rsid w:val="00167786"/>
    <w:rsid w:val="001728EF"/>
    <w:rsid w:val="00180633"/>
    <w:rsid w:val="00181019"/>
    <w:rsid w:val="0018168F"/>
    <w:rsid w:val="00181FAA"/>
    <w:rsid w:val="001835BF"/>
    <w:rsid w:val="00184B86"/>
    <w:rsid w:val="00195229"/>
    <w:rsid w:val="001A02A4"/>
    <w:rsid w:val="001A7113"/>
    <w:rsid w:val="001B35EE"/>
    <w:rsid w:val="001B4B04"/>
    <w:rsid w:val="001B6B72"/>
    <w:rsid w:val="001B6E15"/>
    <w:rsid w:val="001C429D"/>
    <w:rsid w:val="001C6663"/>
    <w:rsid w:val="001C7895"/>
    <w:rsid w:val="001D26DF"/>
    <w:rsid w:val="001D2B6E"/>
    <w:rsid w:val="001D2FDC"/>
    <w:rsid w:val="001D3123"/>
    <w:rsid w:val="001D3A88"/>
    <w:rsid w:val="001D49F7"/>
    <w:rsid w:val="001D4B2D"/>
    <w:rsid w:val="001D4E70"/>
    <w:rsid w:val="001E3621"/>
    <w:rsid w:val="001E797C"/>
    <w:rsid w:val="002062DE"/>
    <w:rsid w:val="00211A08"/>
    <w:rsid w:val="00211B12"/>
    <w:rsid w:val="00211E0B"/>
    <w:rsid w:val="0021481D"/>
    <w:rsid w:val="002168DF"/>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B067A"/>
    <w:rsid w:val="002B1514"/>
    <w:rsid w:val="002B1CDA"/>
    <w:rsid w:val="002C7F25"/>
    <w:rsid w:val="002D5A85"/>
    <w:rsid w:val="002D5C7D"/>
    <w:rsid w:val="002E35BB"/>
    <w:rsid w:val="002E3C8E"/>
    <w:rsid w:val="002F68FD"/>
    <w:rsid w:val="003107FA"/>
    <w:rsid w:val="00313AC2"/>
    <w:rsid w:val="00315D73"/>
    <w:rsid w:val="00316FF9"/>
    <w:rsid w:val="00321716"/>
    <w:rsid w:val="003229D8"/>
    <w:rsid w:val="003244D9"/>
    <w:rsid w:val="00327D0A"/>
    <w:rsid w:val="003517C3"/>
    <w:rsid w:val="00355502"/>
    <w:rsid w:val="00356BC7"/>
    <w:rsid w:val="00357A20"/>
    <w:rsid w:val="003611DB"/>
    <w:rsid w:val="00372F06"/>
    <w:rsid w:val="00377175"/>
    <w:rsid w:val="00377CED"/>
    <w:rsid w:val="00390360"/>
    <w:rsid w:val="00391647"/>
    <w:rsid w:val="00391950"/>
    <w:rsid w:val="0039260F"/>
    <w:rsid w:val="0039277A"/>
    <w:rsid w:val="00393B99"/>
    <w:rsid w:val="00396F6A"/>
    <w:rsid w:val="003972E0"/>
    <w:rsid w:val="003A1EC2"/>
    <w:rsid w:val="003A52D7"/>
    <w:rsid w:val="003A5A16"/>
    <w:rsid w:val="003B2657"/>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65B"/>
    <w:rsid w:val="00460B22"/>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64D7"/>
    <w:rsid w:val="004B25F8"/>
    <w:rsid w:val="004B2C9D"/>
    <w:rsid w:val="004B5939"/>
    <w:rsid w:val="004B73D6"/>
    <w:rsid w:val="004C39D0"/>
    <w:rsid w:val="004C4F1A"/>
    <w:rsid w:val="004C6D6D"/>
    <w:rsid w:val="004E0C5D"/>
    <w:rsid w:val="004F4240"/>
    <w:rsid w:val="004F6DF4"/>
    <w:rsid w:val="004F77CD"/>
    <w:rsid w:val="00507CF1"/>
    <w:rsid w:val="00515074"/>
    <w:rsid w:val="00522177"/>
    <w:rsid w:val="00526AFD"/>
    <w:rsid w:val="00527910"/>
    <w:rsid w:val="005420F2"/>
    <w:rsid w:val="00542505"/>
    <w:rsid w:val="005475D4"/>
    <w:rsid w:val="00555CDB"/>
    <w:rsid w:val="00561B6D"/>
    <w:rsid w:val="00562D45"/>
    <w:rsid w:val="0056615B"/>
    <w:rsid w:val="00566FF9"/>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78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20DA"/>
    <w:rsid w:val="00626B06"/>
    <w:rsid w:val="006279AC"/>
    <w:rsid w:val="0063419C"/>
    <w:rsid w:val="00635381"/>
    <w:rsid w:val="00636986"/>
    <w:rsid w:val="00637542"/>
    <w:rsid w:val="00640B26"/>
    <w:rsid w:val="00641194"/>
    <w:rsid w:val="0064506A"/>
    <w:rsid w:val="00645A0B"/>
    <w:rsid w:val="006500BA"/>
    <w:rsid w:val="006506DB"/>
    <w:rsid w:val="00660CE1"/>
    <w:rsid w:val="00662121"/>
    <w:rsid w:val="00662E09"/>
    <w:rsid w:val="00670CF0"/>
    <w:rsid w:val="00675F87"/>
    <w:rsid w:val="00690CD6"/>
    <w:rsid w:val="006A033B"/>
    <w:rsid w:val="006A3932"/>
    <w:rsid w:val="006A53DC"/>
    <w:rsid w:val="006A63E3"/>
    <w:rsid w:val="006A7392"/>
    <w:rsid w:val="006B1148"/>
    <w:rsid w:val="006B1C55"/>
    <w:rsid w:val="006C0D34"/>
    <w:rsid w:val="006C251B"/>
    <w:rsid w:val="006C2F7E"/>
    <w:rsid w:val="006D3560"/>
    <w:rsid w:val="006E3B65"/>
    <w:rsid w:val="006E564B"/>
    <w:rsid w:val="006E6974"/>
    <w:rsid w:val="006F5BE9"/>
    <w:rsid w:val="007025C0"/>
    <w:rsid w:val="00707F04"/>
    <w:rsid w:val="00711637"/>
    <w:rsid w:val="00714F4F"/>
    <w:rsid w:val="0072632A"/>
    <w:rsid w:val="00734F20"/>
    <w:rsid w:val="00736E6A"/>
    <w:rsid w:val="00741F59"/>
    <w:rsid w:val="0074697D"/>
    <w:rsid w:val="00751DDC"/>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0290"/>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476FA"/>
    <w:rsid w:val="008537B9"/>
    <w:rsid w:val="00857789"/>
    <w:rsid w:val="0086107D"/>
    <w:rsid w:val="00864251"/>
    <w:rsid w:val="00871FD5"/>
    <w:rsid w:val="00881213"/>
    <w:rsid w:val="008830CC"/>
    <w:rsid w:val="008979B1"/>
    <w:rsid w:val="008A0B75"/>
    <w:rsid w:val="008A1542"/>
    <w:rsid w:val="008A6B25"/>
    <w:rsid w:val="008A6C4F"/>
    <w:rsid w:val="008A72CF"/>
    <w:rsid w:val="008A7679"/>
    <w:rsid w:val="008A7AB3"/>
    <w:rsid w:val="008A7E0F"/>
    <w:rsid w:val="008B57F6"/>
    <w:rsid w:val="008B65FB"/>
    <w:rsid w:val="008C3B3C"/>
    <w:rsid w:val="008C4283"/>
    <w:rsid w:val="008C74C3"/>
    <w:rsid w:val="008C7BF7"/>
    <w:rsid w:val="008D134F"/>
    <w:rsid w:val="008D3C75"/>
    <w:rsid w:val="008D6942"/>
    <w:rsid w:val="008D69E9"/>
    <w:rsid w:val="008E0E46"/>
    <w:rsid w:val="008E1DAE"/>
    <w:rsid w:val="008E295A"/>
    <w:rsid w:val="008F2D9A"/>
    <w:rsid w:val="008F44B8"/>
    <w:rsid w:val="008F504A"/>
    <w:rsid w:val="0090092A"/>
    <w:rsid w:val="009045EE"/>
    <w:rsid w:val="00904EBC"/>
    <w:rsid w:val="00905B30"/>
    <w:rsid w:val="00906C3D"/>
    <w:rsid w:val="009143D2"/>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E1D"/>
    <w:rsid w:val="00985F37"/>
    <w:rsid w:val="009879EA"/>
    <w:rsid w:val="009908A5"/>
    <w:rsid w:val="0099124E"/>
    <w:rsid w:val="00991261"/>
    <w:rsid w:val="00991CC2"/>
    <w:rsid w:val="009953D5"/>
    <w:rsid w:val="009A1D29"/>
    <w:rsid w:val="009C52CC"/>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5709E"/>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B62CB"/>
    <w:rsid w:val="00AC32B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C08"/>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BF5B0C"/>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6A5A"/>
    <w:rsid w:val="00CA74D3"/>
    <w:rsid w:val="00CB2158"/>
    <w:rsid w:val="00CB3CEA"/>
    <w:rsid w:val="00CB6380"/>
    <w:rsid w:val="00CC4CA6"/>
    <w:rsid w:val="00CD0009"/>
    <w:rsid w:val="00CD2CE2"/>
    <w:rsid w:val="00CD30EE"/>
    <w:rsid w:val="00CD3225"/>
    <w:rsid w:val="00CD35E8"/>
    <w:rsid w:val="00CE1E1B"/>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56D8"/>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B2EFF"/>
    <w:rsid w:val="00DD42A0"/>
    <w:rsid w:val="00DE236F"/>
    <w:rsid w:val="00DE3ECB"/>
    <w:rsid w:val="00DE4785"/>
    <w:rsid w:val="00DE7267"/>
    <w:rsid w:val="00DF0A4D"/>
    <w:rsid w:val="00DF3039"/>
    <w:rsid w:val="00DF3A04"/>
    <w:rsid w:val="00DF4518"/>
    <w:rsid w:val="00DF69A6"/>
    <w:rsid w:val="00E03CFB"/>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74873"/>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1472"/>
    <w:rsid w:val="00EE4D59"/>
    <w:rsid w:val="00EE73C3"/>
    <w:rsid w:val="00EF1D7F"/>
    <w:rsid w:val="00EF4AAC"/>
    <w:rsid w:val="00F01C57"/>
    <w:rsid w:val="00F03FA2"/>
    <w:rsid w:val="00F05283"/>
    <w:rsid w:val="00F07537"/>
    <w:rsid w:val="00F07E12"/>
    <w:rsid w:val="00F1200D"/>
    <w:rsid w:val="00F21A22"/>
    <w:rsid w:val="00F257D1"/>
    <w:rsid w:val="00F30A8A"/>
    <w:rsid w:val="00F31260"/>
    <w:rsid w:val="00F34267"/>
    <w:rsid w:val="00F3574D"/>
    <w:rsid w:val="00F40295"/>
    <w:rsid w:val="00F40E75"/>
    <w:rsid w:val="00F412D3"/>
    <w:rsid w:val="00F444E3"/>
    <w:rsid w:val="00F5087E"/>
    <w:rsid w:val="00F51BAB"/>
    <w:rsid w:val="00F535BE"/>
    <w:rsid w:val="00F54674"/>
    <w:rsid w:val="00F645BA"/>
    <w:rsid w:val="00F64C95"/>
    <w:rsid w:val="00F75E96"/>
    <w:rsid w:val="00F9016C"/>
    <w:rsid w:val="00FA00A0"/>
    <w:rsid w:val="00FA032F"/>
    <w:rsid w:val="00FA3FB7"/>
    <w:rsid w:val="00FB1A7C"/>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rsid w:val="00A8523D"/>
    <w:rPr>
      <w:rFonts w:ascii="Times New Roman" w:hAnsi="Times New Roman"/>
      <w:sz w:val="18"/>
      <w:vertAlign w:val="superscript"/>
    </w:rPr>
  </w:style>
  <w:style w:type="character" w:styleId="Appelnotedebasdep">
    <w:name w:val="footnote reference"/>
    <w:aliases w:val="4_G,Footnote Reference/"/>
    <w:rsid w:val="00A8523D"/>
    <w:rPr>
      <w:rFonts w:ascii="Times New Roman" w:hAnsi="Times New Roman"/>
      <w:sz w:val="18"/>
      <w:vertAlign w:val="superscript"/>
    </w:rPr>
  </w:style>
  <w:style w:type="paragraph" w:styleId="Notedebasdepage">
    <w:name w:val="footnote text"/>
    <w:aliases w:val="5_G"/>
    <w:basedOn w:val="Normal"/>
    <w:link w:val="NotedebasdepageC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rsid w:val="00A8523D"/>
  </w:style>
  <w:style w:type="character" w:styleId="Marquedecommentaire">
    <w:name w:val="annotation reference"/>
    <w:rPr>
      <w:sz w:val="6"/>
    </w:rPr>
  </w:style>
  <w:style w:type="paragraph" w:styleId="Commentaire">
    <w:name w:val="annotation text"/>
    <w:basedOn w:val="Normal"/>
    <w:link w:val="CommentaireCar"/>
    <w:rPr>
      <w:lang w:eastAsia="x-none"/>
    </w:rPr>
  </w:style>
  <w:style w:type="character" w:styleId="Numrodeligne">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A8523D"/>
    <w:pPr>
      <w:spacing w:line="240" w:lineRule="auto"/>
    </w:pPr>
    <w:rPr>
      <w:sz w:val="16"/>
    </w:rPr>
  </w:style>
  <w:style w:type="paragraph" w:styleId="En-tte">
    <w:name w:val="header"/>
    <w:aliases w:val="6_G"/>
    <w:basedOn w:val="Normal"/>
    <w:link w:val="En-tteCar"/>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paragraph" w:customStyle="1" w:styleId="MBodyTxt">
    <w:name w:val="MBodyTxt"/>
    <w:basedOn w:val="Normal"/>
    <w:qFormat/>
    <w:rsid w:val="006A033B"/>
    <w:pPr>
      <w:tabs>
        <w:tab w:val="left" w:pos="1418"/>
      </w:tabs>
      <w:spacing w:after="240" w:line="240" w:lineRule="auto"/>
      <w:jc w:val="both"/>
    </w:pPr>
    <w:rPr>
      <w:rFonts w:ascii="Liberation Serif;Times New Roma" w:eastAsia="NSimSun" w:hAnsi="Liberation Serif;Times New Roma"/>
      <w:lang w:eastAsia="fr-FR"/>
    </w:rPr>
  </w:style>
  <w:style w:type="paragraph" w:customStyle="1" w:styleId="MTabHead">
    <w:name w:val="MTabHead"/>
    <w:basedOn w:val="MBodyTxt"/>
    <w:qFormat/>
    <w:rsid w:val="006A033B"/>
    <w:pPr>
      <w:keepNext/>
      <w:jc w:val="center"/>
    </w:pPr>
    <w:rPr>
      <w:b/>
      <w:bCs/>
    </w:rPr>
  </w:style>
  <w:style w:type="paragraph" w:customStyle="1" w:styleId="Standard">
    <w:name w:val="Standard"/>
    <w:qFormat/>
    <w:rsid w:val="006A033B"/>
    <w:pPr>
      <w:suppressAutoHyphens/>
      <w:textAlignment w:val="baseline"/>
    </w:pPr>
    <w:rPr>
      <w:rFonts w:ascii="Liberation Serif;Times New Roma" w:eastAsia="NSimSun" w:hAnsi="Liberation Serif;Times New Roma" w:cs="Liberation Serif;Times New Roma"/>
      <w:sz w:val="24"/>
      <w:szCs w:val="24"/>
      <w:lang w:val="fr-FR" w:eastAsia="zh-CN" w:bidi="hi-IN"/>
    </w:rPr>
  </w:style>
  <w:style w:type="paragraph" w:customStyle="1" w:styleId="Contenudecadre">
    <w:name w:val="Contenu de cadre"/>
    <w:basedOn w:val="Normal"/>
    <w:qFormat/>
    <w:rsid w:val="006A033B"/>
    <w:pPr>
      <w:snapToGrid w:val="0"/>
    </w:pPr>
    <w:rPr>
      <w:rFonts w:eastAsia="SimSun"/>
      <w:lang w:eastAsia="zh-CN"/>
    </w:rPr>
  </w:style>
  <w:style w:type="paragraph" w:customStyle="1" w:styleId="AlphIbody">
    <w:name w:val="AlphI_body"/>
    <w:basedOn w:val="Normal"/>
    <w:qFormat/>
    <w:rsid w:val="006A033B"/>
    <w:pPr>
      <w:snapToGrid w:val="0"/>
      <w:spacing w:line="240" w:lineRule="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4723-A859-4A05-A244-01F5018D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20A0E-ECD7-4E21-A5B3-2A3E1C652702}">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acccb6d4-dbe5-46d2-b4d3-5733603d8cc6"/>
    <ds:schemaRef ds:uri="http://www.w3.org/XML/1998/namespace"/>
  </ds:schemaRefs>
</ds:datastoreItem>
</file>

<file path=customXml/itemProps3.xml><?xml version="1.0" encoding="utf-8"?>
<ds:datastoreItem xmlns:ds="http://schemas.openxmlformats.org/officeDocument/2006/customXml" ds:itemID="{93BB70E9-9746-4FFC-A5DE-E5E19997A887}">
  <ds:schemaRefs>
    <ds:schemaRef ds:uri="http://schemas.microsoft.com/sharepoint/v3/contenttype/forms"/>
  </ds:schemaRefs>
</ds:datastoreItem>
</file>

<file path=customXml/itemProps4.xml><?xml version="1.0" encoding="utf-8"?>
<ds:datastoreItem xmlns:ds="http://schemas.openxmlformats.org/officeDocument/2006/customXml" ds:itemID="{5CD35E5E-DF0F-4845-9FAC-C59C7078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18</cp:revision>
  <cp:lastPrinted>2020-11-27T15:35:00Z</cp:lastPrinted>
  <dcterms:created xsi:type="dcterms:W3CDTF">2020-11-27T16:06:00Z</dcterms:created>
  <dcterms:modified xsi:type="dcterms:W3CDTF">2020-11-27T19:21:00Z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