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49211A" w14:paraId="4A5F6ADC" w14:textId="77777777" w:rsidTr="000216CC">
        <w:trPr>
          <w:trHeight w:val="851"/>
        </w:trPr>
        <w:tc>
          <w:tcPr>
            <w:tcW w:w="1259" w:type="dxa"/>
            <w:tcBorders>
              <w:top w:val="nil"/>
              <w:left w:val="nil"/>
              <w:bottom w:val="single" w:sz="4" w:space="0" w:color="auto"/>
              <w:right w:val="nil"/>
            </w:tcBorders>
            <w:shd w:val="clear" w:color="auto" w:fill="auto"/>
          </w:tcPr>
          <w:p w14:paraId="3F1F585F" w14:textId="77777777" w:rsidR="00446DE4" w:rsidRPr="00E3141C"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308E1120" w14:textId="77777777" w:rsidR="00446DE4" w:rsidRPr="00E3141C"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5533BF95" w14:textId="15539E85" w:rsidR="00FC215C" w:rsidRPr="0049211A" w:rsidRDefault="00FC215C" w:rsidP="00B666B2">
            <w:pPr>
              <w:jc w:val="right"/>
              <w:rPr>
                <w:b/>
                <w:sz w:val="40"/>
                <w:szCs w:val="40"/>
              </w:rPr>
            </w:pPr>
            <w:r w:rsidRPr="0049211A">
              <w:rPr>
                <w:b/>
                <w:sz w:val="40"/>
                <w:szCs w:val="40"/>
              </w:rPr>
              <w:t>UN/SCETDG/</w:t>
            </w:r>
            <w:r w:rsidR="00CE74ED" w:rsidRPr="0049211A">
              <w:rPr>
                <w:b/>
                <w:sz w:val="40"/>
                <w:szCs w:val="40"/>
              </w:rPr>
              <w:t>5</w:t>
            </w:r>
            <w:r w:rsidR="00211A08">
              <w:rPr>
                <w:b/>
                <w:sz w:val="40"/>
                <w:szCs w:val="40"/>
              </w:rPr>
              <w:t>7</w:t>
            </w:r>
            <w:r w:rsidRPr="0049211A">
              <w:rPr>
                <w:b/>
                <w:sz w:val="40"/>
                <w:szCs w:val="40"/>
              </w:rPr>
              <w:t>/INF.</w:t>
            </w:r>
            <w:r w:rsidR="009C52CC">
              <w:rPr>
                <w:b/>
                <w:sz w:val="40"/>
                <w:szCs w:val="40"/>
              </w:rPr>
              <w:t>50</w:t>
            </w:r>
          </w:p>
          <w:p w14:paraId="3D49917E" w14:textId="77777777" w:rsidR="000216CC" w:rsidRPr="0049211A" w:rsidRDefault="000216CC" w:rsidP="00497711">
            <w:pPr>
              <w:jc w:val="right"/>
            </w:pPr>
          </w:p>
        </w:tc>
      </w:tr>
    </w:tbl>
    <w:p w14:paraId="49935CD4" w14:textId="77777777" w:rsidR="000019B8" w:rsidRPr="00E3141C" w:rsidRDefault="000019B8" w:rsidP="000019B8">
      <w:pPr>
        <w:rPr>
          <w:vanish/>
        </w:rPr>
      </w:pPr>
    </w:p>
    <w:tbl>
      <w:tblPr>
        <w:tblW w:w="9645" w:type="dxa"/>
        <w:tblInd w:w="108" w:type="dxa"/>
        <w:tblLayout w:type="fixed"/>
        <w:tblLook w:val="04A0" w:firstRow="1" w:lastRow="0" w:firstColumn="1" w:lastColumn="0" w:noHBand="0" w:noVBand="1"/>
      </w:tblPr>
      <w:tblGrid>
        <w:gridCol w:w="9645"/>
      </w:tblGrid>
      <w:tr w:rsidR="00645A0B" w:rsidRPr="0049211A" w14:paraId="4C1D54C0" w14:textId="77777777" w:rsidTr="00D73803">
        <w:tc>
          <w:tcPr>
            <w:tcW w:w="9645" w:type="dxa"/>
            <w:tcMar>
              <w:top w:w="142" w:type="dxa"/>
              <w:left w:w="108" w:type="dxa"/>
              <w:bottom w:w="142" w:type="dxa"/>
              <w:right w:w="108" w:type="dxa"/>
            </w:tcMar>
          </w:tcPr>
          <w:p w14:paraId="355D01DD" w14:textId="796F5CF5" w:rsidR="00645A0B" w:rsidRPr="0049211A" w:rsidRDefault="00645A0B" w:rsidP="00E275F7">
            <w:pPr>
              <w:tabs>
                <w:tab w:val="right" w:pos="9214"/>
              </w:tabs>
            </w:pPr>
            <w:r w:rsidRPr="0049211A">
              <w:rPr>
                <w:b/>
                <w:sz w:val="24"/>
                <w:szCs w:val="24"/>
              </w:rPr>
              <w:t>Committee of Experts on the Transport of Dangerous Goods</w:t>
            </w:r>
            <w:r w:rsidRPr="0049211A">
              <w:rPr>
                <w:b/>
                <w:sz w:val="24"/>
                <w:szCs w:val="24"/>
              </w:rPr>
              <w:br/>
              <w:t>and on the Globally Harmonized System of Classification</w:t>
            </w:r>
            <w:r w:rsidRPr="0049211A">
              <w:rPr>
                <w:b/>
                <w:sz w:val="24"/>
                <w:szCs w:val="24"/>
              </w:rPr>
              <w:br/>
              <w:t>and Labelling of Chemicals</w:t>
            </w:r>
            <w:r w:rsidRPr="0049211A">
              <w:rPr>
                <w:b/>
              </w:rPr>
              <w:tab/>
            </w:r>
            <w:r w:rsidR="00E275F7">
              <w:rPr>
                <w:b/>
              </w:rPr>
              <w:t>2</w:t>
            </w:r>
            <w:r w:rsidR="00211A08">
              <w:rPr>
                <w:b/>
              </w:rPr>
              <w:t>7</w:t>
            </w:r>
            <w:r w:rsidR="008B57F6">
              <w:rPr>
                <w:b/>
              </w:rPr>
              <w:t xml:space="preserve"> </w:t>
            </w:r>
            <w:r w:rsidR="00211A08">
              <w:rPr>
                <w:b/>
              </w:rPr>
              <w:t>November</w:t>
            </w:r>
            <w:r w:rsidR="006216A1" w:rsidRPr="006216A1">
              <w:rPr>
                <w:b/>
              </w:rPr>
              <w:t xml:space="preserve"> </w:t>
            </w:r>
            <w:r w:rsidR="006A53DC" w:rsidRPr="006216A1">
              <w:rPr>
                <w:b/>
              </w:rPr>
              <w:t>20</w:t>
            </w:r>
            <w:r w:rsidR="00211A08">
              <w:rPr>
                <w:b/>
              </w:rPr>
              <w:t>20</w:t>
            </w:r>
          </w:p>
        </w:tc>
      </w:tr>
      <w:tr w:rsidR="008B57F6" w:rsidRPr="00E3141C" w14:paraId="42129799" w14:textId="77777777" w:rsidTr="005E5C40">
        <w:trPr>
          <w:trHeight w:val="1944"/>
        </w:trPr>
        <w:tc>
          <w:tcPr>
            <w:tcW w:w="9645" w:type="dxa"/>
            <w:tcMar>
              <w:top w:w="57" w:type="dxa"/>
              <w:left w:w="108" w:type="dxa"/>
              <w:bottom w:w="0" w:type="dxa"/>
              <w:right w:w="108" w:type="dxa"/>
            </w:tcMar>
            <w:vAlign w:val="center"/>
          </w:tcPr>
          <w:p w14:paraId="1C491EF2" w14:textId="77777777" w:rsidR="008B57F6" w:rsidRPr="0049211A" w:rsidRDefault="008B57F6" w:rsidP="00D73803">
            <w:pPr>
              <w:spacing w:before="40"/>
              <w:rPr>
                <w:b/>
              </w:rPr>
            </w:pPr>
            <w:r w:rsidRPr="0049211A">
              <w:rPr>
                <w:b/>
              </w:rPr>
              <w:t xml:space="preserve">Sub-Committee of Experts on the Transport of Dangerous Goods </w:t>
            </w:r>
          </w:p>
          <w:p w14:paraId="3C34F18C" w14:textId="0C86DBAD" w:rsidR="008B57F6" w:rsidRPr="0049211A" w:rsidRDefault="008B57F6" w:rsidP="00D73803">
            <w:pPr>
              <w:spacing w:line="240" w:lineRule="auto"/>
              <w:ind w:left="34" w:hanging="34"/>
              <w:rPr>
                <w:b/>
              </w:rPr>
            </w:pPr>
            <w:r w:rsidRPr="0049211A">
              <w:rPr>
                <w:b/>
              </w:rPr>
              <w:t>Fifty-</w:t>
            </w:r>
            <w:r w:rsidR="008476FA">
              <w:rPr>
                <w:b/>
              </w:rPr>
              <w:t>seventh</w:t>
            </w:r>
            <w:r w:rsidRPr="0049211A">
              <w:rPr>
                <w:b/>
              </w:rPr>
              <w:t xml:space="preserve"> session</w:t>
            </w:r>
          </w:p>
          <w:p w14:paraId="56235436" w14:textId="52074E76" w:rsidR="008B57F6" w:rsidRPr="0049211A" w:rsidRDefault="008B57F6" w:rsidP="00CE74ED">
            <w:pPr>
              <w:tabs>
                <w:tab w:val="left" w:pos="6361"/>
                <w:tab w:val="left" w:pos="6939"/>
              </w:tabs>
              <w:spacing w:before="40"/>
              <w:outlineLvl w:val="0"/>
              <w:rPr>
                <w:bCs/>
              </w:rPr>
            </w:pPr>
            <w:r w:rsidRPr="0049211A">
              <w:t xml:space="preserve">Geneva, </w:t>
            </w:r>
            <w:r w:rsidR="008476FA" w:rsidRPr="002D3ADC">
              <w:t>30 November-8 December 2</w:t>
            </w:r>
            <w:r>
              <w:t>0</w:t>
            </w:r>
            <w:r w:rsidR="008476FA">
              <w:t>20</w:t>
            </w:r>
          </w:p>
          <w:p w14:paraId="246278FB" w14:textId="360142A6" w:rsidR="008B57F6" w:rsidRPr="0049211A" w:rsidRDefault="008B57F6" w:rsidP="00EA48C4">
            <w:pPr>
              <w:spacing w:before="40"/>
              <w:ind w:left="34" w:hanging="34"/>
            </w:pPr>
            <w:r w:rsidRPr="0049211A">
              <w:t xml:space="preserve">Item </w:t>
            </w:r>
            <w:r w:rsidR="006A033B">
              <w:t>4</w:t>
            </w:r>
            <w:r>
              <w:t xml:space="preserve"> (</w:t>
            </w:r>
            <w:r w:rsidR="006A033B">
              <w:t>e</w:t>
            </w:r>
            <w:r>
              <w:t>)</w:t>
            </w:r>
            <w:r w:rsidRPr="0049211A">
              <w:t xml:space="preserve"> of the provisional agenda</w:t>
            </w:r>
          </w:p>
          <w:p w14:paraId="70C7F518" w14:textId="7CD90882" w:rsidR="008B57F6" w:rsidRPr="008A72CF" w:rsidRDefault="00B73C08" w:rsidP="000B6AD1">
            <w:pPr>
              <w:spacing w:before="40"/>
              <w:rPr>
                <w:b/>
                <w:bCs/>
              </w:rPr>
            </w:pPr>
            <w:r w:rsidRPr="008A72CF">
              <w:rPr>
                <w:b/>
                <w:bCs/>
              </w:rPr>
              <w:t xml:space="preserve">Electric storage systems: </w:t>
            </w:r>
            <w:r w:rsidR="008A72CF" w:rsidRPr="008A72CF">
              <w:rPr>
                <w:b/>
                <w:bCs/>
              </w:rPr>
              <w:t>sodium-ion batteries</w:t>
            </w:r>
          </w:p>
        </w:tc>
      </w:tr>
    </w:tbl>
    <w:p w14:paraId="0441A9A4" w14:textId="77777777" w:rsidR="006A033B" w:rsidRDefault="006A033B" w:rsidP="006A033B">
      <w:pPr>
        <w:pStyle w:val="HChG"/>
      </w:pPr>
      <w:r>
        <w:tab/>
      </w:r>
      <w:r>
        <w:tab/>
        <w:t xml:space="preserve">Comment on ST/SG/AC.10/C.3/2020/45/Rev.1 – answers to the comments made on the virtual platform and consequential amendments </w:t>
      </w:r>
    </w:p>
    <w:p w14:paraId="6615BAF6" w14:textId="77777777" w:rsidR="006A033B" w:rsidRDefault="006A033B" w:rsidP="006A033B">
      <w:pPr>
        <w:pStyle w:val="H1G"/>
      </w:pPr>
      <w:r>
        <w:tab/>
      </w:r>
      <w:r>
        <w:tab/>
        <w:t>Transmitted by the experts from France and the United Kingdom</w:t>
      </w:r>
    </w:p>
    <w:p w14:paraId="5A0D4A1B" w14:textId="6532EC98" w:rsidR="006A033B" w:rsidRDefault="00566FF9" w:rsidP="00566FF9">
      <w:pPr>
        <w:pStyle w:val="HChG"/>
      </w:pPr>
      <w:r>
        <w:tab/>
      </w:r>
      <w:r>
        <w:tab/>
      </w:r>
      <w:r w:rsidR="006A033B">
        <w:t>Introduction</w:t>
      </w:r>
    </w:p>
    <w:p w14:paraId="4AE0E039" w14:textId="6DAB690B" w:rsidR="006A033B" w:rsidRDefault="006A033B" w:rsidP="006A033B">
      <w:pPr>
        <w:pStyle w:val="SingleTxtG"/>
      </w:pPr>
      <w:r>
        <w:t xml:space="preserve">1. </w:t>
      </w:r>
      <w:r w:rsidR="00566FF9">
        <w:tab/>
      </w:r>
      <w:r>
        <w:t>A lot of positive comments were made for this proposal on the virtual platform and we would like to thank those who commented with proposals to improve the text. Nevertheless, some new points were raised that require clarification.</w:t>
      </w:r>
    </w:p>
    <w:p w14:paraId="3006D28F" w14:textId="4990045D" w:rsidR="006A033B" w:rsidRDefault="006A033B" w:rsidP="006A033B">
      <w:pPr>
        <w:pStyle w:val="SingleTxtG"/>
      </w:pPr>
      <w:r>
        <w:t xml:space="preserve">2. </w:t>
      </w:r>
      <w:r w:rsidR="00566FF9">
        <w:tab/>
      </w:r>
      <w:r>
        <w:t xml:space="preserve">In order to ease the discussions during the </w:t>
      </w:r>
      <w:r w:rsidR="0052456E">
        <w:rPr>
          <w:lang w:val="fr-CH"/>
        </w:rPr>
        <w:t>S</w:t>
      </w:r>
      <w:proofErr w:type="spellStart"/>
      <w:r>
        <w:t>ub</w:t>
      </w:r>
      <w:proofErr w:type="spellEnd"/>
      <w:r>
        <w:t>-</w:t>
      </w:r>
      <w:r w:rsidR="0052456E">
        <w:rPr>
          <w:lang w:val="fr-CH"/>
        </w:rPr>
        <w:t>C</w:t>
      </w:r>
      <w:proofErr w:type="spellStart"/>
      <w:r>
        <w:t>ommittee</w:t>
      </w:r>
      <w:proofErr w:type="spellEnd"/>
      <w:r>
        <w:t xml:space="preserve"> we drafted this information document to provide a clear amended proposal and provide some answers to the questions and suggestions that have been raised. The revised text appears in Annex I. Modified text is presented in </w:t>
      </w:r>
      <w:r>
        <w:rPr>
          <w:color w:val="800000"/>
          <w:highlight w:val="yellow"/>
        </w:rPr>
        <w:t>red with a yellow background.</w:t>
      </w:r>
      <w:r>
        <w:rPr>
          <w:color w:val="000000"/>
        </w:rPr>
        <w:t xml:space="preserve"> It contains a comprehensive final proposal.</w:t>
      </w:r>
    </w:p>
    <w:p w14:paraId="10C8885A" w14:textId="2E1FBFC4" w:rsidR="006A033B" w:rsidRDefault="00566FF9" w:rsidP="00566FF9">
      <w:pPr>
        <w:pStyle w:val="H1G"/>
      </w:pPr>
      <w:r>
        <w:tab/>
      </w:r>
      <w:r>
        <w:tab/>
      </w:r>
      <w:r w:rsidR="006A033B">
        <w:t>New amendments</w:t>
      </w:r>
    </w:p>
    <w:p w14:paraId="78239459" w14:textId="79F5237C" w:rsidR="006A033B" w:rsidRDefault="006A033B" w:rsidP="006A033B">
      <w:pPr>
        <w:pStyle w:val="SingleTxtG"/>
      </w:pPr>
      <w:r>
        <w:rPr>
          <w:rFonts w:eastAsiaTheme="minorEastAsia"/>
          <w:color w:val="000000"/>
          <w:lang w:val="en-US"/>
        </w:rPr>
        <w:t xml:space="preserve">3. </w:t>
      </w:r>
      <w:r w:rsidR="00566FF9">
        <w:rPr>
          <w:rFonts w:eastAsiaTheme="minorEastAsia"/>
          <w:color w:val="000000"/>
          <w:lang w:val="en-US"/>
        </w:rPr>
        <w:tab/>
      </w:r>
      <w:r>
        <w:rPr>
          <w:rFonts w:eastAsiaTheme="minorEastAsia"/>
          <w:color w:val="000000"/>
          <w:lang w:val="en-US"/>
        </w:rPr>
        <w:t xml:space="preserve">Concerning the editorial amendments suggested by other delegations, we introduced almost all of those that have been proposed except for the introduction of a </w:t>
      </w:r>
      <w:r>
        <w:rPr>
          <w:rFonts w:eastAsiaTheme="minorEastAsia"/>
          <w:color w:val="000000"/>
        </w:rPr>
        <w:t>separate subsection for sodium ion tests in the Manual of Tests and Criteria.</w:t>
      </w:r>
      <w:r w:rsidR="007D1CBC">
        <w:rPr>
          <w:rFonts w:eastAsiaTheme="minorEastAsia"/>
          <w:color w:val="000000"/>
          <w:lang w:val="fr-CH"/>
        </w:rPr>
        <w:t xml:space="preserve"> </w:t>
      </w:r>
      <w:r>
        <w:rPr>
          <w:rFonts w:eastAsiaTheme="minorEastAsia"/>
          <w:color w:val="000000"/>
        </w:rPr>
        <w:t xml:space="preserve">We don't believe this is necessary as they are already presented in their own table separate to those required for lithium batteries. Concerning the proposal from Canada to delete the words “using organic electrolyte” we agree it would simplify the drafting. We were not sure if it could be accepted by all members in the </w:t>
      </w:r>
      <w:r w:rsidR="007D1CBC" w:rsidRPr="00C27244">
        <w:rPr>
          <w:rFonts w:eastAsiaTheme="minorEastAsia"/>
          <w:color w:val="000000"/>
          <w:lang w:val="en-GB"/>
        </w:rPr>
        <w:t>Sub-Committee</w:t>
      </w:r>
      <w:r>
        <w:rPr>
          <w:rFonts w:eastAsiaTheme="minorEastAsia"/>
          <w:color w:val="000000"/>
        </w:rPr>
        <w:t xml:space="preserve"> so we placed these words in square bracket (and </w:t>
      </w:r>
      <w:r w:rsidRPr="00C27244">
        <w:rPr>
          <w:rFonts w:eastAsiaTheme="minorEastAsia"/>
          <w:color w:val="000000"/>
          <w:highlight w:val="cyan"/>
        </w:rPr>
        <w:t>blue background</w:t>
      </w:r>
      <w:r>
        <w:rPr>
          <w:rFonts w:eastAsiaTheme="minorEastAsia"/>
          <w:color w:val="000000"/>
        </w:rPr>
        <w:t>) whenever they appear and added a note under 2.9.5. It makes it easy for the subcommittee to identify and make a quick decision on that simple editorial matter. We believ</w:t>
      </w:r>
      <w:r w:rsidR="00C27244">
        <w:rPr>
          <w:rFonts w:eastAsiaTheme="minorEastAsia"/>
          <w:color w:val="000000"/>
          <w:lang w:val="fr-CH"/>
        </w:rPr>
        <w:t>e</w:t>
      </w:r>
      <w:r>
        <w:rPr>
          <w:rFonts w:eastAsiaTheme="minorEastAsia"/>
          <w:color w:val="000000"/>
        </w:rPr>
        <w:t xml:space="preserve"> tha</w:t>
      </w:r>
      <w:r w:rsidR="00C27244">
        <w:rPr>
          <w:rFonts w:eastAsiaTheme="minorEastAsia"/>
          <w:color w:val="000000"/>
          <w:lang w:val="fr-CH"/>
        </w:rPr>
        <w:t>t</w:t>
      </w:r>
      <w:r>
        <w:rPr>
          <w:rFonts w:eastAsiaTheme="minorEastAsia"/>
          <w:color w:val="000000"/>
        </w:rPr>
        <w:t xml:space="preserve"> this would also satisfy the second comment from Belgium.</w:t>
      </w:r>
    </w:p>
    <w:p w14:paraId="07FF0841" w14:textId="1FDED611" w:rsidR="006A033B" w:rsidRDefault="006A033B" w:rsidP="006A033B">
      <w:pPr>
        <w:pStyle w:val="SingleTxtG"/>
        <w:rPr>
          <w:rFonts w:eastAsiaTheme="minorEastAsia"/>
          <w:color w:val="000000"/>
        </w:rPr>
      </w:pPr>
      <w:r>
        <w:rPr>
          <w:rFonts w:eastAsiaTheme="minorEastAsia"/>
          <w:color w:val="000000"/>
          <w:lang w:val="en-US"/>
        </w:rPr>
        <w:t xml:space="preserve">4. </w:t>
      </w:r>
      <w:r w:rsidR="00566FF9">
        <w:rPr>
          <w:rFonts w:eastAsiaTheme="minorEastAsia"/>
          <w:color w:val="000000"/>
          <w:lang w:val="en-US"/>
        </w:rPr>
        <w:tab/>
      </w:r>
      <w:r>
        <w:rPr>
          <w:rFonts w:eastAsiaTheme="minorEastAsia"/>
          <w:color w:val="000000"/>
          <w:lang w:val="en-US"/>
        </w:rPr>
        <w:t>Concerning substantial amendments:</w:t>
      </w:r>
    </w:p>
    <w:p w14:paraId="5DEC6B12" w14:textId="68035592" w:rsidR="006A033B" w:rsidRDefault="00566FF9" w:rsidP="00566FF9">
      <w:pPr>
        <w:pStyle w:val="Bullet1G"/>
        <w:rPr>
          <w:rFonts w:eastAsiaTheme="minorEastAsia"/>
        </w:rPr>
      </w:pPr>
      <w:r>
        <w:rPr>
          <w:rFonts w:eastAsiaTheme="minorEastAsia"/>
          <w:lang w:val="en-US"/>
        </w:rPr>
        <w:t>C</w:t>
      </w:r>
      <w:r w:rsidR="006A033B">
        <w:rPr>
          <w:rFonts w:eastAsiaTheme="minorEastAsia"/>
          <w:lang w:val="en-US"/>
        </w:rPr>
        <w:t>omments have been made about the amount of testing required for sodium ion batteries/cells noting that these are not identical to the ones required for lithium batteries and cells. We do not have any concerns with aligning the testing requirements and have modified the document accordingly. However, it should be noted that in the case of sodium ion batteries, testing discharged batteries has no meaning as the batteries are not active in a discharged state. This is different to lithium ion batteries/cells which makes total full implementation of lithium battery testing irrelevant to sodium ion batteries/cells.</w:t>
      </w:r>
    </w:p>
    <w:p w14:paraId="7D9BFD1B" w14:textId="77777777" w:rsidR="00566FF9" w:rsidRDefault="00566FF9">
      <w:pPr>
        <w:suppressAutoHyphens w:val="0"/>
        <w:spacing w:line="240" w:lineRule="auto"/>
        <w:rPr>
          <w:rFonts w:eastAsiaTheme="minorEastAsia"/>
          <w:lang w:val="en-US"/>
        </w:rPr>
      </w:pPr>
      <w:r>
        <w:rPr>
          <w:rFonts w:eastAsiaTheme="minorEastAsia"/>
          <w:lang w:val="en-US"/>
        </w:rPr>
        <w:br w:type="page"/>
      </w:r>
    </w:p>
    <w:p w14:paraId="51D479FD" w14:textId="7B7CCB9B" w:rsidR="006A033B" w:rsidRDefault="00566FF9" w:rsidP="00566FF9">
      <w:pPr>
        <w:pStyle w:val="Bullet1G"/>
        <w:rPr>
          <w:rFonts w:eastAsiaTheme="minorEastAsia"/>
        </w:rPr>
      </w:pPr>
      <w:r>
        <w:rPr>
          <w:rFonts w:eastAsiaTheme="minorEastAsia"/>
          <w:lang w:val="en-US"/>
        </w:rPr>
        <w:lastRenderedPageBreak/>
        <w:t>C</w:t>
      </w:r>
      <w:r w:rsidR="006A033B">
        <w:rPr>
          <w:rFonts w:eastAsiaTheme="minorEastAsia"/>
          <w:lang w:val="en-US"/>
        </w:rPr>
        <w:t xml:space="preserve">oncerning the comments received in relation to sodium ion batteries contained in equipment under the new special provision XXX, we have added a new paragraph </w:t>
      </w:r>
      <w:proofErr w:type="gramStart"/>
      <w:r w:rsidR="006A033B">
        <w:rPr>
          <w:rFonts w:eastAsiaTheme="minorEastAsia"/>
          <w:lang w:val="en-US"/>
        </w:rPr>
        <w:t>similar to</w:t>
      </w:r>
      <w:proofErr w:type="gramEnd"/>
      <w:r w:rsidR="006A033B">
        <w:rPr>
          <w:rFonts w:eastAsiaTheme="minorEastAsia"/>
          <w:lang w:val="en-US"/>
        </w:rPr>
        <w:t xml:space="preserve"> the provisions in special provision 188 covering the same issue for lithium ion batteries contained in equipment.</w:t>
      </w:r>
    </w:p>
    <w:p w14:paraId="5F58C0B1" w14:textId="6AE9DD4D" w:rsidR="006A033B" w:rsidRDefault="00566FF9" w:rsidP="00566FF9">
      <w:pPr>
        <w:pStyle w:val="Bullet1G"/>
        <w:rPr>
          <w:rFonts w:eastAsiaTheme="minorEastAsia"/>
        </w:rPr>
      </w:pPr>
      <w:r>
        <w:rPr>
          <w:rFonts w:eastAsiaTheme="minorEastAsia"/>
          <w:lang w:val="en-US"/>
        </w:rPr>
        <w:t>I</w:t>
      </w:r>
      <w:r w:rsidR="006A033B">
        <w:rPr>
          <w:rFonts w:eastAsiaTheme="minorEastAsia"/>
          <w:lang w:val="en-US"/>
        </w:rPr>
        <w:t>n special provision XXX we agree batteries would need to be in conformity with 2.9.5 a), b), d), e) and f) as these are met by their design, but not c) because under the special provision they must be shorted already. We have added the relevant references to make this amendment.</w:t>
      </w:r>
    </w:p>
    <w:p w14:paraId="6AE521B6" w14:textId="43289A9A" w:rsidR="006A033B" w:rsidRDefault="00566FF9" w:rsidP="00566FF9">
      <w:pPr>
        <w:pStyle w:val="Bullet1G"/>
        <w:rPr>
          <w:rFonts w:eastAsiaTheme="minorEastAsia"/>
        </w:rPr>
      </w:pPr>
      <w:r>
        <w:rPr>
          <w:rFonts w:eastAsiaTheme="minorEastAsia"/>
          <w:lang w:val="en-US"/>
        </w:rPr>
        <w:t>C</w:t>
      </w:r>
      <w:r w:rsidR="006A033B">
        <w:rPr>
          <w:rFonts w:eastAsiaTheme="minorEastAsia"/>
          <w:lang w:val="en-US"/>
        </w:rPr>
        <w:t>oncerning the transition period mentioned in special provision 348 we are happy to follow the majority’s view.</w:t>
      </w:r>
    </w:p>
    <w:p w14:paraId="734B3408" w14:textId="1B4DDF57" w:rsidR="006A033B" w:rsidRDefault="00566FF9" w:rsidP="00566FF9">
      <w:pPr>
        <w:pStyle w:val="Bullet1G"/>
        <w:rPr>
          <w:rFonts w:eastAsiaTheme="minorEastAsia"/>
        </w:rPr>
      </w:pPr>
      <w:r>
        <w:rPr>
          <w:rFonts w:eastAsiaTheme="minorEastAsia"/>
          <w:lang w:val="en-US"/>
        </w:rPr>
        <w:t>C</w:t>
      </w:r>
      <w:r w:rsidR="006A033B">
        <w:rPr>
          <w:rFonts w:eastAsiaTheme="minorEastAsia"/>
          <w:lang w:val="en-US"/>
        </w:rPr>
        <w:t>oncerning the comments made on special provisions 376 and 377, we didn't see the need to introduce any new amendments. Sodium ion batteries are similar to lithium batteries in their behavior (although less energetic), and as such there is no reason  not to use both types of batteries on the same equipment or a need to separate them as they would not generate any additional hazard when mixed.</w:t>
      </w:r>
    </w:p>
    <w:p w14:paraId="60B47081" w14:textId="5E9B7B27" w:rsidR="006A033B" w:rsidRDefault="00566FF9" w:rsidP="00566FF9">
      <w:pPr>
        <w:pStyle w:val="H1G"/>
        <w:rPr>
          <w:rFonts w:eastAsiaTheme="minorEastAsia"/>
        </w:rPr>
      </w:pPr>
      <w:r>
        <w:rPr>
          <w:rFonts w:eastAsiaTheme="minorEastAsia"/>
          <w:lang w:val="en-US"/>
        </w:rPr>
        <w:tab/>
      </w:r>
      <w:r>
        <w:rPr>
          <w:rFonts w:eastAsiaTheme="minorEastAsia"/>
          <w:lang w:val="en-US"/>
        </w:rPr>
        <w:tab/>
      </w:r>
      <w:r w:rsidR="006A033B">
        <w:rPr>
          <w:rFonts w:eastAsiaTheme="minorEastAsia"/>
          <w:lang w:val="en-US"/>
        </w:rPr>
        <w:t>Explanation of the testing data presented in INF.9</w:t>
      </w:r>
    </w:p>
    <w:p w14:paraId="054CFC9A" w14:textId="148B153B" w:rsidR="006A033B" w:rsidRDefault="006A033B" w:rsidP="006A033B">
      <w:pPr>
        <w:pStyle w:val="SingleTxtG"/>
        <w:rPr>
          <w:rFonts w:eastAsiaTheme="minorEastAsia"/>
          <w:color w:val="000000"/>
        </w:rPr>
      </w:pPr>
      <w:r>
        <w:rPr>
          <w:rFonts w:eastAsiaTheme="minorEastAsia"/>
          <w:color w:val="000000"/>
          <w:lang w:val="en-US"/>
        </w:rPr>
        <w:t xml:space="preserve">5. </w:t>
      </w:r>
      <w:r w:rsidR="00045655">
        <w:rPr>
          <w:rFonts w:eastAsiaTheme="minorEastAsia"/>
          <w:color w:val="000000"/>
          <w:lang w:val="en-US"/>
        </w:rPr>
        <w:tab/>
      </w:r>
      <w:r>
        <w:rPr>
          <w:rFonts w:eastAsiaTheme="minorEastAsia"/>
          <w:color w:val="000000"/>
          <w:lang w:val="en-US"/>
        </w:rPr>
        <w:t xml:space="preserve">All design types that have been shown to us </w:t>
      </w:r>
      <w:proofErr w:type="gramStart"/>
      <w:r>
        <w:rPr>
          <w:rFonts w:eastAsiaTheme="minorEastAsia"/>
          <w:color w:val="000000"/>
          <w:lang w:val="en-US"/>
        </w:rPr>
        <w:t>are capable of passing</w:t>
      </w:r>
      <w:proofErr w:type="gramEnd"/>
      <w:r>
        <w:rPr>
          <w:rFonts w:eastAsiaTheme="minorEastAsia"/>
          <w:color w:val="000000"/>
          <w:lang w:val="en-US"/>
        </w:rPr>
        <w:t xml:space="preserve"> the tests as defined in section 38.3 of the Manual of Tests and Criteria successfully. Their energy density goes approximately from 100</w:t>
      </w:r>
      <w:r w:rsidR="008908B7">
        <w:rPr>
          <w:rFonts w:eastAsiaTheme="minorEastAsia"/>
          <w:color w:val="000000"/>
          <w:lang w:val="en-US"/>
        </w:rPr>
        <w:t xml:space="preserve"> </w:t>
      </w:r>
      <w:proofErr w:type="spellStart"/>
      <w:r w:rsidR="008908B7">
        <w:rPr>
          <w:rFonts w:eastAsiaTheme="minorEastAsia"/>
          <w:color w:val="000000"/>
          <w:lang w:val="en-US"/>
        </w:rPr>
        <w:t>W</w:t>
      </w:r>
      <w:r>
        <w:rPr>
          <w:rFonts w:eastAsiaTheme="minorEastAsia"/>
          <w:color w:val="000000"/>
          <w:lang w:val="en-US"/>
        </w:rPr>
        <w:t>h</w:t>
      </w:r>
      <w:proofErr w:type="spellEnd"/>
      <w:r>
        <w:rPr>
          <w:rFonts w:eastAsiaTheme="minorEastAsia"/>
          <w:color w:val="000000"/>
          <w:lang w:val="en-US"/>
        </w:rPr>
        <w:t>/kg to 150</w:t>
      </w:r>
      <w:r w:rsidR="008908B7">
        <w:rPr>
          <w:rFonts w:eastAsiaTheme="minorEastAsia"/>
          <w:color w:val="000000"/>
          <w:lang w:val="en-US"/>
        </w:rPr>
        <w:t xml:space="preserve"> </w:t>
      </w:r>
      <w:proofErr w:type="spellStart"/>
      <w:r w:rsidR="008908B7">
        <w:rPr>
          <w:rFonts w:eastAsiaTheme="minorEastAsia"/>
          <w:color w:val="000000"/>
          <w:lang w:val="en-US"/>
        </w:rPr>
        <w:t>W</w:t>
      </w:r>
      <w:r>
        <w:rPr>
          <w:rFonts w:eastAsiaTheme="minorEastAsia"/>
          <w:color w:val="000000"/>
          <w:lang w:val="en-US"/>
        </w:rPr>
        <w:t>h</w:t>
      </w:r>
      <w:proofErr w:type="spellEnd"/>
      <w:r>
        <w:rPr>
          <w:rFonts w:eastAsiaTheme="minorEastAsia"/>
          <w:color w:val="000000"/>
          <w:lang w:val="en-US"/>
        </w:rPr>
        <w:t>/kg.</w:t>
      </w:r>
    </w:p>
    <w:p w14:paraId="75835D75" w14:textId="5446EE20" w:rsidR="006A033B" w:rsidRDefault="006A033B" w:rsidP="006A033B">
      <w:pPr>
        <w:pStyle w:val="SingleTxtG"/>
        <w:rPr>
          <w:rFonts w:eastAsiaTheme="minorEastAsia"/>
          <w:color w:val="000000"/>
        </w:rPr>
      </w:pPr>
      <w:r>
        <w:rPr>
          <w:rFonts w:eastAsiaTheme="minorEastAsia"/>
          <w:color w:val="000000"/>
          <w:lang w:val="en-US"/>
        </w:rPr>
        <w:t xml:space="preserve">6. </w:t>
      </w:r>
      <w:r w:rsidR="00045655">
        <w:rPr>
          <w:rFonts w:eastAsiaTheme="minorEastAsia"/>
          <w:color w:val="000000"/>
          <w:lang w:val="en-US"/>
        </w:rPr>
        <w:tab/>
      </w:r>
      <w:r>
        <w:rPr>
          <w:rFonts w:eastAsiaTheme="minorEastAsia"/>
          <w:color w:val="000000"/>
          <w:lang w:val="en-US"/>
        </w:rPr>
        <w:t>This is the reason why we didn't present results of testing only according 38.3 of the Manual of Tests and Criteria but also according to more abusive procedures to verify and demonstrate how the batteries would behave in worse situations.</w:t>
      </w:r>
    </w:p>
    <w:p w14:paraId="4BA55693" w14:textId="0969D877" w:rsidR="006A033B" w:rsidRDefault="006A033B" w:rsidP="006A033B">
      <w:pPr>
        <w:pStyle w:val="SingleTxtG"/>
        <w:rPr>
          <w:rFonts w:eastAsiaTheme="minorEastAsia"/>
          <w:color w:val="000000"/>
        </w:rPr>
      </w:pPr>
      <w:r>
        <w:rPr>
          <w:rFonts w:eastAsiaTheme="minorEastAsia"/>
          <w:color w:val="000000"/>
          <w:lang w:val="en-US"/>
        </w:rPr>
        <w:t xml:space="preserve">7. </w:t>
      </w:r>
      <w:r w:rsidR="00045655">
        <w:rPr>
          <w:rFonts w:eastAsiaTheme="minorEastAsia"/>
          <w:color w:val="000000"/>
          <w:lang w:val="en-US"/>
        </w:rPr>
        <w:tab/>
      </w:r>
      <w:r>
        <w:rPr>
          <w:rFonts w:eastAsiaTheme="minorEastAsia"/>
          <w:color w:val="000000"/>
          <w:lang w:val="en-US"/>
        </w:rPr>
        <w:t xml:space="preserve">Thanks to the additional information brought forward by KFI in document </w:t>
      </w:r>
      <w:r w:rsidR="00913894" w:rsidRPr="00913894">
        <w:rPr>
          <w:rFonts w:eastAsiaTheme="minorEastAsia"/>
          <w:color w:val="000000"/>
          <w:lang w:val="en-US"/>
        </w:rPr>
        <w:t>ST/SG/AC.10/C.3/</w:t>
      </w:r>
      <w:r>
        <w:rPr>
          <w:rFonts w:eastAsiaTheme="minorEastAsia"/>
          <w:color w:val="000000"/>
          <w:lang w:val="en-US"/>
        </w:rPr>
        <w:t xml:space="preserve">2020/65 we believe there is enough data to be able to </w:t>
      </w:r>
      <w:proofErr w:type="gramStart"/>
      <w:r>
        <w:rPr>
          <w:rFonts w:eastAsiaTheme="minorEastAsia"/>
          <w:color w:val="000000"/>
          <w:lang w:val="en-US"/>
        </w:rPr>
        <w:t>make a decision</w:t>
      </w:r>
      <w:proofErr w:type="gramEnd"/>
      <w:r>
        <w:rPr>
          <w:rFonts w:eastAsiaTheme="minorEastAsia"/>
          <w:color w:val="000000"/>
          <w:lang w:val="en-US"/>
        </w:rPr>
        <w:t>. We have seen comments saying otherwise and requests have been made for further testing. However, it is difficult to give any relevant answer if it is not precisely explained:</w:t>
      </w:r>
    </w:p>
    <w:p w14:paraId="20F73606" w14:textId="16DCCE23" w:rsidR="006A033B" w:rsidRDefault="00045655" w:rsidP="00045655">
      <w:pPr>
        <w:pStyle w:val="Bullet1G"/>
        <w:rPr>
          <w:rFonts w:eastAsiaTheme="minorEastAsia"/>
        </w:rPr>
      </w:pPr>
      <w:r>
        <w:rPr>
          <w:rFonts w:eastAsiaTheme="minorEastAsia"/>
          <w:lang w:val="en-US"/>
        </w:rPr>
        <w:t>W</w:t>
      </w:r>
      <w:r w:rsidR="006A033B">
        <w:rPr>
          <w:rFonts w:eastAsiaTheme="minorEastAsia"/>
          <w:lang w:val="en-US"/>
        </w:rPr>
        <w:t>hat kind of additional justification is expected and for what purpose?</w:t>
      </w:r>
    </w:p>
    <w:p w14:paraId="46E037E1" w14:textId="1B5D257A" w:rsidR="006A033B" w:rsidRDefault="00045655" w:rsidP="00045655">
      <w:pPr>
        <w:pStyle w:val="Bullet1G"/>
        <w:rPr>
          <w:rFonts w:eastAsiaTheme="minorEastAsia"/>
        </w:rPr>
      </w:pPr>
      <w:r>
        <w:rPr>
          <w:rFonts w:eastAsiaTheme="minorEastAsia"/>
          <w:lang w:val="en-US"/>
        </w:rPr>
        <w:t>W</w:t>
      </w:r>
      <w:r w:rsidR="006A033B">
        <w:rPr>
          <w:rFonts w:eastAsiaTheme="minorEastAsia"/>
          <w:lang w:val="en-US"/>
        </w:rPr>
        <w:t>hat kind of additional test would be relevant and what should we look for when performing these tests?</w:t>
      </w:r>
    </w:p>
    <w:p w14:paraId="1E228574" w14:textId="116DB5A3" w:rsidR="006A033B" w:rsidRDefault="00566FF9" w:rsidP="00566FF9">
      <w:pPr>
        <w:pStyle w:val="H1G"/>
        <w:rPr>
          <w:rFonts w:eastAsiaTheme="minorEastAsia"/>
        </w:rPr>
      </w:pPr>
      <w:r>
        <w:rPr>
          <w:rFonts w:eastAsiaTheme="minorEastAsia"/>
          <w:lang w:val="en-US"/>
        </w:rPr>
        <w:tab/>
      </w:r>
      <w:r>
        <w:rPr>
          <w:rFonts w:eastAsiaTheme="minorEastAsia"/>
          <w:lang w:val="en-US"/>
        </w:rPr>
        <w:tab/>
      </w:r>
      <w:r w:rsidR="006A033B">
        <w:rPr>
          <w:rFonts w:eastAsiaTheme="minorEastAsia"/>
          <w:lang w:val="en-US"/>
        </w:rPr>
        <w:t>General comments and conclusions on proposals 1 to 4</w:t>
      </w:r>
    </w:p>
    <w:p w14:paraId="50A8DCF6" w14:textId="71136BD6" w:rsidR="006A033B" w:rsidRDefault="006A033B" w:rsidP="006A033B">
      <w:pPr>
        <w:pStyle w:val="SingleTxtG"/>
      </w:pPr>
      <w:r>
        <w:rPr>
          <w:rFonts w:eastAsiaTheme="minorEastAsia"/>
          <w:color w:val="000000"/>
          <w:lang w:val="en-US"/>
        </w:rPr>
        <w:t>8.</w:t>
      </w:r>
      <w:r w:rsidR="00045655">
        <w:rPr>
          <w:rFonts w:eastAsiaTheme="minorEastAsia"/>
          <w:color w:val="000000"/>
          <w:lang w:val="en-US"/>
        </w:rPr>
        <w:tab/>
      </w:r>
      <w:r>
        <w:rPr>
          <w:rFonts w:eastAsiaTheme="minorEastAsia"/>
          <w:color w:val="000000"/>
          <w:lang w:val="en-US"/>
        </w:rPr>
        <w:t xml:space="preserve">We consider that both the qualitative data about their electrochemistry, the organic electrolytes that are being used that are similar to the ones used in lithium ion batteries, as well as test results showing that under some conditions sodium ion batteries could be capable of a thermal runaway (although of lower energy than some lithium ion batteries), makes these new batteries similar in terms of hazard to lithium ion batteries. Especially the summary on the first page of the Annex to document </w:t>
      </w:r>
      <w:r w:rsidR="00C62933" w:rsidRPr="00C62933">
        <w:rPr>
          <w:rFonts w:eastAsiaTheme="minorEastAsia"/>
          <w:color w:val="000000"/>
          <w:lang w:val="en-US"/>
        </w:rPr>
        <w:t>ST/SG/AC.10/C.3/</w:t>
      </w:r>
      <w:r>
        <w:rPr>
          <w:rFonts w:eastAsiaTheme="minorEastAsia"/>
          <w:color w:val="000000"/>
          <w:lang w:val="en-US"/>
        </w:rPr>
        <w:t>2020/65 which shows that the gas emission in the event of a reaction is very close to the one observed from</w:t>
      </w:r>
      <w:r w:rsidR="00F645BA">
        <w:rPr>
          <w:rFonts w:eastAsiaTheme="minorEastAsia"/>
          <w:color w:val="000000"/>
          <w:lang w:val="en-US"/>
        </w:rPr>
        <w:t xml:space="preserve"> </w:t>
      </w:r>
      <w:r>
        <w:rPr>
          <w:rFonts w:eastAsiaTheme="minorEastAsia"/>
          <w:color w:val="000000"/>
          <w:lang w:val="en-US"/>
        </w:rPr>
        <w:t>lithium batteries, causing inter-alia the risk of a flammable atmosphere.</w:t>
      </w:r>
    </w:p>
    <w:p w14:paraId="7931A441" w14:textId="1C1AD0D5" w:rsidR="006A033B" w:rsidRDefault="006A033B" w:rsidP="006A033B">
      <w:pPr>
        <w:pStyle w:val="SingleTxtG"/>
        <w:rPr>
          <w:rFonts w:eastAsiaTheme="minorEastAsia"/>
          <w:color w:val="000000"/>
        </w:rPr>
      </w:pPr>
      <w:r>
        <w:rPr>
          <w:rFonts w:eastAsiaTheme="minorEastAsia"/>
          <w:color w:val="000000"/>
          <w:lang w:val="en-US"/>
        </w:rPr>
        <w:t>9.</w:t>
      </w:r>
      <w:r w:rsidR="00045655">
        <w:rPr>
          <w:rFonts w:eastAsiaTheme="minorEastAsia"/>
          <w:color w:val="000000"/>
          <w:lang w:val="en-US"/>
        </w:rPr>
        <w:tab/>
      </w:r>
      <w:r>
        <w:rPr>
          <w:rFonts w:eastAsiaTheme="minorEastAsia"/>
          <w:color w:val="000000"/>
          <w:lang w:val="en-US"/>
        </w:rPr>
        <w:t>The energy density of the most powerful sodium ion batteries is higher than the energy density of the less energetic lithium ion batteries (see figure in Annex II of this paper). The less energetic sodium ion batteries have an energy density close to Ni-MH batteries (the subject of low energy density batteries will be dealt with in a separate point).</w:t>
      </w:r>
    </w:p>
    <w:p w14:paraId="0077381F" w14:textId="0692D8B6" w:rsidR="006A033B" w:rsidRDefault="006A033B" w:rsidP="006A033B">
      <w:pPr>
        <w:pStyle w:val="SingleTxtG"/>
        <w:rPr>
          <w:rFonts w:eastAsiaTheme="minorEastAsia"/>
          <w:color w:val="000000"/>
        </w:rPr>
      </w:pPr>
      <w:r>
        <w:rPr>
          <w:rFonts w:eastAsiaTheme="minorEastAsia"/>
          <w:color w:val="000000"/>
          <w:lang w:val="en-US"/>
        </w:rPr>
        <w:t>10.</w:t>
      </w:r>
      <w:r w:rsidR="00F645BA">
        <w:rPr>
          <w:rFonts w:eastAsiaTheme="minorEastAsia"/>
          <w:color w:val="000000"/>
          <w:lang w:val="en-US"/>
        </w:rPr>
        <w:tab/>
      </w:r>
      <w:r>
        <w:rPr>
          <w:rFonts w:eastAsiaTheme="minorEastAsia"/>
          <w:color w:val="000000"/>
          <w:lang w:val="en-US"/>
        </w:rPr>
        <w:t>It is therefore important to avoid transporting poorly designed sodium ion batteries that would pose a risk in transport. The best way to verify that the design type is suitable for transport is to perform the tests as provided for in section 38.3 of the Manual of Tests and Criteria, with some slight changes taking account of the fact that sodium ion batteries when fully discharged are not reactive anymore. This also justifies the exemption applied to the transport of shorted sodium ion batteries (SP XXX).</w:t>
      </w:r>
    </w:p>
    <w:p w14:paraId="78B09CF4" w14:textId="0C35E3FF" w:rsidR="006A033B" w:rsidRDefault="006A033B" w:rsidP="006A033B">
      <w:pPr>
        <w:pStyle w:val="SingleTxtG"/>
        <w:rPr>
          <w:rFonts w:eastAsiaTheme="minorEastAsia"/>
          <w:color w:val="000000"/>
        </w:rPr>
      </w:pPr>
      <w:r>
        <w:rPr>
          <w:rFonts w:eastAsiaTheme="minorEastAsia"/>
          <w:color w:val="000000"/>
          <w:lang w:val="en-US"/>
        </w:rPr>
        <w:lastRenderedPageBreak/>
        <w:t>11.</w:t>
      </w:r>
      <w:r w:rsidR="00F645BA">
        <w:rPr>
          <w:rFonts w:eastAsiaTheme="minorEastAsia"/>
          <w:color w:val="000000"/>
          <w:lang w:val="en-US"/>
        </w:rPr>
        <w:tab/>
      </w:r>
      <w:r>
        <w:rPr>
          <w:rFonts w:eastAsiaTheme="minorEastAsia"/>
          <w:color w:val="000000"/>
          <w:lang w:val="en-US"/>
        </w:rPr>
        <w:t xml:space="preserve">The issue concerning sodium ion batteries has been discussed for more than two </w:t>
      </w:r>
      <w:proofErr w:type="spellStart"/>
      <w:r>
        <w:rPr>
          <w:rFonts w:eastAsiaTheme="minorEastAsia"/>
          <w:color w:val="000000"/>
          <w:lang w:val="en-US"/>
        </w:rPr>
        <w:t>bienniums</w:t>
      </w:r>
      <w:proofErr w:type="spellEnd"/>
      <w:r>
        <w:rPr>
          <w:rFonts w:eastAsiaTheme="minorEastAsia"/>
          <w:color w:val="000000"/>
          <w:lang w:val="en-US"/>
        </w:rPr>
        <w:t xml:space="preserve"> now and we believe that the proposals are well advanced and properly drafted as we have sought to address all the comments made during this time. We have noted the cautious comment from China on the on-line platform referring to the fact that transport of these batteries should made under the same conditions </w:t>
      </w:r>
      <w:r w:rsidR="00F645BA">
        <w:rPr>
          <w:rFonts w:eastAsiaTheme="minorEastAsia"/>
          <w:color w:val="000000"/>
          <w:lang w:val="en-US"/>
        </w:rPr>
        <w:t>a</w:t>
      </w:r>
      <w:r>
        <w:rPr>
          <w:rFonts w:eastAsiaTheme="minorEastAsia"/>
          <w:color w:val="000000"/>
          <w:lang w:val="en-US"/>
        </w:rPr>
        <w:t>s lithium batteries. We would like to emphasize that this exactly what proposals 1 to 4 achieve. From a drafting point only, creating a simple reference to this principle in a special provision is not practicable as it makes it difficult to deal with some specific points regarding sodium ion batteries.</w:t>
      </w:r>
    </w:p>
    <w:p w14:paraId="2A82367A" w14:textId="104B39D1" w:rsidR="006A033B" w:rsidRDefault="006A033B" w:rsidP="006A033B">
      <w:pPr>
        <w:pStyle w:val="SingleTxtG"/>
      </w:pPr>
      <w:r>
        <w:rPr>
          <w:rFonts w:eastAsiaTheme="minorEastAsia"/>
          <w:color w:val="000000"/>
          <w:lang w:val="en-US"/>
        </w:rPr>
        <w:t>12.</w:t>
      </w:r>
      <w:r w:rsidR="00F645BA">
        <w:rPr>
          <w:rFonts w:eastAsiaTheme="minorEastAsia"/>
          <w:color w:val="000000"/>
          <w:lang w:val="en-US"/>
        </w:rPr>
        <w:tab/>
      </w:r>
      <w:r>
        <w:rPr>
          <w:rFonts w:eastAsiaTheme="minorEastAsia"/>
          <w:color w:val="000000"/>
          <w:lang w:val="en-US"/>
        </w:rPr>
        <w:t>Currently, if one applies the principles of the Model Regulations, sodium ion batteries and cells should be carried under UN 3292, in the same way that lithium ion batteries were previously assigned to the only entry for lithium batteries in the past before the new entry for lithium-ion batteries was adopted. This is irrelevant because sodium batteries are currently under class 4.3 which totally misrepresents the hazard of sodium ion batteries.</w:t>
      </w:r>
    </w:p>
    <w:p w14:paraId="6070B2AC" w14:textId="0A050C07" w:rsidR="006A033B" w:rsidRDefault="006A033B" w:rsidP="006A033B">
      <w:pPr>
        <w:pStyle w:val="SingleTxtG"/>
      </w:pPr>
      <w:r>
        <w:rPr>
          <w:rFonts w:eastAsiaTheme="minorEastAsia"/>
          <w:color w:val="000000"/>
          <w:lang w:val="en-US"/>
        </w:rPr>
        <w:t>13.</w:t>
      </w:r>
      <w:r w:rsidR="00F645BA">
        <w:rPr>
          <w:rFonts w:eastAsiaTheme="minorEastAsia"/>
          <w:color w:val="000000"/>
          <w:lang w:val="en-US"/>
        </w:rPr>
        <w:tab/>
      </w:r>
      <w:r>
        <w:rPr>
          <w:rFonts w:eastAsiaTheme="minorEastAsia"/>
          <w:color w:val="000000"/>
          <w:lang w:val="en-US"/>
        </w:rPr>
        <w:t xml:space="preserve">Concerning developments in industry, we are now far beyond the stage where only a few prototypes are being carried. Only with the few companies we are aware of in Europe, we know that during the next three years about one million shipments will take place mainly between Europe and China, India and Australia. </w:t>
      </w:r>
      <w:proofErr w:type="gramStart"/>
      <w:r>
        <w:rPr>
          <w:rFonts w:eastAsiaTheme="minorEastAsia"/>
          <w:color w:val="000000"/>
          <w:lang w:val="en-US"/>
        </w:rPr>
        <w:t>In particular, it</w:t>
      </w:r>
      <w:proofErr w:type="gramEnd"/>
      <w:r>
        <w:rPr>
          <w:rFonts w:eastAsiaTheme="minorEastAsia"/>
          <w:color w:val="000000"/>
          <w:lang w:val="en-US"/>
        </w:rPr>
        <w:t xml:space="preserve"> has been brought to our attention that European companies are working in cooperation with Chinese companies to produce such batteries and that soon a lot of shipments will be necessary for commercial delivery as well as for proof of concept operations. It is therefore necessary to make an urgent decision on a proper way to transport these batteries.</w:t>
      </w:r>
    </w:p>
    <w:p w14:paraId="5E834DD8" w14:textId="517E675F" w:rsidR="006A033B" w:rsidRDefault="006A033B" w:rsidP="006A033B">
      <w:pPr>
        <w:pStyle w:val="SingleTxtG"/>
        <w:rPr>
          <w:rFonts w:eastAsiaTheme="minorEastAsia"/>
          <w:color w:val="000000"/>
        </w:rPr>
      </w:pPr>
      <w:r>
        <w:rPr>
          <w:rFonts w:eastAsiaTheme="minorEastAsia"/>
          <w:color w:val="000000"/>
          <w:lang w:val="en-US"/>
        </w:rPr>
        <w:t>14.</w:t>
      </w:r>
      <w:r w:rsidR="00F645BA">
        <w:rPr>
          <w:rFonts w:eastAsiaTheme="minorEastAsia"/>
          <w:color w:val="000000"/>
          <w:lang w:val="en-US"/>
        </w:rPr>
        <w:tab/>
      </w:r>
      <w:r>
        <w:rPr>
          <w:rFonts w:eastAsiaTheme="minorEastAsia"/>
          <w:color w:val="000000"/>
          <w:lang w:val="en-US"/>
        </w:rPr>
        <w:t>Therefore</w:t>
      </w:r>
      <w:r w:rsidR="00560BE9">
        <w:rPr>
          <w:rFonts w:eastAsiaTheme="minorEastAsia"/>
          <w:color w:val="000000"/>
          <w:lang w:val="en-US"/>
        </w:rPr>
        <w:t>,</w:t>
      </w:r>
      <w:r>
        <w:rPr>
          <w:rFonts w:eastAsiaTheme="minorEastAsia"/>
          <w:color w:val="000000"/>
          <w:lang w:val="en-US"/>
        </w:rPr>
        <w:t xml:space="preserve"> we would like the </w:t>
      </w:r>
      <w:r w:rsidR="00F645BA">
        <w:rPr>
          <w:rFonts w:eastAsiaTheme="minorEastAsia"/>
          <w:color w:val="000000"/>
          <w:lang w:val="en-US"/>
        </w:rPr>
        <w:t>S</w:t>
      </w:r>
      <w:r>
        <w:rPr>
          <w:rFonts w:eastAsiaTheme="minorEastAsia"/>
          <w:color w:val="000000"/>
          <w:lang w:val="en-US"/>
        </w:rPr>
        <w:t>ub-</w:t>
      </w:r>
      <w:r w:rsidR="00F645BA">
        <w:rPr>
          <w:rFonts w:eastAsiaTheme="minorEastAsia"/>
          <w:color w:val="000000"/>
          <w:lang w:val="en-US"/>
        </w:rPr>
        <w:t>C</w:t>
      </w:r>
      <w:r>
        <w:rPr>
          <w:rFonts w:eastAsiaTheme="minorEastAsia"/>
          <w:color w:val="000000"/>
          <w:lang w:val="en-US"/>
        </w:rPr>
        <w:t xml:space="preserve">ommittee to seriously consider the adoption of proposals 1 to 4 at this session. If this is not </w:t>
      </w:r>
      <w:r w:rsidR="00613A96">
        <w:rPr>
          <w:rFonts w:eastAsiaTheme="minorEastAsia"/>
          <w:color w:val="000000"/>
          <w:lang w:val="en-US"/>
        </w:rPr>
        <w:t>accepted,</w:t>
      </w:r>
      <w:r>
        <w:rPr>
          <w:rFonts w:eastAsiaTheme="minorEastAsia"/>
          <w:color w:val="000000"/>
          <w:lang w:val="en-US"/>
        </w:rPr>
        <w:t xml:space="preserve"> we would like at least to agree on the principle and the possibility to use them to define special authorizations and derogations under which transport may be permitted, in the meantime.</w:t>
      </w:r>
    </w:p>
    <w:p w14:paraId="4AA39FE7" w14:textId="40F78B41" w:rsidR="006A033B" w:rsidRDefault="006E6974" w:rsidP="006E6974">
      <w:pPr>
        <w:pStyle w:val="H1G"/>
        <w:rPr>
          <w:rFonts w:eastAsiaTheme="minorEastAsia"/>
        </w:rPr>
      </w:pPr>
      <w:r>
        <w:rPr>
          <w:rFonts w:eastAsiaTheme="minorEastAsia"/>
          <w:lang w:val="en-US"/>
        </w:rPr>
        <w:tab/>
      </w:r>
      <w:r>
        <w:rPr>
          <w:rFonts w:eastAsiaTheme="minorEastAsia"/>
          <w:lang w:val="en-US"/>
        </w:rPr>
        <w:tab/>
      </w:r>
      <w:r w:rsidR="006A033B">
        <w:rPr>
          <w:rFonts w:eastAsiaTheme="minorEastAsia"/>
          <w:lang w:val="en-US"/>
        </w:rPr>
        <w:t xml:space="preserve">Specific comments on document </w:t>
      </w:r>
      <w:r w:rsidR="0039147D" w:rsidRPr="0039147D">
        <w:rPr>
          <w:rFonts w:eastAsiaTheme="minorEastAsia"/>
          <w:lang w:val="en-US"/>
        </w:rPr>
        <w:t>ST/SG/AC.10/C.3/</w:t>
      </w:r>
      <w:r w:rsidR="006A033B">
        <w:rPr>
          <w:rFonts w:eastAsiaTheme="minorEastAsia"/>
          <w:lang w:val="en-US"/>
        </w:rPr>
        <w:t>2020/65 and the comments made by KFI and proposal 5</w:t>
      </w:r>
    </w:p>
    <w:p w14:paraId="023A40C1" w14:textId="0FD99F9F" w:rsidR="006A033B" w:rsidRDefault="006A033B" w:rsidP="006A033B">
      <w:pPr>
        <w:pStyle w:val="SingleTxtG"/>
        <w:rPr>
          <w:rFonts w:eastAsiaTheme="minorEastAsia"/>
          <w:color w:val="000000"/>
        </w:rPr>
      </w:pPr>
      <w:r>
        <w:rPr>
          <w:rFonts w:eastAsiaTheme="minorEastAsia"/>
          <w:color w:val="000000"/>
          <w:lang w:val="en-US"/>
        </w:rPr>
        <w:t>15.</w:t>
      </w:r>
      <w:r w:rsidR="006E6974">
        <w:rPr>
          <w:rFonts w:eastAsiaTheme="minorEastAsia"/>
          <w:color w:val="000000"/>
          <w:lang w:val="en-US"/>
        </w:rPr>
        <w:tab/>
      </w:r>
      <w:r>
        <w:rPr>
          <w:rFonts w:eastAsiaTheme="minorEastAsia"/>
          <w:color w:val="000000"/>
          <w:lang w:val="en-US"/>
        </w:rPr>
        <w:t xml:space="preserve">We thank KFI for the useful information given in </w:t>
      </w:r>
      <w:r w:rsidR="0039147D" w:rsidRPr="0039147D">
        <w:rPr>
          <w:rFonts w:eastAsiaTheme="minorEastAsia"/>
          <w:color w:val="000000"/>
          <w:lang w:val="en-US"/>
        </w:rPr>
        <w:t>ST/SG/AC.10/C.3/</w:t>
      </w:r>
      <w:r>
        <w:rPr>
          <w:rFonts w:eastAsiaTheme="minorEastAsia"/>
          <w:color w:val="000000"/>
          <w:lang w:val="en-US"/>
        </w:rPr>
        <w:t xml:space="preserve">2020/65. However, we do not always share the interpretation of the presented results. Also, we believe it is not possible to regulate the general case based on properties of one very specific segment. As already said, some sodium ion batteries may have an energy density up to 150 </w:t>
      </w:r>
      <w:proofErr w:type="spellStart"/>
      <w:r>
        <w:rPr>
          <w:rFonts w:eastAsiaTheme="minorEastAsia"/>
          <w:color w:val="000000"/>
          <w:lang w:val="en-US"/>
        </w:rPr>
        <w:t>Wh</w:t>
      </w:r>
      <w:proofErr w:type="spellEnd"/>
      <w:r>
        <w:rPr>
          <w:rFonts w:eastAsiaTheme="minorEastAsia"/>
          <w:color w:val="000000"/>
          <w:lang w:val="en-US"/>
        </w:rPr>
        <w:t>/kg and this may be superior to the energy density of some lithium ion batteries.</w:t>
      </w:r>
    </w:p>
    <w:p w14:paraId="0FD2EBCE" w14:textId="5BCF9B99" w:rsidR="006A033B" w:rsidRDefault="006A033B" w:rsidP="006A033B">
      <w:pPr>
        <w:pStyle w:val="SingleTxtG"/>
        <w:rPr>
          <w:rFonts w:eastAsiaTheme="minorEastAsia"/>
          <w:color w:val="000000"/>
        </w:rPr>
      </w:pPr>
      <w:r>
        <w:rPr>
          <w:rFonts w:eastAsiaTheme="minorEastAsia"/>
          <w:color w:val="000000"/>
          <w:lang w:val="en-US"/>
        </w:rPr>
        <w:t xml:space="preserve">16. </w:t>
      </w:r>
      <w:r w:rsidR="006E6974">
        <w:rPr>
          <w:rFonts w:eastAsiaTheme="minorEastAsia"/>
          <w:color w:val="000000"/>
          <w:lang w:val="en-US"/>
        </w:rPr>
        <w:tab/>
      </w:r>
      <w:r>
        <w:rPr>
          <w:rFonts w:eastAsiaTheme="minorEastAsia"/>
          <w:color w:val="000000"/>
          <w:lang w:val="en-US"/>
        </w:rPr>
        <w:t xml:space="preserve">The way KFI proposes to follow has already been considered by the </w:t>
      </w:r>
      <w:r w:rsidR="006E6974">
        <w:rPr>
          <w:rFonts w:eastAsiaTheme="minorEastAsia"/>
          <w:color w:val="000000"/>
          <w:lang w:val="en-US"/>
        </w:rPr>
        <w:t>S</w:t>
      </w:r>
      <w:r>
        <w:rPr>
          <w:rFonts w:eastAsiaTheme="minorEastAsia"/>
          <w:color w:val="000000"/>
          <w:lang w:val="en-US"/>
        </w:rPr>
        <w:t>ub-</w:t>
      </w:r>
      <w:r w:rsidR="006E6974">
        <w:rPr>
          <w:rFonts w:eastAsiaTheme="minorEastAsia"/>
          <w:color w:val="000000"/>
          <w:lang w:val="en-US"/>
        </w:rPr>
        <w:t>C</w:t>
      </w:r>
      <w:r>
        <w:rPr>
          <w:rFonts w:eastAsiaTheme="minorEastAsia"/>
          <w:color w:val="000000"/>
          <w:lang w:val="en-US"/>
        </w:rPr>
        <w:t>ommittee and has not been accepted.</w:t>
      </w:r>
    </w:p>
    <w:p w14:paraId="29AD0074" w14:textId="46912F5F" w:rsidR="006A033B" w:rsidRDefault="006A033B" w:rsidP="006A033B">
      <w:pPr>
        <w:pStyle w:val="SingleTxtG"/>
        <w:rPr>
          <w:rFonts w:eastAsiaTheme="minorEastAsia"/>
          <w:color w:val="000000"/>
        </w:rPr>
      </w:pPr>
      <w:r>
        <w:rPr>
          <w:rFonts w:eastAsiaTheme="minorEastAsia"/>
          <w:color w:val="000000"/>
          <w:lang w:val="en-US"/>
        </w:rPr>
        <w:t xml:space="preserve">17. </w:t>
      </w:r>
      <w:r w:rsidR="006E6974">
        <w:rPr>
          <w:rFonts w:eastAsiaTheme="minorEastAsia"/>
          <w:color w:val="000000"/>
          <w:lang w:val="en-US"/>
        </w:rPr>
        <w:tab/>
      </w:r>
      <w:r>
        <w:rPr>
          <w:rFonts w:eastAsiaTheme="minorEastAsia"/>
          <w:color w:val="000000"/>
          <w:lang w:val="en-US"/>
        </w:rPr>
        <w:t>However, we recognize that the idea to exempt some battery types that have a very low energy density has some merit. But for the moment there is no good way to define the appropriate threshold for such an exemption.</w:t>
      </w:r>
    </w:p>
    <w:p w14:paraId="5E781AE5" w14:textId="454433A5" w:rsidR="006A033B" w:rsidRDefault="006A033B" w:rsidP="00960E26">
      <w:pPr>
        <w:pStyle w:val="SingleTxtG"/>
        <w:rPr>
          <w:rFonts w:eastAsiaTheme="minorEastAsia"/>
          <w:color w:val="000000"/>
        </w:rPr>
      </w:pPr>
      <w:r>
        <w:rPr>
          <w:rFonts w:eastAsiaTheme="minorEastAsia"/>
          <w:color w:val="000000"/>
          <w:lang w:val="en-US"/>
        </w:rPr>
        <w:t>18.</w:t>
      </w:r>
      <w:r w:rsidR="006E6974">
        <w:rPr>
          <w:rFonts w:eastAsiaTheme="minorEastAsia"/>
          <w:color w:val="000000"/>
          <w:lang w:val="en-US"/>
        </w:rPr>
        <w:tab/>
      </w:r>
      <w:r>
        <w:rPr>
          <w:rFonts w:eastAsiaTheme="minorEastAsia"/>
          <w:color w:val="000000"/>
          <w:lang w:val="en-US"/>
        </w:rPr>
        <w:t>Furthermore</w:t>
      </w:r>
      <w:r w:rsidR="006322F4">
        <w:rPr>
          <w:rFonts w:eastAsiaTheme="minorEastAsia"/>
          <w:color w:val="000000"/>
          <w:lang w:val="en-US"/>
        </w:rPr>
        <w:t>,</w:t>
      </w:r>
      <w:r>
        <w:rPr>
          <w:rFonts w:eastAsiaTheme="minorEastAsia"/>
          <w:color w:val="000000"/>
          <w:lang w:val="en-US"/>
        </w:rPr>
        <w:t xml:space="preserve"> we do not totally agree with the interpretation KFI make of all its test results. In our view test 3A clearly shows signs of a thermal runaway (an uncontrolled increase in the temperature of a cell or battery driven by exothermic process).</w:t>
      </w:r>
      <w:r w:rsidR="009C730D">
        <w:rPr>
          <w:rFonts w:eastAsiaTheme="minorEastAsia"/>
          <w:color w:val="000000"/>
          <w:lang w:val="en-US"/>
        </w:rPr>
        <w:t xml:space="preserve"> </w:t>
      </w:r>
      <w:proofErr w:type="gramStart"/>
      <w:r>
        <w:rPr>
          <w:rFonts w:eastAsiaTheme="minorEastAsia"/>
          <w:color w:val="000000"/>
          <w:lang w:val="en-US"/>
        </w:rPr>
        <w:t>Also</w:t>
      </w:r>
      <w:proofErr w:type="gramEnd"/>
      <w:r>
        <w:rPr>
          <w:rFonts w:eastAsiaTheme="minorEastAsia"/>
          <w:color w:val="000000"/>
          <w:lang w:val="en-US"/>
        </w:rPr>
        <w:t xml:space="preserve"> the level of gas released, if concerning the totality of a load, would be a big concern for safety. One additional factor to be considered here is the ability for such reactions to propagate in a load of such cells or batteries.</w:t>
      </w:r>
    </w:p>
    <w:p w14:paraId="3D105F8A" w14:textId="6D30CA4C" w:rsidR="006A033B" w:rsidRPr="00907A7F" w:rsidRDefault="00960E26" w:rsidP="00960E26">
      <w:pPr>
        <w:pStyle w:val="SingleTxtG"/>
        <w:rPr>
          <w:rFonts w:eastAsiaTheme="minorEastAsia"/>
          <w:color w:val="000000"/>
        </w:rPr>
      </w:pPr>
      <w:r>
        <w:rPr>
          <w:rFonts w:eastAsiaTheme="minorEastAsia"/>
          <w:color w:val="000000"/>
          <w:lang w:val="en-US"/>
        </w:rPr>
        <w:t>19</w:t>
      </w:r>
      <w:r w:rsidR="006A033B">
        <w:rPr>
          <w:rFonts w:eastAsiaTheme="minorEastAsia"/>
          <w:color w:val="000000"/>
          <w:lang w:val="en-US"/>
        </w:rPr>
        <w:t xml:space="preserve">. </w:t>
      </w:r>
      <w:r w:rsidR="006E6974">
        <w:rPr>
          <w:rFonts w:eastAsiaTheme="minorEastAsia"/>
          <w:color w:val="000000"/>
          <w:lang w:val="en-US"/>
        </w:rPr>
        <w:tab/>
      </w:r>
      <w:r w:rsidR="006A033B">
        <w:rPr>
          <w:rFonts w:eastAsiaTheme="minorEastAsia"/>
          <w:color w:val="000000"/>
          <w:lang w:val="en-US"/>
        </w:rPr>
        <w:t>We have performed a propagation test on a sodium ion cell with a medium energy density (90</w:t>
      </w:r>
      <w:r w:rsidR="00F8518D">
        <w:rPr>
          <w:rFonts w:eastAsiaTheme="minorEastAsia"/>
          <w:color w:val="000000"/>
          <w:lang w:val="en-US"/>
        </w:rPr>
        <w:t xml:space="preserve"> </w:t>
      </w:r>
      <w:proofErr w:type="spellStart"/>
      <w:r w:rsidR="006A033B">
        <w:rPr>
          <w:rFonts w:eastAsiaTheme="minorEastAsia"/>
          <w:color w:val="000000"/>
          <w:lang w:val="en-US"/>
        </w:rPr>
        <w:t>Wh</w:t>
      </w:r>
      <w:proofErr w:type="spellEnd"/>
      <w:r w:rsidR="006A033B">
        <w:rPr>
          <w:rFonts w:eastAsiaTheme="minorEastAsia"/>
          <w:color w:val="000000"/>
          <w:lang w:val="en-US"/>
        </w:rPr>
        <w:t xml:space="preserve">/kg </w:t>
      </w:r>
      <w:r w:rsidR="00DC3121">
        <w:rPr>
          <w:rFonts w:eastAsiaTheme="minorEastAsia"/>
          <w:color w:val="000000"/>
          <w:lang w:val="en-US"/>
        </w:rPr>
        <w:t xml:space="preserve">- </w:t>
      </w:r>
      <w:r w:rsidR="006A033B">
        <w:rPr>
          <w:rFonts w:eastAsiaTheme="minorEastAsia"/>
          <w:color w:val="000000"/>
          <w:lang w:val="en-US"/>
        </w:rPr>
        <w:t>see A</w:t>
      </w:r>
      <w:r w:rsidR="00DC3121">
        <w:rPr>
          <w:rFonts w:eastAsiaTheme="minorEastAsia"/>
          <w:color w:val="000000"/>
          <w:lang w:val="en-US"/>
        </w:rPr>
        <w:t xml:space="preserve">nnex </w:t>
      </w:r>
      <w:r w:rsidR="006A033B">
        <w:rPr>
          <w:rFonts w:eastAsiaTheme="minorEastAsia"/>
          <w:color w:val="000000"/>
          <w:lang w:val="en-US"/>
        </w:rPr>
        <w:t>III) and it shows that some sodium ion cells may successfully pass the test.</w:t>
      </w:r>
      <w:r>
        <w:rPr>
          <w:rFonts w:eastAsiaTheme="minorEastAsia"/>
          <w:color w:val="000000"/>
          <w:lang w:val="en-US"/>
        </w:rPr>
        <w:t xml:space="preserve"> </w:t>
      </w:r>
      <w:r w:rsidR="006A033B" w:rsidRPr="00907A7F">
        <w:rPr>
          <w:rFonts w:eastAsiaTheme="minorEastAsia"/>
          <w:color w:val="000000"/>
          <w:lang w:val="en-US"/>
        </w:rPr>
        <w:t>We believe that before deciding on proposal 5 the issue of propagation should be better assessed.</w:t>
      </w:r>
    </w:p>
    <w:p w14:paraId="382E013B" w14:textId="0530D0A9" w:rsidR="006A033B" w:rsidRDefault="006A033B" w:rsidP="006A033B">
      <w:pPr>
        <w:pStyle w:val="SingleTxtG"/>
      </w:pPr>
      <w:r w:rsidRPr="00907A7F">
        <w:rPr>
          <w:rFonts w:eastAsiaTheme="minorEastAsia"/>
          <w:color w:val="000000"/>
          <w:lang w:val="en-US"/>
        </w:rPr>
        <w:t>2</w:t>
      </w:r>
      <w:r w:rsidR="00960E26">
        <w:rPr>
          <w:rFonts w:eastAsiaTheme="minorEastAsia"/>
          <w:color w:val="000000"/>
          <w:lang w:val="en-US"/>
        </w:rPr>
        <w:t>0</w:t>
      </w:r>
      <w:r w:rsidRPr="00907A7F">
        <w:rPr>
          <w:rFonts w:eastAsiaTheme="minorEastAsia"/>
          <w:color w:val="000000"/>
          <w:lang w:val="en-US"/>
        </w:rPr>
        <w:t xml:space="preserve">. </w:t>
      </w:r>
      <w:r w:rsidR="006E6974" w:rsidRPr="00907A7F">
        <w:rPr>
          <w:rFonts w:eastAsiaTheme="minorEastAsia"/>
          <w:color w:val="000000"/>
          <w:lang w:val="en-US"/>
        </w:rPr>
        <w:tab/>
      </w:r>
      <w:r w:rsidRPr="00907A7F">
        <w:rPr>
          <w:rFonts w:eastAsiaTheme="minorEastAsia"/>
          <w:color w:val="000000"/>
          <w:lang w:val="en-US"/>
        </w:rPr>
        <w:t>Maybe</w:t>
      </w:r>
      <w:r>
        <w:rPr>
          <w:rFonts w:eastAsiaTheme="minorEastAsia"/>
          <w:color w:val="000000"/>
          <w:lang w:val="en-US"/>
        </w:rPr>
        <w:t xml:space="preserve"> the criteria for allowing the transport under an exemption such as the one in proposal 5 could include, a specification of the low energy density, a small size of battery/cell, and the ability to successfully pass a propagation test.</w:t>
      </w:r>
    </w:p>
    <w:p w14:paraId="79600FA2" w14:textId="7774A45E" w:rsidR="006A033B" w:rsidRDefault="006A033B" w:rsidP="00E03CFB">
      <w:pPr>
        <w:pStyle w:val="HChG"/>
        <w:spacing w:before="600"/>
        <w:rPr>
          <w:rFonts w:eastAsiaTheme="minorEastAsia"/>
        </w:rPr>
      </w:pPr>
      <w:r>
        <w:rPr>
          <w:rFonts w:eastAsiaTheme="minorEastAsia"/>
        </w:rPr>
        <w:lastRenderedPageBreak/>
        <w:t>A</w:t>
      </w:r>
      <w:r w:rsidR="00E03CFB">
        <w:rPr>
          <w:rFonts w:eastAsiaTheme="minorEastAsia"/>
          <w:lang w:val="fr-CH"/>
        </w:rPr>
        <w:t>nnex</w:t>
      </w:r>
      <w:r>
        <w:rPr>
          <w:rFonts w:eastAsiaTheme="minorEastAsia"/>
        </w:rPr>
        <w:t xml:space="preserve"> I</w:t>
      </w:r>
    </w:p>
    <w:p w14:paraId="7544B661" w14:textId="7AA4693E" w:rsidR="006A033B" w:rsidRDefault="003611DB" w:rsidP="003611DB">
      <w:pPr>
        <w:pStyle w:val="HChG"/>
        <w:rPr>
          <w:rFonts w:eastAsiaTheme="minorEastAsia"/>
        </w:rPr>
      </w:pPr>
      <w:r>
        <w:rPr>
          <w:rFonts w:eastAsiaTheme="minorEastAsia"/>
        </w:rPr>
        <w:tab/>
      </w:r>
      <w:r>
        <w:rPr>
          <w:rFonts w:eastAsiaTheme="minorEastAsia"/>
        </w:rPr>
        <w:tab/>
      </w:r>
      <w:r>
        <w:rPr>
          <w:rFonts w:eastAsiaTheme="minorEastAsia"/>
          <w:lang w:val="fr-CH"/>
        </w:rPr>
        <w:t>A</w:t>
      </w:r>
      <w:r w:rsidR="006A033B">
        <w:rPr>
          <w:rFonts w:eastAsiaTheme="minorEastAsia"/>
        </w:rPr>
        <w:t>mended proposals 1 to 5 according to the last comments</w:t>
      </w:r>
    </w:p>
    <w:p w14:paraId="0E5E2798" w14:textId="7A8CA036" w:rsidR="006A033B" w:rsidRDefault="003611DB" w:rsidP="003611DB">
      <w:pPr>
        <w:pStyle w:val="H1G"/>
      </w:pPr>
      <w:r>
        <w:tab/>
      </w:r>
      <w:r>
        <w:tab/>
      </w:r>
      <w:r w:rsidR="006A033B">
        <w:t>Proposal 1</w:t>
      </w:r>
    </w:p>
    <w:p w14:paraId="1F1DAC7E" w14:textId="77777777" w:rsidR="006A033B" w:rsidRPr="00B677C2" w:rsidRDefault="006A033B" w:rsidP="006A033B">
      <w:pPr>
        <w:pStyle w:val="SingleTxtG"/>
      </w:pPr>
      <w:r w:rsidRPr="00B677C2">
        <w:t>21.</w:t>
      </w:r>
      <w:r w:rsidRPr="00B677C2">
        <w:tab/>
        <w:t>In 3.2.2 change the proper shipping name of UN 3292 to read:</w:t>
      </w:r>
    </w:p>
    <w:p w14:paraId="506F293A" w14:textId="77777777" w:rsidR="006A033B" w:rsidRPr="00B677C2" w:rsidRDefault="006A033B" w:rsidP="006A033B">
      <w:pPr>
        <w:pStyle w:val="SingleTxtG"/>
      </w:pPr>
      <w:r w:rsidRPr="00B677C2">
        <w:t>“BATTERIES CONTAINING METALLIC SODIUM OR SODIUM ALLOY or CELLS CONTAINING METALLIC SODIUM OR SODIUM ALLOY”</w:t>
      </w:r>
    </w:p>
    <w:p w14:paraId="538D6C89" w14:textId="77777777" w:rsidR="006A033B" w:rsidRPr="00B677C2" w:rsidRDefault="006A033B" w:rsidP="006A033B">
      <w:pPr>
        <w:pStyle w:val="H1G"/>
      </w:pPr>
      <w:r w:rsidRPr="00B677C2">
        <w:tab/>
      </w:r>
      <w:r w:rsidRPr="00B677C2">
        <w:tab/>
        <w:t>Consequential amendments for proposal 1</w:t>
      </w:r>
    </w:p>
    <w:p w14:paraId="7389B522" w14:textId="77777777" w:rsidR="006A033B" w:rsidRDefault="006A033B" w:rsidP="006A033B">
      <w:pPr>
        <w:pStyle w:val="SingleTxtG"/>
      </w:pPr>
      <w:r w:rsidRPr="00B677C2">
        <w:t>22.</w:t>
      </w:r>
      <w:r w:rsidRPr="00B677C2">
        <w:tab/>
        <w:t>In the Alphabetical Index of Substances and</w:t>
      </w:r>
      <w:r>
        <w:t xml:space="preserve"> Articles:</w:t>
      </w:r>
    </w:p>
    <w:p w14:paraId="04F6D2BD" w14:textId="77777777" w:rsidR="006A033B" w:rsidRDefault="006A033B" w:rsidP="006A033B">
      <w:pPr>
        <w:pStyle w:val="SingleTxtG"/>
      </w:pPr>
      <w:r>
        <w:t>Amend the following entries to read as follows:</w:t>
      </w:r>
    </w:p>
    <w:tbl>
      <w:tblPr>
        <w:tblW w:w="8263" w:type="dxa"/>
        <w:tblInd w:w="43" w:type="dxa"/>
        <w:tblCellMar>
          <w:left w:w="54" w:type="dxa"/>
          <w:right w:w="54" w:type="dxa"/>
        </w:tblCellMar>
        <w:tblLook w:val="0000" w:firstRow="0" w:lastRow="0" w:firstColumn="0" w:lastColumn="0" w:noHBand="0" w:noVBand="0"/>
      </w:tblPr>
      <w:tblGrid>
        <w:gridCol w:w="6336"/>
        <w:gridCol w:w="794"/>
        <w:gridCol w:w="1133"/>
      </w:tblGrid>
      <w:tr w:rsidR="006A033B" w14:paraId="6CF77F0C" w14:textId="77777777" w:rsidTr="00F53C43">
        <w:trPr>
          <w:cantSplit/>
        </w:trPr>
        <w:tc>
          <w:tcPr>
            <w:tcW w:w="6336" w:type="dxa"/>
            <w:shd w:val="clear" w:color="auto" w:fill="auto"/>
          </w:tcPr>
          <w:p w14:paraId="0BFF5A08" w14:textId="77777777" w:rsidR="006A033B" w:rsidRDefault="006A033B" w:rsidP="00F53C43">
            <w:pPr>
              <w:pStyle w:val="SingleTxtG"/>
              <w:ind w:hanging="100"/>
            </w:pPr>
            <w:r>
              <w:t>“BATTERIES</w:t>
            </w:r>
            <w:r>
              <w:rPr>
                <w:strike/>
              </w:rPr>
              <w:t>,</w:t>
            </w:r>
            <w:r>
              <w:t xml:space="preserve"> CONTAINING </w:t>
            </w:r>
            <w:r>
              <w:rPr>
                <w:u w:val="single"/>
              </w:rPr>
              <w:t xml:space="preserve">METALLIC </w:t>
            </w:r>
            <w:r>
              <w:t>SODIUM</w:t>
            </w:r>
            <w:r>
              <w:rPr>
                <w:u w:val="single"/>
              </w:rPr>
              <w:t xml:space="preserve"> OR SODIUM ALLOY</w:t>
            </w:r>
            <w:r>
              <w:t>”</w:t>
            </w:r>
          </w:p>
        </w:tc>
        <w:tc>
          <w:tcPr>
            <w:tcW w:w="794" w:type="dxa"/>
            <w:shd w:val="clear" w:color="auto" w:fill="auto"/>
          </w:tcPr>
          <w:p w14:paraId="5E2D8F50" w14:textId="77777777" w:rsidR="006A033B" w:rsidRDefault="006A033B" w:rsidP="00F53C43">
            <w:pPr>
              <w:pStyle w:val="AlphIbody"/>
              <w:jc w:val="center"/>
            </w:pPr>
            <w:r>
              <w:t>4.3</w:t>
            </w:r>
          </w:p>
        </w:tc>
        <w:tc>
          <w:tcPr>
            <w:tcW w:w="1133" w:type="dxa"/>
            <w:shd w:val="clear" w:color="auto" w:fill="auto"/>
          </w:tcPr>
          <w:p w14:paraId="14DFE8ED" w14:textId="77777777" w:rsidR="006A033B" w:rsidRDefault="006A033B" w:rsidP="00F53C43">
            <w:pPr>
              <w:pStyle w:val="AlphIbody"/>
              <w:jc w:val="center"/>
            </w:pPr>
            <w:r>
              <w:t>3292</w:t>
            </w:r>
          </w:p>
        </w:tc>
      </w:tr>
      <w:tr w:rsidR="006A033B" w14:paraId="6E7B00E3" w14:textId="77777777" w:rsidTr="00F53C43">
        <w:trPr>
          <w:cantSplit/>
        </w:trPr>
        <w:tc>
          <w:tcPr>
            <w:tcW w:w="6336" w:type="dxa"/>
            <w:shd w:val="clear" w:color="auto" w:fill="auto"/>
          </w:tcPr>
          <w:p w14:paraId="6DD1DCFA" w14:textId="77777777" w:rsidR="006A033B" w:rsidRDefault="006A033B" w:rsidP="00F53C43">
            <w:pPr>
              <w:pStyle w:val="SingleTxtG"/>
            </w:pPr>
            <w:r>
              <w:t>“CELLS</w:t>
            </w:r>
            <w:r>
              <w:rPr>
                <w:strike/>
              </w:rPr>
              <w:t>,</w:t>
            </w:r>
            <w:r>
              <w:t xml:space="preserve"> CONTAINING </w:t>
            </w:r>
            <w:r>
              <w:rPr>
                <w:u w:val="single"/>
              </w:rPr>
              <w:t xml:space="preserve">METALLIC </w:t>
            </w:r>
            <w:r>
              <w:t>SODIUM</w:t>
            </w:r>
            <w:r>
              <w:rPr>
                <w:u w:val="single"/>
              </w:rPr>
              <w:t xml:space="preserve"> OR SODIUM ALLOY”</w:t>
            </w:r>
          </w:p>
        </w:tc>
        <w:tc>
          <w:tcPr>
            <w:tcW w:w="794" w:type="dxa"/>
            <w:shd w:val="clear" w:color="auto" w:fill="auto"/>
          </w:tcPr>
          <w:p w14:paraId="27175922" w14:textId="77777777" w:rsidR="006A033B" w:rsidRDefault="006A033B" w:rsidP="00F53C43">
            <w:pPr>
              <w:pStyle w:val="AlphIbody"/>
              <w:jc w:val="center"/>
            </w:pPr>
            <w:r>
              <w:t>4.3</w:t>
            </w:r>
          </w:p>
        </w:tc>
        <w:tc>
          <w:tcPr>
            <w:tcW w:w="1133" w:type="dxa"/>
            <w:shd w:val="clear" w:color="auto" w:fill="auto"/>
          </w:tcPr>
          <w:p w14:paraId="45C33FFF" w14:textId="77777777" w:rsidR="006A033B" w:rsidRDefault="006A033B" w:rsidP="00F53C43">
            <w:pPr>
              <w:pStyle w:val="AlphIbody"/>
              <w:jc w:val="center"/>
            </w:pPr>
            <w:r>
              <w:t>3292</w:t>
            </w:r>
          </w:p>
        </w:tc>
      </w:tr>
    </w:tbl>
    <w:p w14:paraId="7FDDE9D7" w14:textId="77777777" w:rsidR="006A033B" w:rsidRDefault="006A033B" w:rsidP="006A033B">
      <w:pPr>
        <w:pStyle w:val="SingleTxtG"/>
      </w:pPr>
      <w:r>
        <w:t>And, insert the following new entry:</w:t>
      </w:r>
    </w:p>
    <w:tbl>
      <w:tblPr>
        <w:tblW w:w="8263" w:type="dxa"/>
        <w:tblInd w:w="43" w:type="dxa"/>
        <w:tblCellMar>
          <w:left w:w="54" w:type="dxa"/>
          <w:right w:w="54" w:type="dxa"/>
        </w:tblCellMar>
        <w:tblLook w:val="0000" w:firstRow="0" w:lastRow="0" w:firstColumn="0" w:lastColumn="0" w:noHBand="0" w:noVBand="0"/>
      </w:tblPr>
      <w:tblGrid>
        <w:gridCol w:w="6336"/>
        <w:gridCol w:w="794"/>
        <w:gridCol w:w="1133"/>
      </w:tblGrid>
      <w:tr w:rsidR="006A033B" w14:paraId="77FF572A" w14:textId="77777777" w:rsidTr="00F53C43">
        <w:trPr>
          <w:cantSplit/>
        </w:trPr>
        <w:tc>
          <w:tcPr>
            <w:tcW w:w="6336" w:type="dxa"/>
            <w:shd w:val="clear" w:color="auto" w:fill="auto"/>
          </w:tcPr>
          <w:p w14:paraId="7F60D42A" w14:textId="77777777" w:rsidR="006A033B" w:rsidRDefault="006A033B" w:rsidP="00F53C43">
            <w:pPr>
              <w:pStyle w:val="SingleTxtG"/>
            </w:pPr>
            <w:r>
              <w:rPr>
                <w:u w:val="single"/>
              </w:rPr>
              <w:t>“Batteries, sodium nickel chloride, see</w:t>
            </w:r>
          </w:p>
        </w:tc>
        <w:tc>
          <w:tcPr>
            <w:tcW w:w="794" w:type="dxa"/>
            <w:shd w:val="clear" w:color="auto" w:fill="auto"/>
          </w:tcPr>
          <w:p w14:paraId="40B84139" w14:textId="77777777" w:rsidR="006A033B" w:rsidRDefault="006A033B" w:rsidP="00F53C43">
            <w:pPr>
              <w:pStyle w:val="AlphIbody"/>
              <w:jc w:val="center"/>
            </w:pPr>
            <w:r>
              <w:rPr>
                <w:u w:val="single"/>
              </w:rPr>
              <w:t>4.3</w:t>
            </w:r>
          </w:p>
        </w:tc>
        <w:tc>
          <w:tcPr>
            <w:tcW w:w="1133" w:type="dxa"/>
            <w:shd w:val="clear" w:color="auto" w:fill="auto"/>
          </w:tcPr>
          <w:p w14:paraId="77AB0C2F" w14:textId="77777777" w:rsidR="006A033B" w:rsidRDefault="006A033B" w:rsidP="00F53C43">
            <w:pPr>
              <w:pStyle w:val="AlphIbody"/>
              <w:jc w:val="center"/>
            </w:pPr>
            <w:r>
              <w:rPr>
                <w:u w:val="single"/>
              </w:rPr>
              <w:t>3292</w:t>
            </w:r>
          </w:p>
        </w:tc>
      </w:tr>
    </w:tbl>
    <w:p w14:paraId="19BFDC46" w14:textId="77777777" w:rsidR="006A033B" w:rsidRDefault="006A033B" w:rsidP="006A033B">
      <w:pPr>
        <w:pStyle w:val="SingleTxtG"/>
      </w:pPr>
      <w:r>
        <w:rPr>
          <w:u w:val="single"/>
        </w:rPr>
        <w:tab/>
      </w:r>
      <w:r>
        <w:rPr>
          <w:b/>
          <w:bCs/>
          <w:i/>
          <w:iCs/>
        </w:rPr>
        <w:t>COMMENT</w:t>
      </w:r>
      <w:r>
        <w:rPr>
          <w:i/>
          <w:iCs/>
        </w:rPr>
        <w:t xml:space="preserve"> – this last addition is proposed in relation to a comment from the expert from Switzerland during the July online discussions concerning the appropriate UN entry for sodium nickel chloride batteries.</w:t>
      </w:r>
    </w:p>
    <w:p w14:paraId="654A3C43" w14:textId="77777777" w:rsidR="006A033B" w:rsidRDefault="006A033B" w:rsidP="006A033B">
      <w:pPr>
        <w:pStyle w:val="H1G"/>
      </w:pPr>
      <w:r>
        <w:tab/>
      </w:r>
      <w:r>
        <w:tab/>
        <w:t>Proposal 2</w:t>
      </w:r>
    </w:p>
    <w:p w14:paraId="6BF6BA5E" w14:textId="77777777" w:rsidR="006A033B" w:rsidRDefault="006A033B" w:rsidP="006A033B">
      <w:pPr>
        <w:pStyle w:val="SingleTxtG"/>
      </w:pPr>
      <w:r>
        <w:t>23.</w:t>
      </w:r>
      <w:r>
        <w:tab/>
        <w:t>In 3.2.2, add two entries in the dangerous goods list as follow:</w:t>
      </w:r>
    </w:p>
    <w:tbl>
      <w:tblPr>
        <w:tblW w:w="9361" w:type="dxa"/>
        <w:tblInd w:w="-1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72" w:type="dxa"/>
          <w:left w:w="144" w:type="dxa"/>
          <w:bottom w:w="72" w:type="dxa"/>
          <w:right w:w="144" w:type="dxa"/>
        </w:tblCellMar>
        <w:tblLook w:val="0420" w:firstRow="1" w:lastRow="0" w:firstColumn="0" w:lastColumn="0" w:noHBand="0" w:noVBand="1"/>
      </w:tblPr>
      <w:tblGrid>
        <w:gridCol w:w="1055"/>
        <w:gridCol w:w="2535"/>
        <w:gridCol w:w="687"/>
        <w:gridCol w:w="849"/>
        <w:gridCol w:w="702"/>
        <w:gridCol w:w="853"/>
        <w:gridCol w:w="992"/>
        <w:gridCol w:w="851"/>
        <w:gridCol w:w="837"/>
      </w:tblGrid>
      <w:tr w:rsidR="006A033B" w14:paraId="6EA065CA" w14:textId="77777777" w:rsidTr="00F53C43">
        <w:trPr>
          <w:trHeight w:val="249"/>
        </w:trPr>
        <w:tc>
          <w:tcPr>
            <w:tcW w:w="1054" w:type="dxa"/>
            <w:vMerge w:val="restart"/>
            <w:tcBorders>
              <w:top w:val="single" w:sz="8" w:space="0" w:color="000001"/>
              <w:left w:val="single" w:sz="8" w:space="0" w:color="000001"/>
              <w:bottom w:val="single" w:sz="8" w:space="0" w:color="000001"/>
              <w:right w:val="single" w:sz="8" w:space="0" w:color="000001"/>
            </w:tcBorders>
            <w:shd w:val="clear" w:color="auto" w:fill="FFFFFF"/>
          </w:tcPr>
          <w:p w14:paraId="735894CB" w14:textId="77777777" w:rsidR="006A033B" w:rsidRDefault="006A033B" w:rsidP="00F53C43">
            <w:pPr>
              <w:suppressAutoHyphens w:val="0"/>
              <w:spacing w:line="240" w:lineRule="auto"/>
              <w:jc w:val="center"/>
            </w:pPr>
            <w:r>
              <w:rPr>
                <w:rFonts w:cstheme="majorBidi"/>
                <w:b/>
                <w:bCs/>
                <w:color w:val="000000" w:themeColor="text1"/>
                <w:sz w:val="16"/>
                <w:szCs w:val="16"/>
              </w:rPr>
              <w:t>UN No.</w:t>
            </w:r>
          </w:p>
        </w:tc>
        <w:tc>
          <w:tcPr>
            <w:tcW w:w="2535" w:type="dxa"/>
            <w:vMerge w:val="restart"/>
            <w:tcBorders>
              <w:top w:val="single" w:sz="8" w:space="0" w:color="000001"/>
              <w:left w:val="single" w:sz="8" w:space="0" w:color="000001"/>
              <w:bottom w:val="single" w:sz="8" w:space="0" w:color="000001"/>
              <w:right w:val="single" w:sz="8" w:space="0" w:color="000001"/>
            </w:tcBorders>
            <w:shd w:val="clear" w:color="auto" w:fill="FFFFFF"/>
          </w:tcPr>
          <w:p w14:paraId="28511846" w14:textId="77777777" w:rsidR="006A033B" w:rsidRDefault="006A033B" w:rsidP="00F53C43">
            <w:pPr>
              <w:suppressAutoHyphens w:val="0"/>
              <w:spacing w:line="240" w:lineRule="auto"/>
              <w:ind w:left="-143" w:right="-146"/>
              <w:jc w:val="center"/>
            </w:pPr>
            <w:r>
              <w:rPr>
                <w:rFonts w:cstheme="majorBidi"/>
                <w:b/>
                <w:bCs/>
                <w:color w:val="000000" w:themeColor="text1"/>
                <w:sz w:val="16"/>
                <w:szCs w:val="16"/>
              </w:rPr>
              <w:t>Name and description</w:t>
            </w:r>
          </w:p>
        </w:tc>
        <w:tc>
          <w:tcPr>
            <w:tcW w:w="687" w:type="dxa"/>
            <w:vMerge w:val="restart"/>
            <w:tcBorders>
              <w:top w:val="single" w:sz="8" w:space="0" w:color="000001"/>
              <w:left w:val="single" w:sz="8" w:space="0" w:color="000001"/>
              <w:bottom w:val="single" w:sz="8" w:space="0" w:color="000001"/>
              <w:right w:val="single" w:sz="8" w:space="0" w:color="000001"/>
            </w:tcBorders>
            <w:shd w:val="clear" w:color="auto" w:fill="FFFFFF"/>
          </w:tcPr>
          <w:p w14:paraId="4A1CF7E4" w14:textId="77777777" w:rsidR="006A033B" w:rsidRDefault="006A033B" w:rsidP="00F53C43">
            <w:pPr>
              <w:suppressAutoHyphens w:val="0"/>
              <w:spacing w:line="240" w:lineRule="auto"/>
              <w:ind w:left="-137" w:right="-143"/>
              <w:jc w:val="center"/>
            </w:pPr>
            <w:r>
              <w:rPr>
                <w:rFonts w:cstheme="majorBidi"/>
                <w:b/>
                <w:bCs/>
                <w:color w:val="000000" w:themeColor="text1"/>
                <w:sz w:val="16"/>
                <w:szCs w:val="16"/>
              </w:rPr>
              <w:t>Class or division</w:t>
            </w:r>
          </w:p>
        </w:tc>
        <w:tc>
          <w:tcPr>
            <w:tcW w:w="849" w:type="dxa"/>
            <w:vMerge w:val="restart"/>
            <w:tcBorders>
              <w:top w:val="single" w:sz="8" w:space="0" w:color="000001"/>
              <w:left w:val="single" w:sz="8" w:space="0" w:color="000001"/>
              <w:bottom w:val="single" w:sz="8" w:space="0" w:color="000001"/>
              <w:right w:val="single" w:sz="8" w:space="0" w:color="000001"/>
            </w:tcBorders>
            <w:shd w:val="clear" w:color="auto" w:fill="FFFFFF"/>
          </w:tcPr>
          <w:p w14:paraId="545EC416" w14:textId="77777777" w:rsidR="006A033B" w:rsidRDefault="006A033B" w:rsidP="00F53C43">
            <w:pPr>
              <w:suppressAutoHyphens w:val="0"/>
              <w:spacing w:line="240" w:lineRule="auto"/>
              <w:jc w:val="center"/>
            </w:pPr>
            <w:proofErr w:type="spellStart"/>
            <w:r>
              <w:rPr>
                <w:rFonts w:cstheme="majorBidi"/>
                <w:b/>
                <w:bCs/>
                <w:color w:val="000000" w:themeColor="text1"/>
                <w:sz w:val="16"/>
                <w:szCs w:val="16"/>
              </w:rPr>
              <w:t>Subsi</w:t>
            </w:r>
            <w:proofErr w:type="spellEnd"/>
            <w:r>
              <w:rPr>
                <w:rFonts w:cstheme="majorBidi"/>
                <w:b/>
                <w:bCs/>
                <w:color w:val="000000" w:themeColor="text1"/>
                <w:sz w:val="16"/>
                <w:szCs w:val="16"/>
              </w:rPr>
              <w:t>-diary hazard</w:t>
            </w:r>
          </w:p>
        </w:tc>
        <w:tc>
          <w:tcPr>
            <w:tcW w:w="702" w:type="dxa"/>
            <w:vMerge w:val="restart"/>
            <w:tcBorders>
              <w:top w:val="single" w:sz="8" w:space="0" w:color="000001"/>
              <w:left w:val="single" w:sz="8" w:space="0" w:color="000001"/>
              <w:bottom w:val="single" w:sz="8" w:space="0" w:color="000001"/>
              <w:right w:val="single" w:sz="8" w:space="0" w:color="000001"/>
            </w:tcBorders>
            <w:shd w:val="clear" w:color="auto" w:fill="FFFFFF"/>
          </w:tcPr>
          <w:p w14:paraId="52956D29" w14:textId="77777777" w:rsidR="006A033B" w:rsidRDefault="006A033B" w:rsidP="00F53C43">
            <w:pPr>
              <w:suppressAutoHyphens w:val="0"/>
              <w:spacing w:line="240" w:lineRule="auto"/>
              <w:ind w:left="-137" w:right="-142"/>
              <w:jc w:val="center"/>
            </w:pPr>
            <w:r>
              <w:rPr>
                <w:rFonts w:cstheme="majorBidi"/>
                <w:b/>
                <w:bCs/>
                <w:color w:val="000000" w:themeColor="text1"/>
                <w:sz w:val="16"/>
                <w:szCs w:val="16"/>
              </w:rPr>
              <w:t>UN packing group</w:t>
            </w:r>
          </w:p>
        </w:tc>
        <w:tc>
          <w:tcPr>
            <w:tcW w:w="853" w:type="dxa"/>
            <w:vMerge w:val="restart"/>
            <w:tcBorders>
              <w:top w:val="single" w:sz="8" w:space="0" w:color="000001"/>
              <w:left w:val="single" w:sz="8" w:space="0" w:color="000001"/>
              <w:bottom w:val="single" w:sz="8" w:space="0" w:color="000001"/>
              <w:right w:val="single" w:sz="8" w:space="0" w:color="000001"/>
            </w:tcBorders>
            <w:shd w:val="clear" w:color="auto" w:fill="FFFFFF"/>
          </w:tcPr>
          <w:p w14:paraId="4989B0AF" w14:textId="77777777" w:rsidR="006A033B" w:rsidRDefault="006A033B" w:rsidP="00F53C43">
            <w:pPr>
              <w:suppressAutoHyphens w:val="0"/>
              <w:spacing w:line="240" w:lineRule="auto"/>
              <w:ind w:left="-142" w:right="-138"/>
              <w:jc w:val="center"/>
            </w:pPr>
            <w:r>
              <w:rPr>
                <w:rFonts w:cstheme="majorBidi"/>
                <w:b/>
                <w:bCs/>
                <w:color w:val="000000" w:themeColor="text1"/>
                <w:sz w:val="16"/>
                <w:szCs w:val="16"/>
              </w:rPr>
              <w:t>Special provisions</w:t>
            </w:r>
          </w:p>
        </w:tc>
        <w:tc>
          <w:tcPr>
            <w:tcW w:w="992" w:type="dxa"/>
            <w:vMerge w:val="restart"/>
            <w:tcBorders>
              <w:top w:val="single" w:sz="8" w:space="0" w:color="000001"/>
              <w:left w:val="single" w:sz="8" w:space="0" w:color="000001"/>
              <w:bottom w:val="single" w:sz="8" w:space="0" w:color="000001"/>
              <w:right w:val="single" w:sz="8" w:space="0" w:color="000001"/>
            </w:tcBorders>
            <w:shd w:val="clear" w:color="auto" w:fill="FFFFFF"/>
          </w:tcPr>
          <w:p w14:paraId="424C0DE7" w14:textId="77777777" w:rsidR="006A033B" w:rsidRDefault="006A033B" w:rsidP="00F53C43">
            <w:pPr>
              <w:suppressAutoHyphens w:val="0"/>
              <w:spacing w:line="240" w:lineRule="auto"/>
              <w:jc w:val="center"/>
            </w:pPr>
            <w:r>
              <w:rPr>
                <w:rFonts w:cstheme="majorBidi"/>
                <w:b/>
                <w:bCs/>
                <w:color w:val="000000" w:themeColor="text1"/>
                <w:sz w:val="16"/>
                <w:szCs w:val="16"/>
              </w:rPr>
              <w:t>Limited quantities</w:t>
            </w:r>
          </w:p>
        </w:tc>
        <w:tc>
          <w:tcPr>
            <w:tcW w:w="1688" w:type="dxa"/>
            <w:gridSpan w:val="2"/>
            <w:tcBorders>
              <w:top w:val="single" w:sz="8" w:space="0" w:color="000001"/>
              <w:left w:val="single" w:sz="8" w:space="0" w:color="000001"/>
              <w:bottom w:val="single" w:sz="8" w:space="0" w:color="000001"/>
              <w:right w:val="single" w:sz="8" w:space="0" w:color="000001"/>
            </w:tcBorders>
            <w:shd w:val="clear" w:color="auto" w:fill="FFFFFF"/>
          </w:tcPr>
          <w:p w14:paraId="7ABE3912" w14:textId="77777777" w:rsidR="006A033B" w:rsidRDefault="006A033B" w:rsidP="00F53C43">
            <w:pPr>
              <w:suppressAutoHyphens w:val="0"/>
              <w:spacing w:line="240" w:lineRule="auto"/>
              <w:jc w:val="center"/>
            </w:pPr>
            <w:r>
              <w:rPr>
                <w:rFonts w:cstheme="majorBidi"/>
                <w:b/>
                <w:bCs/>
                <w:color w:val="000000" w:themeColor="text1"/>
                <w:sz w:val="16"/>
                <w:szCs w:val="16"/>
              </w:rPr>
              <w:t>Packaging and IBCs</w:t>
            </w:r>
          </w:p>
        </w:tc>
      </w:tr>
      <w:tr w:rsidR="006A033B" w14:paraId="2AB8D9E2" w14:textId="77777777" w:rsidTr="00F53C43">
        <w:trPr>
          <w:trHeight w:val="112"/>
        </w:trPr>
        <w:tc>
          <w:tcPr>
            <w:tcW w:w="1054"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0" w:type="dxa"/>
              <w:bottom w:w="0" w:type="dxa"/>
              <w:right w:w="0" w:type="dxa"/>
            </w:tcMar>
            <w:vAlign w:val="center"/>
          </w:tcPr>
          <w:p w14:paraId="1A6DF923" w14:textId="77777777" w:rsidR="006A033B" w:rsidRDefault="006A033B" w:rsidP="00F53C43">
            <w:pPr>
              <w:suppressAutoHyphens w:val="0"/>
              <w:spacing w:line="240" w:lineRule="auto"/>
              <w:rPr>
                <w:rFonts w:asciiTheme="majorBidi" w:hAnsiTheme="majorBidi" w:cstheme="majorBidi"/>
                <w:sz w:val="16"/>
                <w:szCs w:val="16"/>
              </w:rPr>
            </w:pPr>
          </w:p>
        </w:tc>
        <w:tc>
          <w:tcPr>
            <w:tcW w:w="2535"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0" w:type="dxa"/>
              <w:bottom w:w="0" w:type="dxa"/>
              <w:right w:w="0" w:type="dxa"/>
            </w:tcMar>
            <w:vAlign w:val="center"/>
          </w:tcPr>
          <w:p w14:paraId="07FB65D8" w14:textId="77777777" w:rsidR="006A033B" w:rsidRDefault="006A033B" w:rsidP="00F53C43">
            <w:pPr>
              <w:suppressAutoHyphens w:val="0"/>
              <w:spacing w:line="240" w:lineRule="auto"/>
              <w:ind w:left="-143" w:right="-146"/>
              <w:rPr>
                <w:rFonts w:asciiTheme="majorBidi" w:hAnsiTheme="majorBidi" w:cstheme="majorBidi"/>
                <w:sz w:val="16"/>
                <w:szCs w:val="16"/>
              </w:rPr>
            </w:pPr>
          </w:p>
        </w:tc>
        <w:tc>
          <w:tcPr>
            <w:tcW w:w="687"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0" w:type="dxa"/>
              <w:bottom w:w="0" w:type="dxa"/>
              <w:right w:w="0" w:type="dxa"/>
            </w:tcMar>
            <w:vAlign w:val="center"/>
          </w:tcPr>
          <w:p w14:paraId="527ED6CD" w14:textId="77777777" w:rsidR="006A033B" w:rsidRDefault="006A033B" w:rsidP="00F53C43">
            <w:pPr>
              <w:suppressAutoHyphens w:val="0"/>
              <w:spacing w:line="240" w:lineRule="auto"/>
              <w:ind w:left="-137" w:right="-143"/>
              <w:rPr>
                <w:rFonts w:asciiTheme="majorBidi" w:hAnsiTheme="majorBidi" w:cstheme="majorBidi"/>
                <w:sz w:val="16"/>
                <w:szCs w:val="16"/>
              </w:rPr>
            </w:pPr>
          </w:p>
        </w:tc>
        <w:tc>
          <w:tcPr>
            <w:tcW w:w="849"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0" w:type="dxa"/>
              <w:bottom w:w="0" w:type="dxa"/>
              <w:right w:w="0" w:type="dxa"/>
            </w:tcMar>
            <w:vAlign w:val="center"/>
          </w:tcPr>
          <w:p w14:paraId="67034D50" w14:textId="77777777" w:rsidR="006A033B" w:rsidRDefault="006A033B" w:rsidP="00F53C43">
            <w:pPr>
              <w:suppressAutoHyphens w:val="0"/>
              <w:spacing w:line="240" w:lineRule="auto"/>
              <w:rPr>
                <w:rFonts w:asciiTheme="majorBidi" w:hAnsiTheme="majorBidi" w:cstheme="majorBidi"/>
                <w:sz w:val="16"/>
                <w:szCs w:val="16"/>
              </w:rPr>
            </w:pPr>
          </w:p>
        </w:tc>
        <w:tc>
          <w:tcPr>
            <w:tcW w:w="702"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0" w:type="dxa"/>
              <w:bottom w:w="0" w:type="dxa"/>
              <w:right w:w="0" w:type="dxa"/>
            </w:tcMar>
            <w:vAlign w:val="center"/>
          </w:tcPr>
          <w:p w14:paraId="04B9E3E9" w14:textId="77777777" w:rsidR="006A033B" w:rsidRDefault="006A033B" w:rsidP="00F53C43">
            <w:pPr>
              <w:suppressAutoHyphens w:val="0"/>
              <w:spacing w:line="240" w:lineRule="auto"/>
              <w:rPr>
                <w:rFonts w:asciiTheme="majorBidi" w:hAnsiTheme="majorBidi" w:cstheme="majorBidi"/>
                <w:sz w:val="16"/>
                <w:szCs w:val="16"/>
              </w:rPr>
            </w:pPr>
          </w:p>
        </w:tc>
        <w:tc>
          <w:tcPr>
            <w:tcW w:w="853"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0" w:type="dxa"/>
              <w:bottom w:w="0" w:type="dxa"/>
              <w:right w:w="0" w:type="dxa"/>
            </w:tcMar>
            <w:vAlign w:val="center"/>
          </w:tcPr>
          <w:p w14:paraId="6A69200F" w14:textId="77777777" w:rsidR="006A033B" w:rsidRDefault="006A033B" w:rsidP="00F53C43">
            <w:pPr>
              <w:suppressAutoHyphens w:val="0"/>
              <w:spacing w:line="240" w:lineRule="auto"/>
              <w:rPr>
                <w:rFonts w:asciiTheme="majorBidi" w:hAnsiTheme="majorBidi" w:cstheme="majorBidi"/>
                <w:sz w:val="16"/>
                <w:szCs w:val="16"/>
              </w:rPr>
            </w:pPr>
          </w:p>
        </w:tc>
        <w:tc>
          <w:tcPr>
            <w:tcW w:w="992" w:type="dxa"/>
            <w:vMerge/>
            <w:tcBorders>
              <w:top w:val="single" w:sz="8" w:space="0" w:color="000001"/>
              <w:left w:val="single" w:sz="8" w:space="0" w:color="000001"/>
              <w:bottom w:val="single" w:sz="8" w:space="0" w:color="000001"/>
              <w:right w:val="single" w:sz="8" w:space="0" w:color="000001"/>
            </w:tcBorders>
            <w:shd w:val="clear" w:color="auto" w:fill="auto"/>
            <w:tcMar>
              <w:top w:w="0" w:type="dxa"/>
              <w:left w:w="0" w:type="dxa"/>
              <w:bottom w:w="0" w:type="dxa"/>
              <w:right w:w="0" w:type="dxa"/>
            </w:tcMar>
            <w:vAlign w:val="center"/>
          </w:tcPr>
          <w:p w14:paraId="5DFFC50D" w14:textId="77777777" w:rsidR="006A033B" w:rsidRDefault="006A033B" w:rsidP="00F53C43">
            <w:pPr>
              <w:suppressAutoHyphens w:val="0"/>
              <w:spacing w:line="240" w:lineRule="auto"/>
              <w:rPr>
                <w:rFonts w:asciiTheme="majorBidi" w:hAnsiTheme="majorBidi" w:cstheme="majorBidi"/>
                <w:sz w:val="16"/>
                <w:szCs w:val="16"/>
              </w:rPr>
            </w:pPr>
          </w:p>
        </w:tc>
        <w:tc>
          <w:tcPr>
            <w:tcW w:w="851" w:type="dxa"/>
            <w:tcBorders>
              <w:top w:val="single" w:sz="8" w:space="0" w:color="000001"/>
              <w:left w:val="single" w:sz="8" w:space="0" w:color="000001"/>
              <w:bottom w:val="single" w:sz="8" w:space="0" w:color="000001"/>
              <w:right w:val="single" w:sz="8" w:space="0" w:color="000001"/>
            </w:tcBorders>
            <w:shd w:val="clear" w:color="auto" w:fill="FFFFFF"/>
          </w:tcPr>
          <w:p w14:paraId="38376940" w14:textId="77777777" w:rsidR="006A033B" w:rsidRDefault="006A033B" w:rsidP="00F53C43">
            <w:pPr>
              <w:suppressAutoHyphens w:val="0"/>
              <w:spacing w:line="240" w:lineRule="auto"/>
              <w:ind w:left="-149" w:right="-150"/>
              <w:jc w:val="center"/>
            </w:pPr>
            <w:r>
              <w:rPr>
                <w:rFonts w:cstheme="majorBidi"/>
                <w:color w:val="000000" w:themeColor="text1"/>
                <w:sz w:val="16"/>
                <w:szCs w:val="16"/>
              </w:rPr>
              <w:t>Packing instruction</w:t>
            </w:r>
          </w:p>
        </w:tc>
        <w:tc>
          <w:tcPr>
            <w:tcW w:w="837" w:type="dxa"/>
            <w:tcBorders>
              <w:top w:val="single" w:sz="8" w:space="0" w:color="000001"/>
              <w:left w:val="single" w:sz="8" w:space="0" w:color="000001"/>
              <w:bottom w:val="single" w:sz="8" w:space="0" w:color="000001"/>
              <w:right w:val="single" w:sz="8" w:space="0" w:color="000001"/>
            </w:tcBorders>
            <w:shd w:val="clear" w:color="auto" w:fill="FFFFFF"/>
          </w:tcPr>
          <w:p w14:paraId="40CD9ACF" w14:textId="77777777" w:rsidR="006A033B" w:rsidRDefault="006A033B" w:rsidP="00F53C43">
            <w:pPr>
              <w:suppressAutoHyphens w:val="0"/>
              <w:spacing w:line="240" w:lineRule="auto"/>
              <w:ind w:left="-149"/>
              <w:jc w:val="center"/>
            </w:pPr>
            <w:r>
              <w:rPr>
                <w:rFonts w:cstheme="majorBidi"/>
                <w:color w:val="000000" w:themeColor="text1"/>
                <w:sz w:val="16"/>
                <w:szCs w:val="16"/>
              </w:rPr>
              <w:t>Special packing provisions</w:t>
            </w:r>
          </w:p>
        </w:tc>
      </w:tr>
      <w:tr w:rsidR="006A033B" w14:paraId="3E03C742" w14:textId="77777777" w:rsidTr="00F53C43">
        <w:trPr>
          <w:trHeight w:val="1398"/>
        </w:trPr>
        <w:tc>
          <w:tcPr>
            <w:tcW w:w="1054" w:type="dxa"/>
            <w:tcBorders>
              <w:top w:val="single" w:sz="8" w:space="0" w:color="000001"/>
              <w:left w:val="single" w:sz="8" w:space="0" w:color="000001"/>
              <w:bottom w:val="single" w:sz="8" w:space="0" w:color="000001"/>
              <w:right w:val="single" w:sz="8" w:space="0" w:color="000001"/>
            </w:tcBorders>
            <w:shd w:val="clear" w:color="auto" w:fill="FFFFFF"/>
          </w:tcPr>
          <w:p w14:paraId="108B6F0C" w14:textId="77777777" w:rsidR="006A033B" w:rsidRDefault="006A033B" w:rsidP="00F53C43">
            <w:pPr>
              <w:suppressAutoHyphens w:val="0"/>
              <w:spacing w:line="240" w:lineRule="auto"/>
              <w:jc w:val="center"/>
            </w:pPr>
            <w:r>
              <w:rPr>
                <w:rFonts w:cstheme="majorBidi"/>
                <w:color w:val="000000" w:themeColor="text1"/>
                <w:sz w:val="16"/>
                <w:szCs w:val="16"/>
              </w:rPr>
              <w:t>XXXX</w:t>
            </w:r>
          </w:p>
        </w:tc>
        <w:tc>
          <w:tcPr>
            <w:tcW w:w="2535" w:type="dxa"/>
            <w:tcBorders>
              <w:top w:val="single" w:sz="8" w:space="0" w:color="000001"/>
              <w:left w:val="single" w:sz="8" w:space="0" w:color="000001"/>
              <w:bottom w:val="single" w:sz="8" w:space="0" w:color="000001"/>
              <w:right w:val="single" w:sz="8" w:space="0" w:color="000001"/>
            </w:tcBorders>
            <w:shd w:val="clear" w:color="auto" w:fill="FFFFFF"/>
          </w:tcPr>
          <w:p w14:paraId="502FDED3" w14:textId="77777777" w:rsidR="006A033B" w:rsidRDefault="006A033B" w:rsidP="00F53C43">
            <w:pPr>
              <w:suppressAutoHyphens w:val="0"/>
              <w:spacing w:line="240" w:lineRule="auto"/>
              <w:ind w:left="-143" w:right="-146"/>
            </w:pPr>
            <w:r>
              <w:rPr>
                <w:rFonts w:eastAsiaTheme="minorEastAsia" w:cstheme="majorBidi"/>
                <w:color w:val="000000" w:themeColor="dark1"/>
                <w:sz w:val="16"/>
                <w:szCs w:val="16"/>
              </w:rPr>
              <w:t>SODIUM ION BATTERIES USING ORGANIC ELECTROLYTE</w:t>
            </w:r>
          </w:p>
        </w:tc>
        <w:tc>
          <w:tcPr>
            <w:tcW w:w="687" w:type="dxa"/>
            <w:tcBorders>
              <w:top w:val="single" w:sz="8" w:space="0" w:color="000001"/>
              <w:left w:val="single" w:sz="8" w:space="0" w:color="000001"/>
              <w:bottom w:val="single" w:sz="8" w:space="0" w:color="000001"/>
              <w:right w:val="single" w:sz="8" w:space="0" w:color="000001"/>
            </w:tcBorders>
            <w:shd w:val="clear" w:color="auto" w:fill="FFFFFF"/>
          </w:tcPr>
          <w:p w14:paraId="578418B9" w14:textId="77777777" w:rsidR="006A033B" w:rsidRDefault="006A033B" w:rsidP="00F53C43">
            <w:pPr>
              <w:suppressAutoHyphens w:val="0"/>
              <w:spacing w:line="240" w:lineRule="auto"/>
              <w:ind w:left="-137" w:right="-143"/>
              <w:jc w:val="center"/>
            </w:pPr>
            <w:r>
              <w:rPr>
                <w:rFonts w:cstheme="majorBidi"/>
                <w:color w:val="000000" w:themeColor="text1"/>
                <w:sz w:val="16"/>
                <w:szCs w:val="16"/>
              </w:rPr>
              <w:t>9</w:t>
            </w:r>
          </w:p>
        </w:tc>
        <w:tc>
          <w:tcPr>
            <w:tcW w:w="849" w:type="dxa"/>
            <w:tcBorders>
              <w:top w:val="single" w:sz="8" w:space="0" w:color="000001"/>
              <w:left w:val="single" w:sz="8" w:space="0" w:color="000001"/>
              <w:bottom w:val="single" w:sz="8" w:space="0" w:color="000001"/>
              <w:right w:val="single" w:sz="8" w:space="0" w:color="000001"/>
            </w:tcBorders>
            <w:shd w:val="clear" w:color="auto" w:fill="FFFFFF"/>
          </w:tcPr>
          <w:p w14:paraId="01B54368" w14:textId="77777777" w:rsidR="006A033B" w:rsidRDefault="006A033B" w:rsidP="00F53C43">
            <w:pPr>
              <w:suppressAutoHyphens w:val="0"/>
              <w:spacing w:line="240" w:lineRule="auto"/>
              <w:rPr>
                <w:rFonts w:asciiTheme="majorBidi" w:hAnsiTheme="majorBidi" w:cstheme="majorBidi"/>
                <w:sz w:val="16"/>
                <w:szCs w:val="16"/>
              </w:rPr>
            </w:pPr>
          </w:p>
        </w:tc>
        <w:tc>
          <w:tcPr>
            <w:tcW w:w="702" w:type="dxa"/>
            <w:tcBorders>
              <w:top w:val="single" w:sz="8" w:space="0" w:color="000001"/>
              <w:left w:val="single" w:sz="8" w:space="0" w:color="000001"/>
              <w:bottom w:val="single" w:sz="8" w:space="0" w:color="000001"/>
              <w:right w:val="single" w:sz="8" w:space="0" w:color="000001"/>
            </w:tcBorders>
            <w:shd w:val="clear" w:color="auto" w:fill="FFFFFF"/>
          </w:tcPr>
          <w:p w14:paraId="21E7AA3A" w14:textId="77777777" w:rsidR="006A033B" w:rsidRDefault="006A033B" w:rsidP="00F53C43">
            <w:pPr>
              <w:suppressAutoHyphens w:val="0"/>
              <w:spacing w:line="240" w:lineRule="auto"/>
              <w:rPr>
                <w:rFonts w:asciiTheme="majorBidi" w:hAnsiTheme="majorBidi" w:cstheme="majorBidi"/>
                <w:sz w:val="16"/>
                <w:szCs w:val="16"/>
              </w:rPr>
            </w:pPr>
          </w:p>
        </w:tc>
        <w:tc>
          <w:tcPr>
            <w:tcW w:w="853" w:type="dxa"/>
            <w:tcBorders>
              <w:top w:val="single" w:sz="8" w:space="0" w:color="000001"/>
              <w:left w:val="single" w:sz="8" w:space="0" w:color="000001"/>
              <w:bottom w:val="single" w:sz="8" w:space="0" w:color="000001"/>
              <w:right w:val="single" w:sz="8" w:space="0" w:color="000001"/>
            </w:tcBorders>
            <w:shd w:val="clear" w:color="auto" w:fill="FFFFFF"/>
          </w:tcPr>
          <w:p w14:paraId="4F7A2473" w14:textId="77777777" w:rsidR="006A033B" w:rsidRDefault="006A033B" w:rsidP="00F53C43">
            <w:pPr>
              <w:suppressAutoHyphens w:val="0"/>
              <w:spacing w:line="240" w:lineRule="auto"/>
              <w:jc w:val="center"/>
            </w:pPr>
            <w:r>
              <w:rPr>
                <w:rFonts w:cstheme="majorBidi"/>
                <w:color w:val="000000" w:themeColor="text1"/>
                <w:sz w:val="16"/>
                <w:szCs w:val="16"/>
              </w:rPr>
              <w:t>188</w:t>
            </w:r>
          </w:p>
          <w:p w14:paraId="1BD53528" w14:textId="77777777" w:rsidR="006A033B" w:rsidRDefault="006A033B" w:rsidP="00F53C43">
            <w:pPr>
              <w:suppressAutoHyphens w:val="0"/>
              <w:spacing w:line="240" w:lineRule="auto"/>
              <w:jc w:val="center"/>
            </w:pPr>
            <w:r>
              <w:rPr>
                <w:rFonts w:cstheme="majorBidi"/>
                <w:color w:val="000000" w:themeColor="text1"/>
                <w:sz w:val="16"/>
                <w:szCs w:val="16"/>
              </w:rPr>
              <w:t>230</w:t>
            </w:r>
          </w:p>
          <w:p w14:paraId="5D651027" w14:textId="77777777" w:rsidR="006A033B" w:rsidRDefault="006A033B" w:rsidP="00F53C43">
            <w:pPr>
              <w:suppressAutoHyphens w:val="0"/>
              <w:spacing w:line="240" w:lineRule="auto"/>
              <w:jc w:val="center"/>
            </w:pPr>
            <w:r>
              <w:rPr>
                <w:rFonts w:cstheme="majorBidi"/>
                <w:color w:val="000000" w:themeColor="text1"/>
                <w:sz w:val="16"/>
                <w:szCs w:val="16"/>
              </w:rPr>
              <w:t>310</w:t>
            </w:r>
          </w:p>
          <w:p w14:paraId="09299318" w14:textId="77777777" w:rsidR="006A033B" w:rsidRDefault="006A033B" w:rsidP="00F53C43">
            <w:pPr>
              <w:suppressAutoHyphens w:val="0"/>
              <w:spacing w:line="240" w:lineRule="auto"/>
              <w:jc w:val="center"/>
            </w:pPr>
            <w:r>
              <w:rPr>
                <w:rFonts w:cstheme="majorBidi"/>
                <w:color w:val="000000" w:themeColor="text1"/>
                <w:sz w:val="16"/>
                <w:szCs w:val="16"/>
              </w:rPr>
              <w:t>348</w:t>
            </w:r>
          </w:p>
          <w:p w14:paraId="1AFCBAEA" w14:textId="77777777" w:rsidR="006A033B" w:rsidRDefault="006A033B" w:rsidP="00F53C43">
            <w:pPr>
              <w:suppressAutoHyphens w:val="0"/>
              <w:spacing w:line="240" w:lineRule="auto"/>
              <w:jc w:val="center"/>
            </w:pPr>
            <w:r>
              <w:rPr>
                <w:rFonts w:cstheme="majorBidi"/>
                <w:color w:val="000000" w:themeColor="text1"/>
                <w:sz w:val="16"/>
                <w:szCs w:val="16"/>
              </w:rPr>
              <w:t>376</w:t>
            </w:r>
          </w:p>
          <w:p w14:paraId="6C9B6983" w14:textId="77777777" w:rsidR="006A033B" w:rsidRDefault="006A033B" w:rsidP="00F53C43">
            <w:pPr>
              <w:suppressAutoHyphens w:val="0"/>
              <w:spacing w:line="240" w:lineRule="auto"/>
              <w:jc w:val="center"/>
            </w:pPr>
            <w:r>
              <w:rPr>
                <w:rFonts w:cstheme="majorBidi"/>
                <w:color w:val="000000" w:themeColor="text1"/>
                <w:sz w:val="16"/>
                <w:szCs w:val="16"/>
              </w:rPr>
              <w:t>377</w:t>
            </w:r>
          </w:p>
          <w:p w14:paraId="212BC3DF" w14:textId="77777777" w:rsidR="006A033B" w:rsidRDefault="006A033B" w:rsidP="00F53C43">
            <w:pPr>
              <w:suppressAutoHyphens w:val="0"/>
              <w:spacing w:line="240" w:lineRule="auto"/>
              <w:jc w:val="center"/>
            </w:pPr>
            <w:r>
              <w:rPr>
                <w:rFonts w:cstheme="majorBidi"/>
                <w:color w:val="000000" w:themeColor="text1"/>
                <w:sz w:val="16"/>
                <w:szCs w:val="16"/>
              </w:rPr>
              <w:t>384</w:t>
            </w:r>
          </w:p>
          <w:p w14:paraId="27061077" w14:textId="77777777" w:rsidR="006A033B" w:rsidRDefault="006A033B" w:rsidP="00F53C43">
            <w:pPr>
              <w:suppressAutoHyphens w:val="0"/>
              <w:spacing w:line="240" w:lineRule="auto"/>
              <w:jc w:val="center"/>
            </w:pPr>
            <w:r>
              <w:rPr>
                <w:rFonts w:cstheme="majorBidi"/>
                <w:color w:val="000000" w:themeColor="text1"/>
                <w:sz w:val="16"/>
                <w:szCs w:val="16"/>
              </w:rPr>
              <w:t>XXX</w:t>
            </w:r>
          </w:p>
          <w:p w14:paraId="2EB25F87" w14:textId="77777777" w:rsidR="006A033B" w:rsidRDefault="006A033B" w:rsidP="00F53C43">
            <w:pPr>
              <w:suppressAutoHyphens w:val="0"/>
              <w:spacing w:line="240" w:lineRule="auto"/>
              <w:jc w:val="center"/>
            </w:pPr>
            <w:r>
              <w:rPr>
                <w:rFonts w:cstheme="majorBidi"/>
                <w:color w:val="000000" w:themeColor="text1"/>
                <w:sz w:val="16"/>
                <w:szCs w:val="16"/>
              </w:rPr>
              <w:t>YYY</w:t>
            </w:r>
          </w:p>
          <w:p w14:paraId="0C077DA9" w14:textId="77777777" w:rsidR="006A033B" w:rsidRDefault="006A033B" w:rsidP="00F53C43">
            <w:pPr>
              <w:suppressAutoHyphens w:val="0"/>
              <w:spacing w:line="240" w:lineRule="auto"/>
              <w:jc w:val="center"/>
              <w:rPr>
                <w:rFonts w:cstheme="majorBidi"/>
                <w:color w:val="FF0000"/>
                <w:highlight w:val="yellow"/>
              </w:rPr>
            </w:pPr>
            <w:r>
              <w:rPr>
                <w:rFonts w:cstheme="majorBidi"/>
                <w:color w:val="FF0000"/>
                <w:sz w:val="16"/>
                <w:szCs w:val="16"/>
                <w:highlight w:val="yellow"/>
              </w:rPr>
              <w:t>ZZZ</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Pr>
          <w:p w14:paraId="166C780A" w14:textId="77777777" w:rsidR="006A033B" w:rsidRDefault="006A033B" w:rsidP="00F53C43">
            <w:pPr>
              <w:suppressAutoHyphens w:val="0"/>
              <w:spacing w:line="240" w:lineRule="auto"/>
              <w:jc w:val="center"/>
            </w:pPr>
            <w:r>
              <w:rPr>
                <w:rFonts w:cstheme="majorBidi"/>
                <w:color w:val="000000" w:themeColor="text1"/>
                <w:sz w:val="16"/>
                <w:szCs w:val="16"/>
              </w:rPr>
              <w:t>0</w:t>
            </w:r>
          </w:p>
        </w:tc>
        <w:tc>
          <w:tcPr>
            <w:tcW w:w="851" w:type="dxa"/>
            <w:tcBorders>
              <w:top w:val="single" w:sz="8" w:space="0" w:color="000001"/>
              <w:left w:val="single" w:sz="8" w:space="0" w:color="000001"/>
              <w:bottom w:val="single" w:sz="8" w:space="0" w:color="000001"/>
              <w:right w:val="single" w:sz="8" w:space="0" w:color="000001"/>
            </w:tcBorders>
            <w:shd w:val="clear" w:color="auto" w:fill="FFFFFF"/>
          </w:tcPr>
          <w:p w14:paraId="5A45E196" w14:textId="77777777" w:rsidR="006A033B" w:rsidRDefault="006A033B" w:rsidP="00F53C43">
            <w:pPr>
              <w:suppressAutoHyphens w:val="0"/>
              <w:spacing w:line="240" w:lineRule="auto"/>
              <w:jc w:val="center"/>
            </w:pPr>
            <w:r>
              <w:rPr>
                <w:rFonts w:cstheme="majorBidi"/>
                <w:color w:val="000000" w:themeColor="text1"/>
                <w:sz w:val="16"/>
                <w:szCs w:val="16"/>
              </w:rPr>
              <w:t>P903</w:t>
            </w:r>
          </w:p>
          <w:p w14:paraId="45EC1C0C" w14:textId="77777777" w:rsidR="006A033B" w:rsidRDefault="006A033B" w:rsidP="00F53C43">
            <w:pPr>
              <w:suppressAutoHyphens w:val="0"/>
              <w:spacing w:line="240" w:lineRule="auto"/>
              <w:jc w:val="center"/>
            </w:pPr>
            <w:r>
              <w:rPr>
                <w:rFonts w:cstheme="majorBidi"/>
                <w:color w:val="000000" w:themeColor="text1"/>
                <w:sz w:val="16"/>
                <w:szCs w:val="16"/>
              </w:rPr>
              <w:t>P908</w:t>
            </w:r>
          </w:p>
          <w:p w14:paraId="0DFCC90F" w14:textId="77777777" w:rsidR="006A033B" w:rsidRDefault="006A033B" w:rsidP="00F53C43">
            <w:pPr>
              <w:suppressAutoHyphens w:val="0"/>
              <w:spacing w:line="240" w:lineRule="auto"/>
              <w:jc w:val="center"/>
            </w:pPr>
            <w:r>
              <w:rPr>
                <w:rFonts w:cstheme="majorBidi"/>
                <w:color w:val="000000" w:themeColor="text1"/>
                <w:sz w:val="16"/>
                <w:szCs w:val="16"/>
              </w:rPr>
              <w:t>P909</w:t>
            </w:r>
            <w:r>
              <w:rPr>
                <w:rFonts w:cstheme="majorBidi"/>
                <w:color w:val="000000" w:themeColor="text1"/>
                <w:sz w:val="16"/>
                <w:szCs w:val="16"/>
              </w:rPr>
              <w:br/>
              <w:t>P910</w:t>
            </w:r>
            <w:r>
              <w:rPr>
                <w:rFonts w:cstheme="majorBidi"/>
                <w:color w:val="000000" w:themeColor="text1"/>
                <w:sz w:val="16"/>
                <w:szCs w:val="16"/>
              </w:rPr>
              <w:br/>
              <w:t>P911</w:t>
            </w:r>
            <w:r>
              <w:rPr>
                <w:rFonts w:cstheme="majorBidi"/>
                <w:color w:val="000000" w:themeColor="text1"/>
                <w:sz w:val="16"/>
                <w:szCs w:val="16"/>
              </w:rPr>
              <w:br/>
              <w:t>LP903</w:t>
            </w:r>
            <w:r>
              <w:rPr>
                <w:rFonts w:cstheme="majorBidi"/>
                <w:color w:val="000000" w:themeColor="text1"/>
                <w:sz w:val="16"/>
                <w:szCs w:val="16"/>
              </w:rPr>
              <w:br/>
              <w:t>LP904</w:t>
            </w:r>
            <w:r>
              <w:rPr>
                <w:rFonts w:cstheme="majorBidi"/>
                <w:color w:val="000000" w:themeColor="text1"/>
                <w:sz w:val="16"/>
                <w:szCs w:val="16"/>
              </w:rPr>
              <w:br/>
              <w:t>LP905</w:t>
            </w:r>
            <w:r>
              <w:rPr>
                <w:rFonts w:cstheme="majorBidi"/>
                <w:color w:val="000000" w:themeColor="text1"/>
                <w:sz w:val="16"/>
                <w:szCs w:val="16"/>
              </w:rPr>
              <w:br/>
              <w:t>LP906</w:t>
            </w:r>
          </w:p>
        </w:tc>
        <w:tc>
          <w:tcPr>
            <w:tcW w:w="837" w:type="dxa"/>
            <w:tcBorders>
              <w:top w:val="single" w:sz="8" w:space="0" w:color="000001"/>
              <w:left w:val="single" w:sz="8" w:space="0" w:color="000001"/>
              <w:bottom w:val="single" w:sz="8" w:space="0" w:color="000001"/>
              <w:right w:val="single" w:sz="8" w:space="0" w:color="000001"/>
            </w:tcBorders>
            <w:shd w:val="clear" w:color="auto" w:fill="FFFFFF"/>
          </w:tcPr>
          <w:p w14:paraId="35BA0FFA" w14:textId="77777777" w:rsidR="006A033B" w:rsidRDefault="006A033B" w:rsidP="00F53C43">
            <w:pPr>
              <w:suppressAutoHyphens w:val="0"/>
              <w:spacing w:line="240" w:lineRule="auto"/>
              <w:rPr>
                <w:rFonts w:asciiTheme="majorBidi" w:hAnsiTheme="majorBidi" w:cstheme="majorBidi"/>
                <w:sz w:val="16"/>
                <w:szCs w:val="16"/>
              </w:rPr>
            </w:pPr>
          </w:p>
        </w:tc>
      </w:tr>
      <w:tr w:rsidR="006A033B" w14:paraId="67C6A539" w14:textId="77777777" w:rsidTr="00F53C43">
        <w:trPr>
          <w:trHeight w:val="2175"/>
        </w:trPr>
        <w:tc>
          <w:tcPr>
            <w:tcW w:w="1054" w:type="dxa"/>
            <w:tcBorders>
              <w:top w:val="single" w:sz="8" w:space="0" w:color="000001"/>
              <w:left w:val="single" w:sz="8" w:space="0" w:color="000001"/>
              <w:bottom w:val="single" w:sz="8" w:space="0" w:color="000001"/>
              <w:right w:val="single" w:sz="8" w:space="0" w:color="000001"/>
            </w:tcBorders>
            <w:shd w:val="clear" w:color="auto" w:fill="FFFFFF"/>
          </w:tcPr>
          <w:p w14:paraId="31FFF5DC" w14:textId="77777777" w:rsidR="006A033B" w:rsidRDefault="006A033B" w:rsidP="00F53C43">
            <w:pPr>
              <w:suppressAutoHyphens w:val="0"/>
              <w:spacing w:line="240" w:lineRule="auto"/>
              <w:jc w:val="center"/>
            </w:pPr>
            <w:r>
              <w:rPr>
                <w:rFonts w:cstheme="majorBidi"/>
                <w:color w:val="000000" w:themeColor="text1"/>
                <w:sz w:val="16"/>
                <w:szCs w:val="16"/>
              </w:rPr>
              <w:t>XXXY</w:t>
            </w:r>
          </w:p>
        </w:tc>
        <w:tc>
          <w:tcPr>
            <w:tcW w:w="2535" w:type="dxa"/>
            <w:tcBorders>
              <w:top w:val="single" w:sz="8" w:space="0" w:color="000001"/>
              <w:left w:val="single" w:sz="8" w:space="0" w:color="000001"/>
              <w:bottom w:val="single" w:sz="8" w:space="0" w:color="000001"/>
              <w:right w:val="single" w:sz="8" w:space="0" w:color="000001"/>
            </w:tcBorders>
            <w:shd w:val="clear" w:color="auto" w:fill="FFFFFF"/>
          </w:tcPr>
          <w:p w14:paraId="4387CC51" w14:textId="77777777" w:rsidR="006A033B" w:rsidRDefault="006A033B" w:rsidP="00F53C43">
            <w:pPr>
              <w:suppressAutoHyphens w:val="0"/>
              <w:spacing w:line="240" w:lineRule="auto"/>
              <w:ind w:left="-143" w:right="-146"/>
            </w:pPr>
            <w:r>
              <w:rPr>
                <w:rFonts w:eastAsiaTheme="minorEastAsia" w:cstheme="majorBidi"/>
                <w:color w:val="000000" w:themeColor="dark1"/>
                <w:sz w:val="16"/>
                <w:szCs w:val="16"/>
              </w:rPr>
              <w:t>SODIUM ION BATTERIES USING ORGANIC ELECTROLYTE CONTAINED IN EQUIPMENT or SODIUM ION BATTERIES USING ORGANIC ELECTROLYTE PACKED WITH EQUIPMENT</w:t>
            </w:r>
          </w:p>
        </w:tc>
        <w:tc>
          <w:tcPr>
            <w:tcW w:w="687" w:type="dxa"/>
            <w:tcBorders>
              <w:top w:val="single" w:sz="8" w:space="0" w:color="000001"/>
              <w:left w:val="single" w:sz="8" w:space="0" w:color="000001"/>
              <w:bottom w:val="single" w:sz="8" w:space="0" w:color="000001"/>
              <w:right w:val="single" w:sz="8" w:space="0" w:color="000001"/>
            </w:tcBorders>
            <w:shd w:val="clear" w:color="auto" w:fill="FFFFFF"/>
          </w:tcPr>
          <w:p w14:paraId="4BB61FA2" w14:textId="77777777" w:rsidR="006A033B" w:rsidRDefault="006A033B" w:rsidP="00F53C43">
            <w:pPr>
              <w:suppressAutoHyphens w:val="0"/>
              <w:spacing w:line="240" w:lineRule="auto"/>
              <w:ind w:left="-137" w:right="-143"/>
              <w:jc w:val="center"/>
            </w:pPr>
            <w:r>
              <w:rPr>
                <w:rFonts w:cstheme="majorBidi"/>
                <w:color w:val="000000" w:themeColor="text1"/>
                <w:sz w:val="16"/>
                <w:szCs w:val="16"/>
              </w:rPr>
              <w:t>9</w:t>
            </w:r>
          </w:p>
        </w:tc>
        <w:tc>
          <w:tcPr>
            <w:tcW w:w="849" w:type="dxa"/>
            <w:tcBorders>
              <w:top w:val="single" w:sz="8" w:space="0" w:color="000001"/>
              <w:left w:val="single" w:sz="8" w:space="0" w:color="000001"/>
              <w:bottom w:val="single" w:sz="8" w:space="0" w:color="000001"/>
              <w:right w:val="single" w:sz="8" w:space="0" w:color="000001"/>
            </w:tcBorders>
            <w:shd w:val="clear" w:color="auto" w:fill="FFFFFF"/>
          </w:tcPr>
          <w:p w14:paraId="24E86C62" w14:textId="77777777" w:rsidR="006A033B" w:rsidRDefault="006A033B" w:rsidP="00F53C43">
            <w:pPr>
              <w:suppressAutoHyphens w:val="0"/>
              <w:spacing w:line="240" w:lineRule="auto"/>
              <w:rPr>
                <w:rFonts w:asciiTheme="majorBidi" w:hAnsiTheme="majorBidi" w:cstheme="majorBidi"/>
                <w:sz w:val="16"/>
                <w:szCs w:val="16"/>
              </w:rPr>
            </w:pPr>
          </w:p>
        </w:tc>
        <w:tc>
          <w:tcPr>
            <w:tcW w:w="702" w:type="dxa"/>
            <w:tcBorders>
              <w:top w:val="single" w:sz="8" w:space="0" w:color="000001"/>
              <w:left w:val="single" w:sz="8" w:space="0" w:color="000001"/>
              <w:bottom w:val="single" w:sz="8" w:space="0" w:color="000001"/>
              <w:right w:val="single" w:sz="8" w:space="0" w:color="000001"/>
            </w:tcBorders>
            <w:shd w:val="clear" w:color="auto" w:fill="FFFFFF"/>
          </w:tcPr>
          <w:p w14:paraId="0392BFFA" w14:textId="77777777" w:rsidR="006A033B" w:rsidRDefault="006A033B" w:rsidP="00F53C43">
            <w:pPr>
              <w:suppressAutoHyphens w:val="0"/>
              <w:spacing w:line="240" w:lineRule="auto"/>
              <w:rPr>
                <w:rFonts w:asciiTheme="majorBidi" w:hAnsiTheme="majorBidi" w:cstheme="majorBidi"/>
                <w:sz w:val="16"/>
                <w:szCs w:val="16"/>
              </w:rPr>
            </w:pPr>
          </w:p>
        </w:tc>
        <w:tc>
          <w:tcPr>
            <w:tcW w:w="853" w:type="dxa"/>
            <w:tcBorders>
              <w:top w:val="single" w:sz="8" w:space="0" w:color="000001"/>
              <w:left w:val="single" w:sz="8" w:space="0" w:color="000001"/>
              <w:bottom w:val="single" w:sz="8" w:space="0" w:color="000001"/>
              <w:right w:val="single" w:sz="8" w:space="0" w:color="000001"/>
            </w:tcBorders>
            <w:shd w:val="clear" w:color="auto" w:fill="FFFFFF"/>
          </w:tcPr>
          <w:p w14:paraId="2FDB7B2A" w14:textId="77777777" w:rsidR="006A033B" w:rsidRDefault="006A033B" w:rsidP="00F53C43">
            <w:pPr>
              <w:suppressAutoHyphens w:val="0"/>
              <w:spacing w:line="240" w:lineRule="auto"/>
              <w:jc w:val="center"/>
            </w:pPr>
            <w:r>
              <w:rPr>
                <w:rFonts w:cstheme="majorBidi"/>
                <w:color w:val="000000" w:themeColor="text1"/>
                <w:sz w:val="16"/>
                <w:szCs w:val="16"/>
              </w:rPr>
              <w:t>188</w:t>
            </w:r>
          </w:p>
          <w:p w14:paraId="1210CD95" w14:textId="77777777" w:rsidR="006A033B" w:rsidRDefault="006A033B" w:rsidP="00F53C43">
            <w:pPr>
              <w:suppressAutoHyphens w:val="0"/>
              <w:spacing w:line="240" w:lineRule="auto"/>
              <w:jc w:val="center"/>
            </w:pPr>
            <w:r>
              <w:rPr>
                <w:rFonts w:cstheme="majorBidi"/>
                <w:color w:val="000000" w:themeColor="text1"/>
                <w:sz w:val="16"/>
                <w:szCs w:val="16"/>
              </w:rPr>
              <w:t>230</w:t>
            </w:r>
          </w:p>
          <w:p w14:paraId="29AB8002" w14:textId="77777777" w:rsidR="006A033B" w:rsidRDefault="006A033B" w:rsidP="00F53C43">
            <w:pPr>
              <w:suppressAutoHyphens w:val="0"/>
              <w:spacing w:line="240" w:lineRule="auto"/>
              <w:jc w:val="center"/>
            </w:pPr>
            <w:r>
              <w:rPr>
                <w:rFonts w:cstheme="majorBidi"/>
                <w:color w:val="000000" w:themeColor="text1"/>
                <w:sz w:val="16"/>
                <w:szCs w:val="16"/>
              </w:rPr>
              <w:t>310</w:t>
            </w:r>
          </w:p>
          <w:p w14:paraId="335A8D04" w14:textId="77777777" w:rsidR="006A033B" w:rsidRDefault="006A033B" w:rsidP="00F53C43">
            <w:pPr>
              <w:suppressAutoHyphens w:val="0"/>
              <w:spacing w:line="240" w:lineRule="auto"/>
              <w:jc w:val="center"/>
            </w:pPr>
            <w:r>
              <w:rPr>
                <w:rFonts w:cstheme="majorBidi"/>
                <w:color w:val="000000" w:themeColor="text1"/>
                <w:sz w:val="16"/>
                <w:szCs w:val="16"/>
              </w:rPr>
              <w:t>348</w:t>
            </w:r>
          </w:p>
          <w:p w14:paraId="33E0A673" w14:textId="77777777" w:rsidR="006A033B" w:rsidRDefault="006A033B" w:rsidP="00F53C43">
            <w:pPr>
              <w:suppressAutoHyphens w:val="0"/>
              <w:spacing w:line="240" w:lineRule="auto"/>
              <w:jc w:val="center"/>
            </w:pPr>
            <w:r>
              <w:rPr>
                <w:rFonts w:cstheme="majorBidi"/>
                <w:color w:val="000000" w:themeColor="text1"/>
                <w:sz w:val="16"/>
                <w:szCs w:val="16"/>
              </w:rPr>
              <w:t>360</w:t>
            </w:r>
          </w:p>
          <w:p w14:paraId="4C5E5501" w14:textId="77777777" w:rsidR="006A033B" w:rsidRDefault="006A033B" w:rsidP="00F53C43">
            <w:pPr>
              <w:suppressAutoHyphens w:val="0"/>
              <w:spacing w:line="240" w:lineRule="auto"/>
              <w:jc w:val="center"/>
            </w:pPr>
            <w:r>
              <w:rPr>
                <w:rFonts w:cstheme="majorBidi"/>
                <w:color w:val="000000" w:themeColor="text1"/>
                <w:sz w:val="16"/>
                <w:szCs w:val="16"/>
              </w:rPr>
              <w:t>376</w:t>
            </w:r>
          </w:p>
          <w:p w14:paraId="59EFEF4A" w14:textId="77777777" w:rsidR="006A033B" w:rsidRDefault="006A033B" w:rsidP="00F53C43">
            <w:pPr>
              <w:suppressAutoHyphens w:val="0"/>
              <w:spacing w:line="240" w:lineRule="auto"/>
              <w:jc w:val="center"/>
            </w:pPr>
            <w:r>
              <w:rPr>
                <w:rFonts w:cstheme="majorBidi"/>
                <w:color w:val="000000" w:themeColor="text1"/>
                <w:sz w:val="16"/>
                <w:szCs w:val="16"/>
              </w:rPr>
              <w:t>377</w:t>
            </w:r>
          </w:p>
          <w:p w14:paraId="64BBC13F" w14:textId="77777777" w:rsidR="006A033B" w:rsidRDefault="006A033B" w:rsidP="00F53C43">
            <w:pPr>
              <w:suppressAutoHyphens w:val="0"/>
              <w:spacing w:line="240" w:lineRule="auto"/>
              <w:jc w:val="center"/>
            </w:pPr>
            <w:r>
              <w:rPr>
                <w:rFonts w:cstheme="majorBidi"/>
                <w:color w:val="000000" w:themeColor="text1"/>
                <w:sz w:val="16"/>
                <w:szCs w:val="16"/>
              </w:rPr>
              <w:t>384</w:t>
            </w:r>
          </w:p>
          <w:p w14:paraId="11F18626" w14:textId="77777777" w:rsidR="006A033B" w:rsidRDefault="006A033B" w:rsidP="00F53C43">
            <w:pPr>
              <w:suppressAutoHyphens w:val="0"/>
              <w:spacing w:line="240" w:lineRule="auto"/>
              <w:jc w:val="center"/>
            </w:pPr>
            <w:r>
              <w:rPr>
                <w:rFonts w:cstheme="majorBidi"/>
                <w:color w:val="000000" w:themeColor="text1"/>
                <w:sz w:val="16"/>
                <w:szCs w:val="16"/>
              </w:rPr>
              <w:t>XXX</w:t>
            </w:r>
          </w:p>
          <w:p w14:paraId="79B427BC" w14:textId="77777777" w:rsidR="006A033B" w:rsidRDefault="006A033B" w:rsidP="00F53C43">
            <w:pPr>
              <w:suppressAutoHyphens w:val="0"/>
              <w:spacing w:line="240" w:lineRule="auto"/>
              <w:jc w:val="center"/>
            </w:pPr>
            <w:r>
              <w:rPr>
                <w:rFonts w:cstheme="majorBidi"/>
                <w:color w:val="000000" w:themeColor="text1"/>
                <w:sz w:val="16"/>
                <w:szCs w:val="16"/>
              </w:rPr>
              <w:t>YYY</w:t>
            </w:r>
          </w:p>
          <w:p w14:paraId="0F653F87" w14:textId="77777777" w:rsidR="006A033B" w:rsidRDefault="006A033B" w:rsidP="00F53C43">
            <w:pPr>
              <w:suppressAutoHyphens w:val="0"/>
              <w:spacing w:line="240" w:lineRule="auto"/>
              <w:jc w:val="center"/>
              <w:rPr>
                <w:rFonts w:cstheme="majorBidi"/>
                <w:color w:val="FF0000"/>
                <w:highlight w:val="yellow"/>
              </w:rPr>
            </w:pPr>
            <w:r>
              <w:rPr>
                <w:rFonts w:cstheme="majorBidi"/>
                <w:color w:val="FF0000"/>
                <w:sz w:val="16"/>
                <w:szCs w:val="16"/>
                <w:highlight w:val="yellow"/>
              </w:rPr>
              <w:t>ZZZ</w:t>
            </w:r>
          </w:p>
        </w:tc>
        <w:tc>
          <w:tcPr>
            <w:tcW w:w="992" w:type="dxa"/>
            <w:tcBorders>
              <w:top w:val="single" w:sz="8" w:space="0" w:color="000001"/>
              <w:left w:val="single" w:sz="8" w:space="0" w:color="000001"/>
              <w:bottom w:val="single" w:sz="8" w:space="0" w:color="000001"/>
              <w:right w:val="single" w:sz="8" w:space="0" w:color="000001"/>
            </w:tcBorders>
            <w:shd w:val="clear" w:color="auto" w:fill="FFFFFF"/>
          </w:tcPr>
          <w:p w14:paraId="3A42C4A2" w14:textId="77777777" w:rsidR="006A033B" w:rsidRDefault="006A033B" w:rsidP="00F53C43">
            <w:pPr>
              <w:suppressAutoHyphens w:val="0"/>
              <w:spacing w:line="240" w:lineRule="auto"/>
              <w:jc w:val="center"/>
            </w:pPr>
            <w:r>
              <w:rPr>
                <w:rFonts w:cstheme="majorBidi"/>
                <w:color w:val="000000" w:themeColor="text1"/>
                <w:sz w:val="16"/>
                <w:szCs w:val="16"/>
              </w:rPr>
              <w:t>0</w:t>
            </w:r>
          </w:p>
        </w:tc>
        <w:tc>
          <w:tcPr>
            <w:tcW w:w="851" w:type="dxa"/>
            <w:tcBorders>
              <w:top w:val="single" w:sz="8" w:space="0" w:color="000001"/>
              <w:left w:val="single" w:sz="8" w:space="0" w:color="000001"/>
              <w:bottom w:val="single" w:sz="8" w:space="0" w:color="000001"/>
              <w:right w:val="single" w:sz="8" w:space="0" w:color="000001"/>
            </w:tcBorders>
            <w:shd w:val="clear" w:color="auto" w:fill="FFFFFF"/>
          </w:tcPr>
          <w:p w14:paraId="2E7E433C" w14:textId="77777777" w:rsidR="006A033B" w:rsidRDefault="006A033B" w:rsidP="00F53C43">
            <w:pPr>
              <w:suppressAutoHyphens w:val="0"/>
              <w:spacing w:line="240" w:lineRule="auto"/>
              <w:jc w:val="center"/>
            </w:pPr>
            <w:r>
              <w:rPr>
                <w:rFonts w:cstheme="majorBidi"/>
                <w:color w:val="000000" w:themeColor="text1"/>
                <w:sz w:val="16"/>
                <w:szCs w:val="16"/>
              </w:rPr>
              <w:t>P903</w:t>
            </w:r>
          </w:p>
          <w:p w14:paraId="3CE61A1B" w14:textId="77777777" w:rsidR="006A033B" w:rsidRDefault="006A033B" w:rsidP="00F53C43">
            <w:pPr>
              <w:suppressAutoHyphens w:val="0"/>
              <w:spacing w:line="240" w:lineRule="auto"/>
              <w:jc w:val="center"/>
            </w:pPr>
            <w:r>
              <w:rPr>
                <w:rFonts w:cstheme="majorBidi"/>
                <w:color w:val="000000" w:themeColor="text1"/>
                <w:sz w:val="16"/>
                <w:szCs w:val="16"/>
              </w:rPr>
              <w:t>P908</w:t>
            </w:r>
          </w:p>
          <w:p w14:paraId="62845852" w14:textId="77777777" w:rsidR="006A033B" w:rsidRDefault="006A033B" w:rsidP="00F53C43">
            <w:pPr>
              <w:suppressAutoHyphens w:val="0"/>
              <w:spacing w:line="240" w:lineRule="auto"/>
              <w:jc w:val="center"/>
            </w:pPr>
            <w:r>
              <w:rPr>
                <w:rFonts w:cstheme="majorBidi"/>
                <w:color w:val="000000" w:themeColor="text1"/>
                <w:sz w:val="16"/>
                <w:szCs w:val="16"/>
              </w:rPr>
              <w:t>P909</w:t>
            </w:r>
            <w:r>
              <w:rPr>
                <w:rFonts w:cstheme="majorBidi"/>
                <w:color w:val="000000" w:themeColor="text1"/>
                <w:sz w:val="16"/>
                <w:szCs w:val="16"/>
              </w:rPr>
              <w:br/>
              <w:t>P910</w:t>
            </w:r>
            <w:r>
              <w:rPr>
                <w:rFonts w:cstheme="majorBidi"/>
                <w:color w:val="000000" w:themeColor="text1"/>
                <w:sz w:val="16"/>
                <w:szCs w:val="16"/>
              </w:rPr>
              <w:br/>
              <w:t>P911</w:t>
            </w:r>
            <w:r>
              <w:rPr>
                <w:rFonts w:cstheme="majorBidi"/>
                <w:color w:val="000000" w:themeColor="text1"/>
                <w:sz w:val="16"/>
                <w:szCs w:val="16"/>
              </w:rPr>
              <w:br/>
              <w:t>LP903</w:t>
            </w:r>
            <w:r>
              <w:rPr>
                <w:rFonts w:cstheme="majorBidi"/>
                <w:color w:val="000000" w:themeColor="text1"/>
                <w:sz w:val="16"/>
                <w:szCs w:val="16"/>
              </w:rPr>
              <w:br/>
              <w:t>LP904</w:t>
            </w:r>
            <w:r>
              <w:rPr>
                <w:rFonts w:cstheme="majorBidi"/>
                <w:color w:val="000000" w:themeColor="text1"/>
                <w:sz w:val="16"/>
                <w:szCs w:val="16"/>
              </w:rPr>
              <w:br/>
              <w:t>LP905</w:t>
            </w:r>
            <w:r>
              <w:rPr>
                <w:rFonts w:cstheme="majorBidi"/>
                <w:color w:val="000000" w:themeColor="text1"/>
                <w:sz w:val="16"/>
                <w:szCs w:val="16"/>
              </w:rPr>
              <w:br/>
              <w:t>LP906</w:t>
            </w:r>
          </w:p>
        </w:tc>
        <w:tc>
          <w:tcPr>
            <w:tcW w:w="837" w:type="dxa"/>
            <w:tcBorders>
              <w:top w:val="single" w:sz="8" w:space="0" w:color="000001"/>
              <w:left w:val="single" w:sz="8" w:space="0" w:color="000001"/>
              <w:bottom w:val="single" w:sz="8" w:space="0" w:color="000001"/>
              <w:right w:val="single" w:sz="8" w:space="0" w:color="000001"/>
            </w:tcBorders>
            <w:shd w:val="clear" w:color="auto" w:fill="FFFFFF"/>
          </w:tcPr>
          <w:p w14:paraId="0A3D2BD1" w14:textId="77777777" w:rsidR="006A033B" w:rsidRDefault="006A033B" w:rsidP="00F53C43">
            <w:pPr>
              <w:suppressAutoHyphens w:val="0"/>
              <w:spacing w:line="240" w:lineRule="auto"/>
              <w:rPr>
                <w:rFonts w:asciiTheme="majorBidi" w:hAnsiTheme="majorBidi" w:cstheme="majorBidi"/>
                <w:sz w:val="16"/>
                <w:szCs w:val="16"/>
              </w:rPr>
            </w:pPr>
          </w:p>
        </w:tc>
      </w:tr>
    </w:tbl>
    <w:p w14:paraId="4ABD73AB" w14:textId="77777777" w:rsidR="006A033B" w:rsidRDefault="006A033B" w:rsidP="006A033B">
      <w:pPr>
        <w:pStyle w:val="H1G"/>
      </w:pPr>
      <w:r>
        <w:lastRenderedPageBreak/>
        <w:tab/>
      </w:r>
      <w:r>
        <w:tab/>
        <w:t>Proposal 3</w:t>
      </w:r>
    </w:p>
    <w:p w14:paraId="610B398A" w14:textId="77777777" w:rsidR="006A033B" w:rsidRDefault="006A033B" w:rsidP="006A033B">
      <w:pPr>
        <w:pStyle w:val="SingleTxtG"/>
      </w:pPr>
      <w:r>
        <w:t>24.</w:t>
      </w:r>
      <w:r>
        <w:tab/>
        <w:t>In Chapter 2.9, add a new 2.9.5 as follows:</w:t>
      </w:r>
    </w:p>
    <w:p w14:paraId="06AB5BD9" w14:textId="77777777" w:rsidR="006A033B" w:rsidRDefault="006A033B" w:rsidP="006A033B">
      <w:pPr>
        <w:pStyle w:val="SingleTxtG"/>
      </w:pPr>
      <w:r>
        <w:rPr>
          <w:highlight w:val="yellow"/>
          <w:u w:val="single"/>
        </w:rPr>
        <w:t>“2.9.5</w:t>
      </w:r>
      <w:r>
        <w:rPr>
          <w:highlight w:val="yellow"/>
          <w:u w:val="single"/>
        </w:rPr>
        <w:tab/>
        <w:t xml:space="preserve"> </w:t>
      </w:r>
      <w:r>
        <w:rPr>
          <w:b/>
          <w:bCs/>
          <w:color w:val="FF0000"/>
          <w:highlight w:val="yellow"/>
          <w:u w:val="single"/>
        </w:rPr>
        <w:t>Sodium Ion batteries using organic electrolyte</w:t>
      </w:r>
    </w:p>
    <w:p w14:paraId="76EF38D8" w14:textId="50E06AA0" w:rsidR="006A033B" w:rsidRDefault="006A033B" w:rsidP="00E03CFB">
      <w:pPr>
        <w:pStyle w:val="Corpsdetexte"/>
        <w:ind w:left="1134" w:right="1134"/>
        <w:jc w:val="both"/>
        <w:rPr>
          <w:color w:val="FF0000"/>
        </w:rPr>
      </w:pPr>
      <w:r>
        <w:rPr>
          <w:color w:val="FF0000"/>
          <w:highlight w:val="yellow"/>
          <w:u w:val="single"/>
        </w:rPr>
        <w:t>Cells and batteries, cells and batteries contained in equipment, or cells and batteries packed with equipment containing sodium ion, which are a rechargeable electrochemical system where the positive and negative electrode are both intercalation or insertion compounds, constructed with no metallic sodium (or sodium alloy) in either electrode and using an organic non aqueous compound as electrolyte, shall be assigned to UN Nos. XXXX or XXXY as appropriate.</w:t>
      </w:r>
    </w:p>
    <w:p w14:paraId="5264AC55" w14:textId="36565401" w:rsidR="006A033B" w:rsidRDefault="006A033B" w:rsidP="00E03CFB">
      <w:pPr>
        <w:pStyle w:val="Corpsdetexte"/>
        <w:ind w:left="1134" w:right="1134"/>
        <w:jc w:val="both"/>
        <w:rPr>
          <w:highlight w:val="yellow"/>
        </w:rPr>
      </w:pPr>
      <w:r>
        <w:rPr>
          <w:i/>
          <w:iCs/>
          <w:color w:val="FF0000"/>
          <w:highlight w:val="yellow"/>
          <w:u w:val="single"/>
        </w:rPr>
        <w:t>NOTE1: intercalated sodium exists in an ionic or quasi-atomic form in the lattice of the electrode material</w:t>
      </w:r>
      <w:r w:rsidR="00DC7265">
        <w:rPr>
          <w:i/>
          <w:iCs/>
          <w:color w:val="FF0000"/>
          <w:highlight w:val="yellow"/>
          <w:u w:val="single"/>
        </w:rPr>
        <w:t>.</w:t>
      </w:r>
    </w:p>
    <w:p w14:paraId="7B340813" w14:textId="21BA5E0D" w:rsidR="006A033B" w:rsidRDefault="006A033B" w:rsidP="00E03CFB">
      <w:pPr>
        <w:pStyle w:val="SingleTxtG"/>
        <w:rPr>
          <w:highlight w:val="yellow"/>
        </w:rPr>
      </w:pPr>
      <w:r w:rsidRPr="00965CBC">
        <w:rPr>
          <w:i/>
          <w:iCs/>
          <w:color w:val="FF0000"/>
          <w:highlight w:val="yellow"/>
          <w:u w:val="single"/>
        </w:rPr>
        <w:t>[</w:t>
      </w:r>
      <w:r>
        <w:rPr>
          <w:b/>
          <w:bCs/>
          <w:i/>
          <w:iCs/>
          <w:color w:val="FF0000"/>
          <w:highlight w:val="yellow"/>
          <w:u w:val="single"/>
        </w:rPr>
        <w:t>NOTE2</w:t>
      </w:r>
      <w:r>
        <w:rPr>
          <w:i/>
          <w:iCs/>
          <w:color w:val="FF0000"/>
          <w:highlight w:val="yellow"/>
          <w:u w:val="single"/>
        </w:rPr>
        <w:t>: In these regulations the words ‘sodium ion cells or batteries’ refer to sodium ion using organic electrolyte cells or batteries.]</w:t>
      </w:r>
      <w:r w:rsidR="00B9531A" w:rsidRPr="00B9531A">
        <w:rPr>
          <w:i/>
          <w:iCs/>
          <w:color w:val="FF0000"/>
          <w:highlight w:val="yellow"/>
          <w:u w:val="single"/>
        </w:rPr>
        <w:t xml:space="preserve"> </w:t>
      </w:r>
      <w:r w:rsidR="00B9531A">
        <w:rPr>
          <w:i/>
          <w:iCs/>
          <w:color w:val="FF0000"/>
          <w:highlight w:val="yellow"/>
          <w:u w:val="single"/>
        </w:rPr>
        <w:t>”</w:t>
      </w:r>
    </w:p>
    <w:p w14:paraId="1626C0E2" w14:textId="77777777" w:rsidR="006A033B" w:rsidRDefault="006A033B" w:rsidP="006A033B">
      <w:pPr>
        <w:pStyle w:val="SingleTxtG"/>
        <w:ind w:left="567" w:firstLine="567"/>
      </w:pPr>
      <w:r>
        <w:rPr>
          <w:u w:val="single"/>
        </w:rPr>
        <w:t>They may be transported under these entries if they meet the following provisions:</w:t>
      </w:r>
    </w:p>
    <w:p w14:paraId="67C25ADE" w14:textId="77777777" w:rsidR="006A033B" w:rsidRDefault="006A033B" w:rsidP="006A033B">
      <w:pPr>
        <w:pStyle w:val="SingleTxtG"/>
        <w:ind w:left="1701" w:hanging="567"/>
      </w:pPr>
      <w:r>
        <w:rPr>
          <w:u w:val="single"/>
        </w:rPr>
        <w:t xml:space="preserve">(a) </w:t>
      </w:r>
      <w:r>
        <w:rPr>
          <w:u w:val="single"/>
        </w:rPr>
        <w:tab/>
        <w:t xml:space="preserve">Each cell or battery is of the type proved to meet the requirements of applicable tests of the Manual of Tests and Criteria, part III, sub-section 38.3. </w:t>
      </w:r>
    </w:p>
    <w:p w14:paraId="2624DC67" w14:textId="77777777" w:rsidR="006A033B" w:rsidRDefault="006A033B" w:rsidP="006A033B">
      <w:pPr>
        <w:pStyle w:val="SingleTxtG"/>
        <w:ind w:left="1701" w:hanging="567"/>
      </w:pPr>
      <w:bookmarkStart w:id="0" w:name="_Hlk36464698"/>
      <w:bookmarkEnd w:id="0"/>
      <w:r>
        <w:rPr>
          <w:u w:val="single"/>
        </w:rPr>
        <w:t>(b)</w:t>
      </w:r>
      <w:r>
        <w:rPr>
          <w:u w:val="single"/>
        </w:rPr>
        <w:tab/>
        <w:t xml:space="preserve"> Each cell and battery incorporates a safety venting device or is designed to preclude a violent rupture under conditions normally encountered during transport;</w:t>
      </w:r>
    </w:p>
    <w:p w14:paraId="6F282884" w14:textId="77777777" w:rsidR="006A033B" w:rsidRDefault="006A033B" w:rsidP="006A033B">
      <w:pPr>
        <w:pStyle w:val="SingleTxtG"/>
        <w:ind w:left="1701" w:hanging="567"/>
      </w:pPr>
      <w:r>
        <w:rPr>
          <w:u w:val="single"/>
        </w:rPr>
        <w:t>(c)</w:t>
      </w:r>
      <w:r>
        <w:rPr>
          <w:u w:val="single"/>
        </w:rPr>
        <w:tab/>
        <w:t>Each cell and battery is equipped with an effective means of preventing external short circuits;</w:t>
      </w:r>
    </w:p>
    <w:p w14:paraId="72A74CA2" w14:textId="77777777" w:rsidR="006A033B" w:rsidRDefault="006A033B" w:rsidP="006A033B">
      <w:pPr>
        <w:pStyle w:val="SingleTxtG"/>
        <w:ind w:left="1701" w:hanging="567"/>
      </w:pPr>
      <w:r>
        <w:rPr>
          <w:u w:val="single"/>
        </w:rPr>
        <w:t>(d)</w:t>
      </w:r>
      <w:r>
        <w:rPr>
          <w:u w:val="single"/>
        </w:rPr>
        <w:tab/>
        <w:t>Each battery containing cells or a series of cells connected in parallel is equipped with effective means as necessary to prevent dangerous reverse current flow (e.g., diodes, fuses, etc.);</w:t>
      </w:r>
    </w:p>
    <w:p w14:paraId="1733C649" w14:textId="77777777" w:rsidR="006A033B" w:rsidRDefault="006A033B" w:rsidP="006A033B">
      <w:pPr>
        <w:pStyle w:val="SingleTxtG"/>
        <w:ind w:left="1701" w:hanging="567"/>
      </w:pPr>
      <w:r>
        <w:rPr>
          <w:u w:val="single"/>
        </w:rPr>
        <w:t>(e)</w:t>
      </w:r>
      <w:r>
        <w:rPr>
          <w:u w:val="single"/>
        </w:rPr>
        <w:tab/>
      </w:r>
      <w:r>
        <w:rPr>
          <w:color w:val="FF0000"/>
          <w:highlight w:val="yellow"/>
          <w:u w:val="single"/>
        </w:rPr>
        <w:t xml:space="preserve">Cells and batteries shall be manufactured under a quality management program as prescribed under 2.9.4 (e) </w:t>
      </w:r>
      <w:proofErr w:type="spellStart"/>
      <w:r>
        <w:rPr>
          <w:color w:val="FF0000"/>
          <w:highlight w:val="yellow"/>
          <w:u w:val="single"/>
        </w:rPr>
        <w:t>i</w:t>
      </w:r>
      <w:proofErr w:type="spellEnd"/>
      <w:r>
        <w:rPr>
          <w:color w:val="FF0000"/>
          <w:highlight w:val="yellow"/>
          <w:u w:val="single"/>
        </w:rPr>
        <w:t xml:space="preserve"> to ix</w:t>
      </w:r>
    </w:p>
    <w:p w14:paraId="384A937F" w14:textId="77777777" w:rsidR="006A033B" w:rsidRDefault="006A033B" w:rsidP="006A033B">
      <w:pPr>
        <w:pStyle w:val="SingleTxtG"/>
        <w:ind w:left="1701" w:hanging="567"/>
      </w:pPr>
      <w:r>
        <w:rPr>
          <w:u w:val="single"/>
        </w:rPr>
        <w:t>(f)</w:t>
      </w:r>
      <w:r>
        <w:rPr>
          <w:u w:val="single"/>
        </w:rPr>
        <w:tab/>
        <w:t>Manufacturers and subsequent distributors of cells or batteries shall make available the test summary as specified in the Manual of Tests and Criteria, Part III, sub-section 38.3, paragraph 38.3.5</w:t>
      </w:r>
      <w:r>
        <w:t>.”</w:t>
      </w:r>
    </w:p>
    <w:p w14:paraId="200932B9" w14:textId="045A0169" w:rsidR="006A033B" w:rsidRDefault="006A033B" w:rsidP="006A033B">
      <w:pPr>
        <w:pStyle w:val="H1G"/>
      </w:pPr>
      <w:r>
        <w:tab/>
      </w:r>
      <w:r w:rsidR="00E03CFB">
        <w:tab/>
      </w:r>
      <w:r w:rsidR="00E03CFB">
        <w:tab/>
      </w:r>
      <w:r>
        <w:t>Consequential amendments for proposals 2 and 3</w:t>
      </w:r>
    </w:p>
    <w:p w14:paraId="1BEBB6E8" w14:textId="77777777" w:rsidR="006A033B" w:rsidRDefault="006A033B" w:rsidP="006A033B">
      <w:pPr>
        <w:pStyle w:val="SingleTxtG"/>
      </w:pPr>
      <w:r>
        <w:t>25.</w:t>
      </w:r>
      <w:r>
        <w:tab/>
        <w:t>Following the adoption of the two new entries related to sodium ion batteries, consequential amendments would be necessary to Chapter 2.9, some special provisions in Chapter 3.3, packing instructions in section 4.1.4 and the Manual of Tests and Criteria section 38.3 concerning testing.</w:t>
      </w:r>
    </w:p>
    <w:p w14:paraId="3CD491A3" w14:textId="77777777" w:rsidR="006A033B" w:rsidRDefault="006A033B" w:rsidP="006A033B">
      <w:pPr>
        <w:pStyle w:val="H23G"/>
      </w:pPr>
      <w:r>
        <w:tab/>
      </w:r>
      <w:r>
        <w:tab/>
        <w:t>Amendments to part 2</w:t>
      </w:r>
    </w:p>
    <w:p w14:paraId="41E3EC43" w14:textId="77777777" w:rsidR="006A033B" w:rsidRDefault="006A033B" w:rsidP="006A033B">
      <w:pPr>
        <w:pStyle w:val="SingleTxtG"/>
      </w:pPr>
      <w:r>
        <w:t>26.</w:t>
      </w:r>
      <w:r>
        <w:tab/>
        <w:t>In 2.9.2, Assignment to Class 9, after the sentence for AMMONIUM NITRATE BASED FERTILIZERS add the following:</w:t>
      </w:r>
    </w:p>
    <w:p w14:paraId="5FEB9C35" w14:textId="77777777" w:rsidR="006A033B" w:rsidRDefault="006A033B" w:rsidP="006A033B">
      <w:pPr>
        <w:pStyle w:val="SingleTxtG"/>
        <w:ind w:left="1701"/>
      </w:pPr>
      <w:r>
        <w:rPr>
          <w:u w:val="single"/>
        </w:rPr>
        <w:t>“XXXX</w:t>
      </w:r>
      <w:r>
        <w:rPr>
          <w:u w:val="single"/>
        </w:rPr>
        <w:tab/>
        <w:t>SODIUM ION BATTERIES USING ORGANIC ELECTROLYTE</w:t>
      </w:r>
    </w:p>
    <w:p w14:paraId="6CD47D3C" w14:textId="77777777" w:rsidR="006A033B" w:rsidRDefault="006A033B" w:rsidP="006A033B">
      <w:pPr>
        <w:pStyle w:val="SingleTxtG"/>
        <w:ind w:left="1701"/>
      </w:pPr>
      <w:r>
        <w:rPr>
          <w:u w:val="single"/>
        </w:rPr>
        <w:t>XXXY</w:t>
      </w:r>
      <w:r>
        <w:rPr>
          <w:u w:val="single"/>
        </w:rPr>
        <w:tab/>
        <w:t>SODIUM ION BATTERIES USING ORGANIC ELECTROLYTE CONTAINED IN EQUIPMENT or SODIUM ION BATTERIES USING ORGANIC ELECTROLYTE PACKED WITH EQUIPMENT”</w:t>
      </w:r>
    </w:p>
    <w:p w14:paraId="2ED55ACA" w14:textId="77777777" w:rsidR="006A033B" w:rsidRDefault="006A033B" w:rsidP="006A033B">
      <w:pPr>
        <w:pStyle w:val="H23G"/>
      </w:pPr>
      <w:r>
        <w:tab/>
      </w:r>
      <w:r>
        <w:tab/>
        <w:t>Amendments to special provisions</w:t>
      </w:r>
    </w:p>
    <w:p w14:paraId="4A08B1C0" w14:textId="77777777" w:rsidR="006A033B" w:rsidRDefault="006A033B" w:rsidP="006A033B">
      <w:pPr>
        <w:pStyle w:val="SingleTxtG"/>
      </w:pPr>
      <w:r>
        <w:t>27.</w:t>
      </w:r>
      <w:r>
        <w:tab/>
        <w:t>In Chapter 3.3, amend the special provisions in 3.3.1 as follows:</w:t>
      </w:r>
    </w:p>
    <w:p w14:paraId="4A97FFB2" w14:textId="77777777" w:rsidR="006A033B" w:rsidRDefault="006A033B" w:rsidP="00E03CFB">
      <w:pPr>
        <w:pStyle w:val="SingleTxtG"/>
        <w:ind w:left="1701"/>
      </w:pPr>
      <w:r>
        <w:t>188</w:t>
      </w:r>
      <w:r>
        <w:tab/>
        <w:t>“(a)</w:t>
      </w:r>
      <w:r>
        <w:tab/>
        <w:t xml:space="preserve">For a lithium metal or lithium alloy cell, the lithium content is not more than 1 g, and for a lithium ion </w:t>
      </w:r>
      <w:r>
        <w:rPr>
          <w:u w:val="single"/>
        </w:rPr>
        <w:t xml:space="preserve">or sodium ion </w:t>
      </w:r>
      <w:bookmarkStart w:id="1" w:name="__DdeLink__3436_1212131612"/>
      <w:r w:rsidRPr="00965CBC">
        <w:rPr>
          <w:highlight w:val="cyan"/>
          <w:u w:val="single"/>
        </w:rPr>
        <w:t>[using organic electrolyte]</w:t>
      </w:r>
      <w:r>
        <w:rPr>
          <w:u w:val="single"/>
        </w:rPr>
        <w:t xml:space="preserve"> </w:t>
      </w:r>
      <w:bookmarkEnd w:id="1"/>
      <w:r>
        <w:t xml:space="preserve">cell, the Watt-hour rating is not more than 20 </w:t>
      </w:r>
      <w:proofErr w:type="spellStart"/>
      <w:r>
        <w:t>Wh</w:t>
      </w:r>
      <w:proofErr w:type="spellEnd"/>
      <w:r>
        <w:t>”</w:t>
      </w:r>
    </w:p>
    <w:p w14:paraId="44392D8D" w14:textId="4B2BD31A" w:rsidR="006A033B" w:rsidRDefault="006A033B" w:rsidP="006A033B">
      <w:pPr>
        <w:pStyle w:val="SingleTxtG"/>
        <w:ind w:left="1701"/>
      </w:pPr>
      <w:r>
        <w:lastRenderedPageBreak/>
        <w:t>“(b)</w:t>
      </w:r>
      <w:r>
        <w:tab/>
        <w:t xml:space="preserve">For a lithium metal or lithium alloy battery the aggregate lithium content is not more than 2 g, and for a lithium ion </w:t>
      </w:r>
      <w:r>
        <w:rPr>
          <w:u w:val="single"/>
        </w:rPr>
        <w:t xml:space="preserve">or sodium ion </w:t>
      </w:r>
      <w:r>
        <w:t xml:space="preserve">battery, the Watt-hour rating is not more than 100 Wh. Lithium ion </w:t>
      </w:r>
      <w:r>
        <w:rPr>
          <w:u w:val="single"/>
        </w:rPr>
        <w:t xml:space="preserve">and sodium ion </w:t>
      </w:r>
      <w:r w:rsidRPr="00965CBC">
        <w:rPr>
          <w:highlight w:val="cyan"/>
          <w:u w:val="single"/>
        </w:rPr>
        <w:t>[using organic electrolyte]</w:t>
      </w:r>
      <w:r>
        <w:rPr>
          <w:u w:val="single"/>
        </w:rPr>
        <w:t xml:space="preserve"> </w:t>
      </w:r>
      <w:r>
        <w:t xml:space="preserve">batteries subject to this provision shall be marked with the Watt-hour rating on the outside case, except </w:t>
      </w:r>
      <w:r>
        <w:rPr>
          <w:strike/>
        </w:rPr>
        <w:t>those</w:t>
      </w:r>
      <w:r>
        <w:t xml:space="preserve"> </w:t>
      </w:r>
      <w:r>
        <w:rPr>
          <w:u w:val="single"/>
        </w:rPr>
        <w:t xml:space="preserve">lithium ion batteries </w:t>
      </w:r>
      <w:r>
        <w:t>manufactured before 1 January 2009;”</w:t>
      </w:r>
    </w:p>
    <w:p w14:paraId="6095448D" w14:textId="77777777" w:rsidR="006A033B" w:rsidRDefault="006A033B" w:rsidP="00E03CFB">
      <w:pPr>
        <w:pStyle w:val="SingleTxtG"/>
        <w:ind w:left="1701"/>
      </w:pPr>
      <w:r>
        <w:rPr>
          <w:b/>
          <w:i/>
          <w:iCs/>
        </w:rPr>
        <w:t>COMMENT</w:t>
      </w:r>
      <w:r>
        <w:rPr>
          <w:i/>
          <w:iCs/>
        </w:rPr>
        <w:t xml:space="preserve"> – Sodium ion batteries were not commercially manufactured prior to 2009 so it is not necessary to specify a date after which the requirement for the Watt-hour rating applies.</w:t>
      </w:r>
    </w:p>
    <w:p w14:paraId="5973B641" w14:textId="6B4E73EB" w:rsidR="006A033B" w:rsidRDefault="006A033B" w:rsidP="006A033B">
      <w:pPr>
        <w:pStyle w:val="SingleTxtG"/>
        <w:ind w:left="1701"/>
      </w:pPr>
      <w:r>
        <w:t>“(c)</w:t>
      </w:r>
      <w:r>
        <w:tab/>
        <w:t xml:space="preserve">Each </w:t>
      </w:r>
      <w:r>
        <w:rPr>
          <w:u w:val="single"/>
        </w:rPr>
        <w:t>lithium</w:t>
      </w:r>
      <w:r>
        <w:t xml:space="preserve"> cell or battery meets the provisions of 2.9.4</w:t>
      </w:r>
      <w:r>
        <w:rPr>
          <w:b/>
          <w:bCs/>
          <w:i/>
          <w:iCs/>
        </w:rPr>
        <w:t xml:space="preserve"> </w:t>
      </w:r>
      <w:r>
        <w:t xml:space="preserve">(a), (e), (f) if applicable and (g) </w:t>
      </w:r>
      <w:r>
        <w:rPr>
          <w:u w:val="single"/>
        </w:rPr>
        <w:t xml:space="preserve">or for sodium ion </w:t>
      </w:r>
      <w:r w:rsidRPr="00965CBC">
        <w:rPr>
          <w:highlight w:val="cyan"/>
          <w:u w:val="single"/>
        </w:rPr>
        <w:t>[using organic electrolyte]</w:t>
      </w:r>
      <w:r>
        <w:rPr>
          <w:u w:val="single"/>
        </w:rPr>
        <w:t xml:space="preserve"> cells or batteries, the requirements of 2.9.5 (a), (e) and (f);</w:t>
      </w:r>
      <w:r>
        <w:t>”</w:t>
      </w:r>
    </w:p>
    <w:p w14:paraId="4723BE12" w14:textId="5CE88100" w:rsidR="006A033B" w:rsidRDefault="006A033B" w:rsidP="006A033B">
      <w:pPr>
        <w:pStyle w:val="SingleTxtG"/>
        <w:ind w:left="1701"/>
      </w:pPr>
      <w:r>
        <w:t>“(f)</w:t>
      </w:r>
      <w:r>
        <w:tab/>
      </w:r>
      <w:r>
        <w:rPr>
          <w:lang w:eastAsia="en-GB"/>
        </w:rPr>
        <w:t xml:space="preserve">Each package shall be marked with the </w:t>
      </w:r>
      <w:r>
        <w:t xml:space="preserve">appropriate lithium </w:t>
      </w:r>
      <w:r>
        <w:rPr>
          <w:u w:val="single"/>
        </w:rPr>
        <w:t xml:space="preserve">or sodium ion </w:t>
      </w:r>
      <w:r w:rsidRPr="00965CBC">
        <w:rPr>
          <w:highlight w:val="cyan"/>
          <w:u w:val="single"/>
        </w:rPr>
        <w:t>[using organic electrolyte]</w:t>
      </w:r>
      <w:r>
        <w:t xml:space="preserve"> battery mark, as illustrated at 5.2.1.9;”</w:t>
      </w:r>
    </w:p>
    <w:p w14:paraId="413F85F1" w14:textId="77777777" w:rsidR="006A033B" w:rsidRDefault="006A033B" w:rsidP="006A033B">
      <w:pPr>
        <w:spacing w:after="200"/>
        <w:ind w:left="1134" w:firstLine="567"/>
        <w:jc w:val="both"/>
      </w:pPr>
      <w:r>
        <w:t>In the penultimate sentence of the final paragraph of (f) amend as:</w:t>
      </w:r>
    </w:p>
    <w:p w14:paraId="3D023A61" w14:textId="3BC1F8A8" w:rsidR="006A033B" w:rsidRDefault="006A033B" w:rsidP="006A033B">
      <w:pPr>
        <w:pStyle w:val="SingleTxtG"/>
        <w:ind w:left="1701"/>
      </w:pPr>
      <w:r>
        <w:rPr>
          <w:lang w:eastAsia="en-GB" w:bidi="en-GB"/>
        </w:rPr>
        <w:t xml:space="preserve">“When packages are placed in an overpack, the lithium </w:t>
      </w:r>
      <w:r>
        <w:rPr>
          <w:u w:val="single"/>
        </w:rPr>
        <w:t xml:space="preserve">or sodium ion </w:t>
      </w:r>
      <w:r w:rsidRPr="00965CBC">
        <w:rPr>
          <w:highlight w:val="cyan"/>
          <w:u w:val="single"/>
        </w:rPr>
        <w:t>[using organic electrolyte]</w:t>
      </w:r>
      <w:r>
        <w:rPr>
          <w:lang w:eastAsia="en-GB" w:bidi="en-GB"/>
        </w:rPr>
        <w:t xml:space="preserve"> battery mark shall either be clearly visible or be reproduced on the outside of the overpack and the overpack shall be marked with the word “OVERPACK”.</w:t>
      </w:r>
    </w:p>
    <w:p w14:paraId="19866E30" w14:textId="77777777" w:rsidR="006A033B" w:rsidRDefault="006A033B" w:rsidP="006A033B">
      <w:pPr>
        <w:spacing w:after="200"/>
        <w:ind w:left="1134" w:firstLine="567"/>
        <w:jc w:val="both"/>
      </w:pPr>
      <w:r>
        <w:t>In the third to last paragraph of special provision 188, amend to read as follows:</w:t>
      </w:r>
    </w:p>
    <w:p w14:paraId="553DDDD6" w14:textId="77777777" w:rsidR="006A033B" w:rsidRDefault="006A033B" w:rsidP="006A033B">
      <w:pPr>
        <w:pStyle w:val="SingleTxtG"/>
        <w:ind w:left="1701"/>
      </w:pPr>
      <w:r>
        <w:t xml:space="preserve">“As used above and elsewhere in these Regulations, “lithium content” means the mass of lithium in the anode of a lithium metal or lithium alloy cell. </w:t>
      </w:r>
      <w:r>
        <w:rPr>
          <w:lang w:eastAsia="en-GB"/>
        </w:rPr>
        <w:t xml:space="preserve">As used in this special provision </w:t>
      </w:r>
      <w:r>
        <w:t>“</w:t>
      </w:r>
      <w:r>
        <w:rPr>
          <w:iCs/>
        </w:rPr>
        <w:t>equipment”</w:t>
      </w:r>
      <w:r>
        <w:t xml:space="preserve"> means apparatus for which the </w:t>
      </w:r>
      <w:r>
        <w:rPr>
          <w:strike/>
        </w:rPr>
        <w:t>lithium</w:t>
      </w:r>
      <w:r>
        <w:t xml:space="preserve"> cells or batteries will provide electrical power for its operation.”</w:t>
      </w:r>
    </w:p>
    <w:p w14:paraId="41742FA3" w14:textId="77777777" w:rsidR="006A033B" w:rsidRDefault="006A033B" w:rsidP="00E03CFB">
      <w:pPr>
        <w:pStyle w:val="SingleTxtG"/>
        <w:ind w:left="1701"/>
      </w:pPr>
      <w:r>
        <w:rPr>
          <w:b/>
          <w:bCs/>
          <w:i/>
          <w:iCs/>
        </w:rPr>
        <w:t>COMMENT</w:t>
      </w:r>
      <w:r>
        <w:rPr>
          <w:i/>
          <w:iCs/>
        </w:rPr>
        <w:t>– ‘Lithium’ is deleted as the definition of “equipment” in this special provision applies to both lithium and sodium ion batteries.</w:t>
      </w:r>
    </w:p>
    <w:p w14:paraId="21545257" w14:textId="5EA9BEA1" w:rsidR="006A033B" w:rsidRDefault="006A033B" w:rsidP="006A033B">
      <w:pPr>
        <w:pStyle w:val="SingleTxtG"/>
        <w:ind w:left="1701" w:hanging="567"/>
      </w:pPr>
      <w:r>
        <w:t>230</w:t>
      </w:r>
      <w:r>
        <w:tab/>
        <w:t xml:space="preserve">“Lithium cells and batteries may be transported under this entry if they meet the provisions of 2.9.4. </w:t>
      </w:r>
      <w:r>
        <w:rPr>
          <w:u w:val="single"/>
        </w:rPr>
        <w:t xml:space="preserve">Sodium ion </w:t>
      </w:r>
      <w:r w:rsidRPr="00731E73">
        <w:rPr>
          <w:highlight w:val="cyan"/>
          <w:u w:val="single"/>
        </w:rPr>
        <w:t>[using organic electrolyte]</w:t>
      </w:r>
      <w:r>
        <w:rPr>
          <w:u w:val="single"/>
        </w:rPr>
        <w:t xml:space="preserve"> cells and batteries may be transported under this entry if they meet the provisions of 2.9.5.”</w:t>
      </w:r>
    </w:p>
    <w:p w14:paraId="3AE78A14" w14:textId="31031A54" w:rsidR="006A033B" w:rsidRDefault="006A033B" w:rsidP="006A033B">
      <w:pPr>
        <w:pStyle w:val="SingleTxtG"/>
        <w:ind w:left="1701" w:hanging="567"/>
      </w:pPr>
      <w:r>
        <w:t>296</w:t>
      </w:r>
      <w:r>
        <w:tab/>
        <w:t>“d)</w:t>
      </w:r>
      <w:r>
        <w:tab/>
        <w:t xml:space="preserve">Electric storage batteries (Class 8) and lithium </w:t>
      </w:r>
      <w:r>
        <w:rPr>
          <w:u w:val="single"/>
        </w:rPr>
        <w:t xml:space="preserve">or sodium ion </w:t>
      </w:r>
      <w:r w:rsidRPr="00731E73">
        <w:rPr>
          <w:highlight w:val="cyan"/>
          <w:u w:val="single"/>
        </w:rPr>
        <w:t>[using organic electrolyte]</w:t>
      </w:r>
      <w:r>
        <w:rPr>
          <w:u w:val="single"/>
        </w:rPr>
        <w:t xml:space="preserve"> </w:t>
      </w:r>
      <w:r>
        <w:t>batteries (Class 9);”</w:t>
      </w:r>
    </w:p>
    <w:p w14:paraId="5FA8FD20" w14:textId="5F15DB4F" w:rsidR="006A033B" w:rsidRDefault="006A033B" w:rsidP="006A033B">
      <w:pPr>
        <w:pStyle w:val="SingleTxtG"/>
        <w:ind w:left="1701" w:hanging="567"/>
      </w:pPr>
      <w:r>
        <w:t>328</w:t>
      </w:r>
      <w:r>
        <w:tab/>
        <w:t>In the last paragraph: “When lithium metal,</w:t>
      </w:r>
      <w:r>
        <w:rPr>
          <w:u w:val="single"/>
        </w:rPr>
        <w:t xml:space="preserve"> </w:t>
      </w:r>
      <w:r>
        <w:rPr>
          <w:strike/>
        </w:rPr>
        <w:t>or</w:t>
      </w:r>
      <w:r>
        <w:rPr>
          <w:u w:val="single"/>
        </w:rPr>
        <w:t xml:space="preserve"> </w:t>
      </w:r>
      <w:r>
        <w:t>lithium</w:t>
      </w:r>
      <w:r>
        <w:rPr>
          <w:strike/>
        </w:rPr>
        <w:t>,</w:t>
      </w:r>
      <w:r>
        <w:t xml:space="preserve"> ion </w:t>
      </w:r>
      <w:r>
        <w:rPr>
          <w:u w:val="single"/>
        </w:rPr>
        <w:t xml:space="preserve">or sodium ion </w:t>
      </w:r>
      <w:r w:rsidRPr="00731E73">
        <w:rPr>
          <w:highlight w:val="cyan"/>
          <w:u w:val="single"/>
        </w:rPr>
        <w:t>[using organic electrolyte]</w:t>
      </w:r>
      <w:r>
        <w:t xml:space="preserve"> batteries are contained in the fuel cell system, the consignment shall be consigned under this entry and under the appropriate entries for UN 3091 LITHIUM METAL BATTERIES CONTAINED IN EQUIPMENT</w:t>
      </w:r>
      <w:r>
        <w:rPr>
          <w:u w:val="single"/>
        </w:rPr>
        <w:t>,</w:t>
      </w:r>
      <w:r>
        <w:rPr>
          <w:strike/>
        </w:rPr>
        <w:t xml:space="preserve"> or </w:t>
      </w:r>
      <w:r>
        <w:t xml:space="preserve">UN 3481 LITHIUM ION BATTERIES </w:t>
      </w:r>
      <w:bookmarkStart w:id="2" w:name="__DdeLink__3597_2114037937"/>
      <w:r>
        <w:t>CONTAINED IN EQUIPMENT</w:t>
      </w:r>
      <w:bookmarkEnd w:id="2"/>
      <w:r>
        <w:t xml:space="preserve"> or UN </w:t>
      </w:r>
      <w:r>
        <w:rPr>
          <w:u w:val="single"/>
        </w:rPr>
        <w:t xml:space="preserve">XXXY SODIUM ION BATTERIES USING ORGANIC ELECTROLYTE CONTAINED IN EQUIPMENT </w:t>
      </w:r>
      <w:r>
        <w:t>”</w:t>
      </w:r>
    </w:p>
    <w:p w14:paraId="7103A8FC" w14:textId="6040D1AD" w:rsidR="006A033B" w:rsidRDefault="006A033B" w:rsidP="006A033B">
      <w:pPr>
        <w:pStyle w:val="SingleTxtG"/>
        <w:ind w:left="1701" w:hanging="567"/>
      </w:pPr>
      <w:r>
        <w:rPr>
          <w:bCs/>
        </w:rPr>
        <w:t>360</w:t>
      </w:r>
      <w:r>
        <w:rPr>
          <w:bCs/>
        </w:rPr>
        <w:tab/>
        <w:t xml:space="preserve">In the first sentence: “Vehicles only powered by lithium metal batteries, </w:t>
      </w:r>
      <w:r>
        <w:rPr>
          <w:bCs/>
          <w:strike/>
        </w:rPr>
        <w:t xml:space="preserve">or </w:t>
      </w:r>
      <w:r>
        <w:rPr>
          <w:bCs/>
        </w:rPr>
        <w:t xml:space="preserve">lithium ion batteries or </w:t>
      </w:r>
      <w:r>
        <w:rPr>
          <w:bCs/>
          <w:u w:val="single"/>
        </w:rPr>
        <w:t xml:space="preserve">sodium ion </w:t>
      </w:r>
      <w:r w:rsidRPr="00E94F06">
        <w:rPr>
          <w:bCs/>
          <w:highlight w:val="cyan"/>
          <w:u w:val="single"/>
        </w:rPr>
        <w:t>[using organic electrolyte]</w:t>
      </w:r>
      <w:r>
        <w:rPr>
          <w:bCs/>
        </w:rPr>
        <w:t xml:space="preserve"> batteries shall be classified under the entry UN 3171 battery</w:t>
      </w:r>
      <w:r>
        <w:rPr>
          <w:bCs/>
        </w:rPr>
        <w:noBreakHyphen/>
        <w:t>powered vehicle.”</w:t>
      </w:r>
    </w:p>
    <w:p w14:paraId="3476CF1F" w14:textId="31B8D541" w:rsidR="006A033B" w:rsidRDefault="006A033B" w:rsidP="006A033B">
      <w:pPr>
        <w:pStyle w:val="SingleTxtG"/>
        <w:ind w:left="1701" w:hanging="567"/>
      </w:pPr>
      <w:r>
        <w:t>348</w:t>
      </w:r>
      <w:r>
        <w:tab/>
        <w:t>“</w:t>
      </w:r>
      <w:r>
        <w:rPr>
          <w:u w:val="single"/>
        </w:rPr>
        <w:t>Lithium</w:t>
      </w:r>
      <w:r>
        <w:t xml:space="preserve"> </w:t>
      </w:r>
      <w:proofErr w:type="spellStart"/>
      <w:r>
        <w:rPr>
          <w:strike/>
          <w:spacing w:val="-2"/>
        </w:rPr>
        <w:t>B</w:t>
      </w:r>
      <w:r>
        <w:rPr>
          <w:spacing w:val="-2"/>
          <w:u w:val="single"/>
        </w:rPr>
        <w:t>b</w:t>
      </w:r>
      <w:r>
        <w:rPr>
          <w:spacing w:val="-2"/>
        </w:rPr>
        <w:t>atteries</w:t>
      </w:r>
      <w:proofErr w:type="spellEnd"/>
      <w:r>
        <w:rPr>
          <w:spacing w:val="-2"/>
        </w:rPr>
        <w:t xml:space="preserve"> manufactured after 31 December 2011 </w:t>
      </w:r>
      <w:r>
        <w:rPr>
          <w:spacing w:val="-2"/>
          <w:u w:val="single"/>
        </w:rPr>
        <w:t xml:space="preserve">and sodium ion </w:t>
      </w:r>
      <w:r w:rsidRPr="00E94F06">
        <w:rPr>
          <w:spacing w:val="-2"/>
          <w:highlight w:val="cyan"/>
          <w:u w:val="single"/>
        </w:rPr>
        <w:t>[using organic electrolyte]</w:t>
      </w:r>
      <w:r>
        <w:rPr>
          <w:spacing w:val="-2"/>
          <w:u w:val="single"/>
        </w:rPr>
        <w:t xml:space="preserve"> batteries manufactured after 31 December [2023/5] </w:t>
      </w:r>
      <w:r>
        <w:rPr>
          <w:spacing w:val="-2"/>
        </w:rPr>
        <w:t>shall be marked with the Watt</w:t>
      </w:r>
      <w:r>
        <w:rPr>
          <w:spacing w:val="-2"/>
        </w:rPr>
        <w:noBreakHyphen/>
        <w:t>hour rating on the outside case.”</w:t>
      </w:r>
    </w:p>
    <w:p w14:paraId="4CF4B09A" w14:textId="1AD9FEAD" w:rsidR="006A033B" w:rsidRDefault="006A033B" w:rsidP="006A033B">
      <w:pPr>
        <w:pStyle w:val="SingleTxtG"/>
        <w:ind w:left="1701" w:hanging="567"/>
      </w:pPr>
      <w:r>
        <w:t>376</w:t>
      </w:r>
      <w:r>
        <w:tab/>
        <w:t>“Lithium ion</w:t>
      </w:r>
      <w:r>
        <w:rPr>
          <w:u w:val="single"/>
        </w:rPr>
        <w:t xml:space="preserve"> or sodium ion </w:t>
      </w:r>
      <w:r w:rsidRPr="00E94F06">
        <w:rPr>
          <w:highlight w:val="cyan"/>
          <w:u w:val="single"/>
        </w:rPr>
        <w:t>[using organic electrolyte]</w:t>
      </w:r>
      <w:r>
        <w:t xml:space="preserve"> cells or batteries and lithium metal cells or batteries identified as being damaged or defective such that they do not conform to the type tested according to the applicable provisions of the Manual of Tests and Criteria shall comply with the requirements of this special provision.”</w:t>
      </w:r>
    </w:p>
    <w:p w14:paraId="6227E3B4" w14:textId="77777777" w:rsidR="006A033B" w:rsidRDefault="006A033B" w:rsidP="006A033B">
      <w:pPr>
        <w:tabs>
          <w:tab w:val="left" w:pos="567"/>
        </w:tabs>
        <w:spacing w:after="200"/>
        <w:jc w:val="both"/>
      </w:pPr>
      <w:r>
        <w:tab/>
      </w:r>
      <w:r>
        <w:tab/>
      </w:r>
      <w:r>
        <w:tab/>
        <w:t>In the third paragraph after the NOTE, amend to read as follows:</w:t>
      </w:r>
    </w:p>
    <w:p w14:paraId="2F574F7A" w14:textId="77777777" w:rsidR="006A033B" w:rsidRDefault="006A033B" w:rsidP="006A033B">
      <w:pPr>
        <w:pStyle w:val="SingleTxtG"/>
        <w:ind w:left="1701"/>
      </w:pPr>
      <w:r>
        <w:t>“Cells and batteries shall be transported according to the provisions applicable to UN 3090, UN 3091, UN 3480</w:t>
      </w:r>
      <w:r>
        <w:rPr>
          <w:u w:val="single"/>
        </w:rPr>
        <w:t>,</w:t>
      </w:r>
      <w:r>
        <w:t xml:space="preserve"> </w:t>
      </w:r>
      <w:r>
        <w:rPr>
          <w:strike/>
        </w:rPr>
        <w:t>and</w:t>
      </w:r>
      <w:r>
        <w:t xml:space="preserve"> UN 3481</w:t>
      </w:r>
      <w:r>
        <w:rPr>
          <w:u w:val="single"/>
        </w:rPr>
        <w:t xml:space="preserve">, or UN XXXX and UN XXXY as </w:t>
      </w:r>
      <w:r>
        <w:rPr>
          <w:u w:val="single"/>
        </w:rPr>
        <w:lastRenderedPageBreak/>
        <w:t>appropriate</w:t>
      </w:r>
      <w:r>
        <w:t>, except Special Provision 230 and as otherwise stated in this special provision.”</w:t>
      </w:r>
    </w:p>
    <w:p w14:paraId="4390C20D" w14:textId="380BE114" w:rsidR="006A033B" w:rsidRDefault="006A033B" w:rsidP="006A033B">
      <w:pPr>
        <w:pStyle w:val="SingleTxtG"/>
        <w:ind w:left="1701" w:hanging="567"/>
      </w:pPr>
      <w:r>
        <w:t>377</w:t>
      </w:r>
      <w:r>
        <w:tab/>
        <w:t>“</w:t>
      </w:r>
      <w:r>
        <w:rPr>
          <w:u w:val="single"/>
        </w:rPr>
        <w:t xml:space="preserve">Sodium ion </w:t>
      </w:r>
      <w:r w:rsidRPr="00E94F06">
        <w:rPr>
          <w:highlight w:val="cyan"/>
          <w:u w:val="single"/>
        </w:rPr>
        <w:t>[using organic electrolyte]</w:t>
      </w:r>
      <w:r>
        <w:rPr>
          <w:u w:val="single"/>
        </w:rPr>
        <w:t xml:space="preserve">, </w:t>
      </w:r>
      <w:proofErr w:type="spellStart"/>
      <w:r>
        <w:rPr>
          <w:strike/>
        </w:rPr>
        <w:t>L</w:t>
      </w:r>
      <w:r>
        <w:rPr>
          <w:u w:val="single"/>
        </w:rPr>
        <w:t>l</w:t>
      </w:r>
      <w:r>
        <w:t>ithium</w:t>
      </w:r>
      <w:proofErr w:type="spellEnd"/>
      <w:r>
        <w:t xml:space="preserve"> ion and lithium metal cells and batteries and equipment containing such cells and batteries transported for disposal or recycling, either packed together with or packed without non-lithium</w:t>
      </w:r>
      <w:r>
        <w:rPr>
          <w:u w:val="single"/>
        </w:rPr>
        <w:t xml:space="preserve"> or non-sodium </w:t>
      </w:r>
      <w:r>
        <w:t>batteries, may be packaged in accordance with packing instruction P909 of 4.1.4.1.</w:t>
      </w:r>
    </w:p>
    <w:p w14:paraId="2371588C" w14:textId="77777777" w:rsidR="006A033B" w:rsidRDefault="006A033B" w:rsidP="006A033B">
      <w:pPr>
        <w:pStyle w:val="SingleTxtG"/>
        <w:ind w:left="1701"/>
      </w:pPr>
      <w:r>
        <w:t>These cells and batteries are not subject to the requirements of section 2.9.4.</w:t>
      </w:r>
      <w:r>
        <w:rPr>
          <w:u w:val="single"/>
        </w:rPr>
        <w:t xml:space="preserve"> or 2.9.5.</w:t>
      </w:r>
      <w:r>
        <w:t xml:space="preserve">  Additional exemptions may be provided under the conditions defined by modal transport regulations.</w:t>
      </w:r>
    </w:p>
    <w:p w14:paraId="4E5EB4F2" w14:textId="77777777" w:rsidR="006A033B" w:rsidRDefault="006A033B" w:rsidP="006A033B">
      <w:pPr>
        <w:pStyle w:val="SingleTxtG"/>
        <w:ind w:left="1701"/>
      </w:pPr>
      <w:r>
        <w:t>Packages shall be marked “LITHIUM BATTERIES FOR DISPOSAL”</w:t>
      </w:r>
      <w:r>
        <w:rPr>
          <w:u w:val="single"/>
        </w:rPr>
        <w:t>, “SODIUM ION BATTERIES FOR DISPOSAL”,</w:t>
      </w:r>
      <w:r>
        <w:t xml:space="preserve"> </w:t>
      </w:r>
      <w:r>
        <w:rPr>
          <w:strike/>
        </w:rPr>
        <w:t xml:space="preserve">or </w:t>
      </w:r>
      <w:r>
        <w:t>“LITHIUM BATTERIES FOR RECYCLING”</w:t>
      </w:r>
      <w:r>
        <w:rPr>
          <w:u w:val="single"/>
        </w:rPr>
        <w:t xml:space="preserve"> or “SODIUM ION BATTERIES FOR RECYCLING”</w:t>
      </w:r>
      <w:r>
        <w:t>.</w:t>
      </w:r>
    </w:p>
    <w:p w14:paraId="225089B3" w14:textId="77777777" w:rsidR="006A033B" w:rsidRDefault="006A033B" w:rsidP="006A033B">
      <w:pPr>
        <w:pStyle w:val="H1G"/>
      </w:pPr>
      <w:r>
        <w:tab/>
      </w:r>
      <w:r>
        <w:tab/>
        <w:t>Amendments to Packing Instructions</w:t>
      </w:r>
    </w:p>
    <w:p w14:paraId="06BF4D15" w14:textId="77777777" w:rsidR="006A033B" w:rsidRDefault="006A033B" w:rsidP="006A033B">
      <w:pPr>
        <w:tabs>
          <w:tab w:val="left" w:pos="567"/>
        </w:tabs>
        <w:spacing w:after="200"/>
        <w:jc w:val="both"/>
      </w:pPr>
      <w:r>
        <w:tab/>
      </w:r>
      <w:r>
        <w:tab/>
        <w:t>28.</w:t>
      </w:r>
      <w:r>
        <w:tab/>
        <w:t>Amend the following packing instructions in 4.1.4 as follows:</w:t>
      </w:r>
    </w:p>
    <w:p w14:paraId="73FCC2D1" w14:textId="77777777" w:rsidR="006A033B" w:rsidRDefault="006A033B" w:rsidP="006A033B">
      <w:pPr>
        <w:tabs>
          <w:tab w:val="left" w:pos="567"/>
        </w:tabs>
        <w:spacing w:after="200"/>
        <w:jc w:val="both"/>
      </w:pPr>
      <w:r>
        <w:rPr>
          <w:b/>
        </w:rPr>
        <w:tab/>
      </w:r>
      <w:r>
        <w:rPr>
          <w:b/>
        </w:rPr>
        <w:tab/>
        <w:t>P903</w:t>
      </w:r>
    </w:p>
    <w:p w14:paraId="42CAC1DD" w14:textId="77777777" w:rsidR="006A033B" w:rsidRDefault="006A033B" w:rsidP="006A033B">
      <w:pPr>
        <w:tabs>
          <w:tab w:val="left" w:pos="567"/>
        </w:tabs>
        <w:spacing w:after="200"/>
        <w:jc w:val="both"/>
      </w:pPr>
      <w:r>
        <w:tab/>
      </w:r>
      <w:r>
        <w:tab/>
        <w:t>“This instruction applies to UN Nos. 3090, 3091, 3480</w:t>
      </w:r>
      <w:r>
        <w:rPr>
          <w:u w:val="single"/>
        </w:rPr>
        <w:t>,</w:t>
      </w:r>
      <w:r>
        <w:t xml:space="preserve"> </w:t>
      </w:r>
      <w:r>
        <w:rPr>
          <w:strike/>
        </w:rPr>
        <w:t xml:space="preserve">and </w:t>
      </w:r>
      <w:r>
        <w:t>3481</w:t>
      </w:r>
      <w:r>
        <w:rPr>
          <w:u w:val="single"/>
        </w:rPr>
        <w:t>, XXXX and XXXY</w:t>
      </w:r>
      <w:r>
        <w:t>.</w:t>
      </w:r>
    </w:p>
    <w:p w14:paraId="777C1186" w14:textId="77777777" w:rsidR="006A033B" w:rsidRDefault="006A033B" w:rsidP="006A033B">
      <w:pPr>
        <w:pStyle w:val="SingleTxtG"/>
      </w:pPr>
      <w:r>
        <w:t xml:space="preserve">For the purpose of this packing instruction, “equipment” means apparatus for which the </w:t>
      </w:r>
      <w:r>
        <w:rPr>
          <w:strike/>
        </w:rPr>
        <w:t>lithium</w:t>
      </w:r>
      <w:r>
        <w:t xml:space="preserve"> cells or batteries will provide electrical power for its operation.”</w:t>
      </w:r>
    </w:p>
    <w:p w14:paraId="6DB94481" w14:textId="77777777" w:rsidR="006A033B" w:rsidRDefault="006A033B" w:rsidP="006A033B">
      <w:pPr>
        <w:tabs>
          <w:tab w:val="left" w:pos="567"/>
        </w:tabs>
        <w:spacing w:after="200"/>
        <w:jc w:val="both"/>
      </w:pPr>
      <w:r>
        <w:rPr>
          <w:b/>
        </w:rPr>
        <w:tab/>
      </w:r>
      <w:r>
        <w:rPr>
          <w:b/>
        </w:rPr>
        <w:tab/>
        <w:t>P905</w:t>
      </w:r>
    </w:p>
    <w:p w14:paraId="7785E865" w14:textId="009C5B17" w:rsidR="006A033B" w:rsidRDefault="006A033B" w:rsidP="006A033B">
      <w:pPr>
        <w:pStyle w:val="SingleTxtG"/>
      </w:pPr>
      <w:r>
        <w:t>“(c)</w:t>
      </w:r>
      <w:r>
        <w:tab/>
        <w:t xml:space="preserve">Electric storage batteries (Class 8), </w:t>
      </w:r>
      <w:r>
        <w:rPr>
          <w:strike/>
        </w:rPr>
        <w:t>and</w:t>
      </w:r>
      <w:r>
        <w:t xml:space="preserve"> lithium batteries </w:t>
      </w:r>
      <w:r>
        <w:rPr>
          <w:u w:val="single"/>
        </w:rPr>
        <w:t xml:space="preserve">and sodium-ion </w:t>
      </w:r>
      <w:r w:rsidRPr="00DA5949">
        <w:rPr>
          <w:spacing w:val="-2"/>
          <w:highlight w:val="cyan"/>
          <w:u w:val="single"/>
        </w:rPr>
        <w:t>[using organic electrolyte]</w:t>
      </w:r>
      <w:r>
        <w:rPr>
          <w:u w:val="single"/>
        </w:rPr>
        <w:t xml:space="preserve"> batteries</w:t>
      </w:r>
      <w:r>
        <w:t xml:space="preserve"> (Class 9) shall be disconnected or electrically isolated and secured to prevent any spillage of liquid; and”</w:t>
      </w:r>
    </w:p>
    <w:p w14:paraId="67315B4E" w14:textId="77777777" w:rsidR="006A033B" w:rsidRDefault="006A033B" w:rsidP="006A033B">
      <w:pPr>
        <w:tabs>
          <w:tab w:val="left" w:pos="567"/>
        </w:tabs>
        <w:spacing w:after="200"/>
        <w:jc w:val="both"/>
      </w:pPr>
      <w:r>
        <w:rPr>
          <w:b/>
        </w:rPr>
        <w:tab/>
      </w:r>
      <w:r>
        <w:rPr>
          <w:b/>
        </w:rPr>
        <w:tab/>
        <w:t>P908</w:t>
      </w:r>
    </w:p>
    <w:p w14:paraId="6B88BFD6" w14:textId="77777777" w:rsidR="006A033B" w:rsidRDefault="006A033B" w:rsidP="006A033B">
      <w:pPr>
        <w:pStyle w:val="SingleTxtG"/>
      </w:pPr>
      <w:r>
        <w:t xml:space="preserve">“This instruction applies to damaged or defective </w:t>
      </w:r>
      <w:r>
        <w:rPr>
          <w:strike/>
        </w:rPr>
        <w:t>lithium ion</w:t>
      </w:r>
      <w:r>
        <w:t xml:space="preserve"> cells and batteries </w:t>
      </w:r>
      <w:r>
        <w:rPr>
          <w:strike/>
        </w:rPr>
        <w:t>and damaged or defective lithium metal cells and batteries</w:t>
      </w:r>
      <w:r>
        <w:t>, including those contained in equipment, of UN Nos. 3090, 3091, 3480</w:t>
      </w:r>
      <w:r>
        <w:rPr>
          <w:u w:val="single"/>
        </w:rPr>
        <w:t>,</w:t>
      </w:r>
      <w:r>
        <w:t xml:space="preserve"> </w:t>
      </w:r>
      <w:r>
        <w:rPr>
          <w:strike/>
        </w:rPr>
        <w:t xml:space="preserve">and </w:t>
      </w:r>
      <w:r>
        <w:t>3481</w:t>
      </w:r>
      <w:r>
        <w:rPr>
          <w:u w:val="single"/>
        </w:rPr>
        <w:t>, XXXX and XXXY</w:t>
      </w:r>
      <w:r>
        <w:t>.”</w:t>
      </w:r>
    </w:p>
    <w:p w14:paraId="78346249" w14:textId="77777777" w:rsidR="006A033B" w:rsidRDefault="006A033B" w:rsidP="006A033B">
      <w:pPr>
        <w:spacing w:before="40" w:after="120"/>
        <w:ind w:left="567" w:firstLine="567"/>
        <w:jc w:val="both"/>
      </w:pPr>
      <w:r>
        <w:rPr>
          <w:b/>
        </w:rPr>
        <w:t>P909</w:t>
      </w:r>
    </w:p>
    <w:p w14:paraId="0CAB79F1" w14:textId="77777777" w:rsidR="006A033B" w:rsidRDefault="006A033B" w:rsidP="006A033B">
      <w:pPr>
        <w:pStyle w:val="SingleTxtG"/>
      </w:pPr>
      <w:r>
        <w:t>“This packing instruction applies to UN Nos. 3090, 3091, 3480</w:t>
      </w:r>
      <w:r>
        <w:rPr>
          <w:u w:val="single"/>
        </w:rPr>
        <w:t>,</w:t>
      </w:r>
      <w:r>
        <w:t xml:space="preserve"> </w:t>
      </w:r>
      <w:r>
        <w:rPr>
          <w:strike/>
        </w:rPr>
        <w:t xml:space="preserve">and </w:t>
      </w:r>
      <w:r>
        <w:t>3481</w:t>
      </w:r>
      <w:r>
        <w:rPr>
          <w:u w:val="single"/>
        </w:rPr>
        <w:t xml:space="preserve">, XXXX and XXXY </w:t>
      </w:r>
      <w:r>
        <w:t>transported for disposal or recycling, either packed together with or packed without non-lithium</w:t>
      </w:r>
      <w:r>
        <w:rPr>
          <w:u w:val="single"/>
        </w:rPr>
        <w:t xml:space="preserve"> or non-sodium</w:t>
      </w:r>
      <w:r>
        <w:t xml:space="preserve"> batteries:”</w:t>
      </w:r>
    </w:p>
    <w:p w14:paraId="2971C9ED" w14:textId="268B8942" w:rsidR="006A033B" w:rsidRDefault="006A033B" w:rsidP="006A033B">
      <w:pPr>
        <w:pStyle w:val="SingleTxtG"/>
      </w:pPr>
      <w:r>
        <w:t>“(2)</w:t>
      </w:r>
      <w:r>
        <w:tab/>
        <w:t xml:space="preserve">However, lithium </w:t>
      </w:r>
      <w:r>
        <w:rPr>
          <w:color w:val="FF0000"/>
          <w:highlight w:val="yellow"/>
        </w:rPr>
        <w:t>ion</w:t>
      </w:r>
      <w:r>
        <w:t xml:space="preserve"> </w:t>
      </w:r>
      <w:r>
        <w:rPr>
          <w:u w:val="single"/>
        </w:rPr>
        <w:t xml:space="preserve">or </w:t>
      </w:r>
      <w:bookmarkStart w:id="3" w:name="__DdeLink__3457_58233661"/>
      <w:r>
        <w:rPr>
          <w:u w:val="single"/>
        </w:rPr>
        <w:t xml:space="preserve">sodium ion </w:t>
      </w:r>
      <w:r w:rsidRPr="00DA5949">
        <w:rPr>
          <w:highlight w:val="cyan"/>
          <w:u w:val="single"/>
        </w:rPr>
        <w:t>[using organic electrolyte]</w:t>
      </w:r>
      <w:r>
        <w:t xml:space="preserve"> </w:t>
      </w:r>
      <w:bookmarkEnd w:id="3"/>
      <w:r>
        <w:t xml:space="preserve">cells with a Watt-hour rating of not more than 20 </w:t>
      </w:r>
      <w:proofErr w:type="spellStart"/>
      <w:r>
        <w:t>Wh</w:t>
      </w:r>
      <w:proofErr w:type="spellEnd"/>
      <w:r>
        <w:t xml:space="preserve">, lithium ion </w:t>
      </w:r>
      <w:r>
        <w:rPr>
          <w:u w:val="single"/>
        </w:rPr>
        <w:t xml:space="preserve">or sodium ion </w:t>
      </w:r>
      <w:r w:rsidRPr="00DA5949">
        <w:rPr>
          <w:highlight w:val="cyan"/>
          <w:u w:val="single"/>
        </w:rPr>
        <w:t>[using organic electrolyte]</w:t>
      </w:r>
      <w:r>
        <w:rPr>
          <w:u w:val="single"/>
        </w:rPr>
        <w:t xml:space="preserve"> </w:t>
      </w:r>
      <w:r>
        <w:t xml:space="preserve">batteries with a Watt-hour rating of not more than 100 </w:t>
      </w:r>
      <w:proofErr w:type="spellStart"/>
      <w:r>
        <w:t>Wh</w:t>
      </w:r>
      <w:proofErr w:type="spellEnd"/>
      <w:r>
        <w:t>, lithium metal cells with a lithium content of not more than 1 g and lithium metal batteries with an aggregate lithium content of not more than 2 g may be packed in accordance with the following:”</w:t>
      </w:r>
    </w:p>
    <w:p w14:paraId="0D5C457E" w14:textId="77777777" w:rsidR="006A033B" w:rsidRDefault="006A033B" w:rsidP="006A033B">
      <w:pPr>
        <w:tabs>
          <w:tab w:val="left" w:pos="567"/>
        </w:tabs>
        <w:spacing w:after="200"/>
        <w:jc w:val="both"/>
      </w:pPr>
      <w:r>
        <w:rPr>
          <w:rFonts w:cs="Calibri"/>
          <w:b/>
        </w:rPr>
        <w:tab/>
      </w:r>
      <w:r>
        <w:rPr>
          <w:rFonts w:cs="Calibri"/>
          <w:b/>
        </w:rPr>
        <w:tab/>
        <w:t>P910</w:t>
      </w:r>
    </w:p>
    <w:p w14:paraId="27E2B5B0" w14:textId="77777777" w:rsidR="006A033B" w:rsidRDefault="006A033B" w:rsidP="006A033B">
      <w:pPr>
        <w:pStyle w:val="SingleTxtG"/>
      </w:pPr>
      <w:r>
        <w:rPr>
          <w:rFonts w:cs="Calibri"/>
        </w:rPr>
        <w:t>“</w:t>
      </w:r>
      <w:r>
        <w:rPr>
          <w:rFonts w:eastAsia="Calibri"/>
          <w:lang w:eastAsia="de-DE"/>
        </w:rPr>
        <w:t>This instruction applies to UN Nos. 3090, 3091, 3480</w:t>
      </w:r>
      <w:r>
        <w:rPr>
          <w:u w:val="single"/>
        </w:rPr>
        <w:t>,</w:t>
      </w:r>
      <w:r>
        <w:t xml:space="preserve"> </w:t>
      </w:r>
      <w:r>
        <w:rPr>
          <w:strike/>
        </w:rPr>
        <w:t xml:space="preserve">and </w:t>
      </w:r>
      <w:r>
        <w:t>3481</w:t>
      </w:r>
      <w:r>
        <w:rPr>
          <w:u w:val="single"/>
        </w:rPr>
        <w:t xml:space="preserve">, XXXX and XXXY </w:t>
      </w:r>
      <w:r>
        <w:rPr>
          <w:lang w:eastAsia="de-DE"/>
        </w:rPr>
        <w:t>production runs consisting of not more than 100 cells or batteries and to pre-production prototypes of cells or batteries when these prototypes are transported for testing</w:t>
      </w:r>
      <w:r>
        <w:rPr>
          <w:rFonts w:eastAsia="Calibri"/>
          <w:b/>
          <w:lang w:eastAsia="de-DE"/>
        </w:rPr>
        <w:t>.</w:t>
      </w:r>
      <w:r>
        <w:t>”</w:t>
      </w:r>
    </w:p>
    <w:p w14:paraId="3F60DC48" w14:textId="77777777" w:rsidR="006A033B" w:rsidRDefault="006A033B" w:rsidP="006A033B">
      <w:pPr>
        <w:spacing w:after="120"/>
        <w:ind w:left="567" w:firstLine="567"/>
        <w:jc w:val="both"/>
      </w:pPr>
      <w:r>
        <w:rPr>
          <w:b/>
        </w:rPr>
        <w:t>P911</w:t>
      </w:r>
    </w:p>
    <w:p w14:paraId="01EF8A9B" w14:textId="77777777" w:rsidR="006A033B" w:rsidRDefault="006A033B" w:rsidP="006A033B">
      <w:pPr>
        <w:pStyle w:val="SingleTxtG"/>
      </w:pPr>
      <w:r>
        <w:rPr>
          <w:bCs/>
        </w:rPr>
        <w:t>“</w:t>
      </w:r>
      <w:r>
        <w:t>This instruction applies to damaged or defective cells and batteries of UN Nos. 3090, 3091, 3480</w:t>
      </w:r>
      <w:r>
        <w:rPr>
          <w:u w:val="single"/>
        </w:rPr>
        <w:t>,</w:t>
      </w:r>
      <w:r>
        <w:t xml:space="preserve"> </w:t>
      </w:r>
      <w:r>
        <w:rPr>
          <w:strike/>
        </w:rPr>
        <w:t xml:space="preserve">and </w:t>
      </w:r>
      <w:r>
        <w:t>3481</w:t>
      </w:r>
      <w:r>
        <w:rPr>
          <w:u w:val="single"/>
        </w:rPr>
        <w:t xml:space="preserve">, XXXX and XXXY </w:t>
      </w:r>
      <w:r>
        <w:t>liable to rapidly disassemble, dangerously react, produce a flame or a dangerous evolution of heat or a dangerous emission of toxic, corrosive or flammable gases or vapours under normal conditions of transport.”</w:t>
      </w:r>
    </w:p>
    <w:p w14:paraId="5DA5049E" w14:textId="77777777" w:rsidR="006A033B" w:rsidRDefault="006A033B" w:rsidP="006A033B">
      <w:pPr>
        <w:spacing w:before="60" w:after="60"/>
        <w:ind w:left="567" w:firstLine="567"/>
        <w:jc w:val="both"/>
      </w:pPr>
      <w:r>
        <w:rPr>
          <w:iCs/>
        </w:rPr>
        <w:t xml:space="preserve">(2) Amend footnote </w:t>
      </w:r>
      <w:r>
        <w:rPr>
          <w:iCs/>
          <w:vertAlign w:val="superscript"/>
        </w:rPr>
        <w:t>a</w:t>
      </w:r>
      <w:r>
        <w:rPr>
          <w:iCs/>
        </w:rPr>
        <w:t>(b) as follows:</w:t>
      </w:r>
    </w:p>
    <w:p w14:paraId="1EAF16F7" w14:textId="77777777" w:rsidR="006A033B" w:rsidRDefault="006A033B" w:rsidP="006A033B">
      <w:pPr>
        <w:pStyle w:val="SingleTxtG"/>
      </w:pPr>
      <w:r>
        <w:rPr>
          <w:i/>
          <w:iCs/>
        </w:rPr>
        <w:lastRenderedPageBreak/>
        <w:t xml:space="preserve">“The list of hazards expected in case of thermal runaway for the cell or battery type, in the condition it is transported (e.g. usage of an inner packaging, state of charge (SOC), use of sufficient non-combustible, electrically non-conductive and absorbent cushioning material etc.), shall be clearly identified and quantified; the reference list of possible hazards for </w:t>
      </w:r>
      <w:r>
        <w:rPr>
          <w:i/>
          <w:iCs/>
          <w:strike/>
        </w:rPr>
        <w:t>lithium</w:t>
      </w:r>
      <w:r>
        <w:rPr>
          <w:i/>
          <w:iCs/>
        </w:rPr>
        <w:t xml:space="preserve"> cells or batteries (</w:t>
      </w:r>
      <w:r>
        <w:rPr>
          <w:i/>
          <w:iCs/>
          <w:u w:val="single"/>
        </w:rPr>
        <w:t>e.g.</w:t>
      </w:r>
      <w:r>
        <w:rPr>
          <w:i/>
          <w:iCs/>
        </w:rPr>
        <w:t xml:space="preserve"> rapidly disassemble, dangerously react, produce a flame or a dangerous evolution of heat or a dangerous emission of toxic, corrosive or flammable gases or vapours) can be used for this purpose. The quantification of these hazards shall rely on available scientific literature;”</w:t>
      </w:r>
    </w:p>
    <w:p w14:paraId="3E10CBFC" w14:textId="77777777" w:rsidR="006A033B" w:rsidRDefault="006A033B" w:rsidP="006A033B">
      <w:pPr>
        <w:tabs>
          <w:tab w:val="left" w:pos="567"/>
        </w:tabs>
        <w:spacing w:after="200"/>
        <w:jc w:val="both"/>
      </w:pPr>
      <w:r>
        <w:rPr>
          <w:rFonts w:cs="Calibri"/>
          <w:b/>
        </w:rPr>
        <w:tab/>
      </w:r>
      <w:r>
        <w:rPr>
          <w:rFonts w:cs="Calibri"/>
          <w:b/>
        </w:rPr>
        <w:tab/>
        <w:t>LP903</w:t>
      </w:r>
    </w:p>
    <w:p w14:paraId="256E5C9D" w14:textId="77777777" w:rsidR="006A033B" w:rsidRDefault="006A033B" w:rsidP="006A033B">
      <w:pPr>
        <w:tabs>
          <w:tab w:val="left" w:pos="567"/>
        </w:tabs>
        <w:spacing w:after="200"/>
        <w:jc w:val="both"/>
      </w:pPr>
      <w:r>
        <w:rPr>
          <w:color w:val="000000"/>
        </w:rPr>
        <w:tab/>
      </w:r>
      <w:r>
        <w:rPr>
          <w:color w:val="000000"/>
        </w:rPr>
        <w:tab/>
        <w:t xml:space="preserve">“This </w:t>
      </w:r>
      <w:r>
        <w:rPr>
          <w:bCs/>
          <w:color w:val="000000"/>
        </w:rPr>
        <w:t>instruction</w:t>
      </w:r>
      <w:r>
        <w:rPr>
          <w:color w:val="000000"/>
        </w:rPr>
        <w:t xml:space="preserve"> applies to UN Nos. 3090, 3091, 3480</w:t>
      </w:r>
      <w:r>
        <w:rPr>
          <w:u w:val="single"/>
        </w:rPr>
        <w:t>,</w:t>
      </w:r>
      <w:r>
        <w:t xml:space="preserve"> </w:t>
      </w:r>
      <w:r>
        <w:rPr>
          <w:strike/>
        </w:rPr>
        <w:t xml:space="preserve">and </w:t>
      </w:r>
      <w:r>
        <w:t>3481</w:t>
      </w:r>
      <w:r>
        <w:rPr>
          <w:u w:val="single"/>
        </w:rPr>
        <w:t>, XXXX and XXXY</w:t>
      </w:r>
      <w:r>
        <w:t>.”</w:t>
      </w:r>
    </w:p>
    <w:p w14:paraId="15E3B340" w14:textId="77777777" w:rsidR="006A033B" w:rsidRDefault="006A033B" w:rsidP="006A033B">
      <w:pPr>
        <w:keepNext/>
        <w:keepLines/>
        <w:tabs>
          <w:tab w:val="left" w:pos="0"/>
          <w:tab w:val="left" w:pos="673"/>
          <w:tab w:val="left" w:pos="1240"/>
          <w:tab w:val="left" w:pos="1676"/>
          <w:tab w:val="left" w:pos="2244"/>
          <w:tab w:val="left" w:pos="2810"/>
          <w:tab w:val="left" w:pos="3378"/>
          <w:tab w:val="left" w:pos="3944"/>
          <w:tab w:val="left" w:pos="4512"/>
          <w:tab w:val="left" w:pos="5040"/>
          <w:tab w:val="left" w:pos="5544"/>
          <w:tab w:val="left" w:pos="6048"/>
          <w:tab w:val="left" w:pos="6552"/>
          <w:tab w:val="left" w:pos="7056"/>
          <w:tab w:val="left" w:pos="7560"/>
          <w:tab w:val="left" w:pos="8064"/>
          <w:tab w:val="left" w:pos="8568"/>
          <w:tab w:val="left" w:pos="9072"/>
          <w:tab w:val="left" w:pos="9360"/>
        </w:tabs>
        <w:spacing w:before="30" w:after="30"/>
        <w:jc w:val="both"/>
      </w:pPr>
      <w:r>
        <w:rPr>
          <w:b/>
        </w:rPr>
        <w:tab/>
      </w:r>
      <w:r>
        <w:rPr>
          <w:b/>
        </w:rPr>
        <w:tab/>
        <w:t>LP904</w:t>
      </w:r>
    </w:p>
    <w:p w14:paraId="5B606B46" w14:textId="77777777" w:rsidR="006A033B" w:rsidRDefault="006A033B" w:rsidP="006A033B">
      <w:pPr>
        <w:pStyle w:val="SingleTxtG"/>
      </w:pPr>
      <w:r>
        <w:t>“This instruction applies to single damaged or defective batteries and to single items of equipment containing damaged or defective cells and batteries of UN Nos. 3090, 3091, 3480</w:t>
      </w:r>
      <w:r>
        <w:rPr>
          <w:u w:val="single"/>
        </w:rPr>
        <w:t>,</w:t>
      </w:r>
      <w:r>
        <w:t xml:space="preserve"> </w:t>
      </w:r>
      <w:r>
        <w:rPr>
          <w:strike/>
        </w:rPr>
        <w:t xml:space="preserve">and </w:t>
      </w:r>
      <w:r>
        <w:t>3481</w:t>
      </w:r>
      <w:r>
        <w:rPr>
          <w:u w:val="single"/>
        </w:rPr>
        <w:t>, XXXX and XXXY</w:t>
      </w:r>
      <w:r>
        <w:t>.”</w:t>
      </w:r>
    </w:p>
    <w:p w14:paraId="1D005225" w14:textId="77777777" w:rsidR="006A033B" w:rsidRDefault="006A033B" w:rsidP="006A033B">
      <w:pPr>
        <w:tabs>
          <w:tab w:val="left" w:pos="567"/>
        </w:tabs>
        <w:spacing w:after="200" w:line="240" w:lineRule="auto"/>
        <w:jc w:val="both"/>
      </w:pPr>
      <w:r>
        <w:rPr>
          <w:b/>
        </w:rPr>
        <w:tab/>
      </w:r>
      <w:r>
        <w:rPr>
          <w:b/>
        </w:rPr>
        <w:tab/>
        <w:t>LP905</w:t>
      </w:r>
    </w:p>
    <w:p w14:paraId="305C16A1" w14:textId="77777777" w:rsidR="006A033B" w:rsidRDefault="006A033B" w:rsidP="006A033B">
      <w:pPr>
        <w:pStyle w:val="SingleTxtG"/>
      </w:pPr>
      <w:r>
        <w:t>“This instruction applies to UN Nos. 3090, 3091, 3480</w:t>
      </w:r>
      <w:r>
        <w:rPr>
          <w:u w:val="single"/>
        </w:rPr>
        <w:t>,</w:t>
      </w:r>
      <w:r>
        <w:t xml:space="preserve"> </w:t>
      </w:r>
      <w:r>
        <w:rPr>
          <w:strike/>
        </w:rPr>
        <w:t xml:space="preserve">and </w:t>
      </w:r>
      <w:r>
        <w:t>3481</w:t>
      </w:r>
      <w:r>
        <w:rPr>
          <w:u w:val="single"/>
        </w:rPr>
        <w:t>, XXXX and XXXY</w:t>
      </w:r>
      <w:r>
        <w:t xml:space="preserve"> production runs consisting of not more than 100 cells or batteries and to pre-production prototypes of cells or batteries when these prototypes are transported for testing.”</w:t>
      </w:r>
    </w:p>
    <w:p w14:paraId="57DCF960" w14:textId="77777777" w:rsidR="006A033B" w:rsidRDefault="006A033B" w:rsidP="006A033B">
      <w:pPr>
        <w:tabs>
          <w:tab w:val="left" w:pos="567"/>
        </w:tabs>
        <w:spacing w:after="200" w:line="240" w:lineRule="auto"/>
        <w:jc w:val="both"/>
      </w:pPr>
      <w:r>
        <w:rPr>
          <w:b/>
        </w:rPr>
        <w:tab/>
      </w:r>
      <w:r>
        <w:rPr>
          <w:b/>
        </w:rPr>
        <w:tab/>
        <w:t>LP906</w:t>
      </w:r>
    </w:p>
    <w:p w14:paraId="5357BE60" w14:textId="77777777" w:rsidR="006A033B" w:rsidRDefault="006A033B" w:rsidP="006A033B">
      <w:pPr>
        <w:pStyle w:val="SingleTxtG"/>
      </w:pPr>
      <w:r>
        <w:t>“This instruction applies to damaged or defective batteries of UN Nos. 3090, 3091, 3480</w:t>
      </w:r>
      <w:r>
        <w:rPr>
          <w:u w:val="single"/>
        </w:rPr>
        <w:t>,</w:t>
      </w:r>
      <w:r>
        <w:t xml:space="preserve"> </w:t>
      </w:r>
      <w:r>
        <w:rPr>
          <w:strike/>
        </w:rPr>
        <w:t xml:space="preserve">and </w:t>
      </w:r>
      <w:r>
        <w:t>3481</w:t>
      </w:r>
      <w:r>
        <w:rPr>
          <w:u w:val="single"/>
        </w:rPr>
        <w:t>, XXXX and XXXY</w:t>
      </w:r>
      <w:r>
        <w:t xml:space="preserve"> liable to rapidly disassemble, dangerously react, produce a flame or a dangerous evolution of heat or a dangerous emission of toxic, corrosive or flammable gases or vapours under normal conditions of transport.”</w:t>
      </w:r>
    </w:p>
    <w:p w14:paraId="682F554B" w14:textId="77777777" w:rsidR="006A033B" w:rsidRDefault="006A033B" w:rsidP="006A033B">
      <w:pPr>
        <w:spacing w:before="60" w:after="60"/>
        <w:ind w:left="567" w:firstLine="567"/>
        <w:jc w:val="both"/>
      </w:pPr>
      <w:r>
        <w:rPr>
          <w:iCs/>
        </w:rPr>
        <w:t xml:space="preserve">(2) Amend footnote </w:t>
      </w:r>
      <w:r>
        <w:rPr>
          <w:iCs/>
          <w:vertAlign w:val="superscript"/>
        </w:rPr>
        <w:t>a</w:t>
      </w:r>
      <w:r>
        <w:rPr>
          <w:iCs/>
        </w:rPr>
        <w:t>(b) as follows:</w:t>
      </w:r>
    </w:p>
    <w:p w14:paraId="7AE81814" w14:textId="77777777" w:rsidR="006A033B" w:rsidRDefault="006A033B" w:rsidP="006A033B">
      <w:pPr>
        <w:pStyle w:val="SingleTxtG"/>
      </w:pPr>
      <w:r>
        <w:rPr>
          <w:i/>
          <w:iCs/>
        </w:rPr>
        <w:t xml:space="preserve">“The list of hazards expected in case of thermal runaway for the battery type, in the condition it is transported (e.g. usage of an inner packaging, state of charge (SOC), use of sufficient non-combustible, electrically non-conductive and absorbent cushioning material etc.), shall be clearly identified and quantified; the reference list of possible hazards for </w:t>
      </w:r>
      <w:r>
        <w:rPr>
          <w:i/>
          <w:iCs/>
          <w:strike/>
        </w:rPr>
        <w:t>lithium</w:t>
      </w:r>
      <w:r>
        <w:rPr>
          <w:i/>
          <w:iCs/>
        </w:rPr>
        <w:t xml:space="preserve"> batteries (</w:t>
      </w:r>
      <w:r>
        <w:rPr>
          <w:i/>
          <w:iCs/>
          <w:u w:val="single"/>
        </w:rPr>
        <w:t xml:space="preserve">e.g. </w:t>
      </w:r>
      <w:r>
        <w:rPr>
          <w:i/>
          <w:iCs/>
        </w:rPr>
        <w:t>rapidly disassemble, dangerously react, produce a flame or a dangerous evolution of heat or a dangerous emission of toxic, corrosive or flammable gases or vapours) can be used for this purpose. The quantification of these hazards shall rely on available scientific literature;”</w:t>
      </w:r>
    </w:p>
    <w:p w14:paraId="34F09E71" w14:textId="77777777" w:rsidR="006A033B" w:rsidRDefault="006A033B" w:rsidP="006A033B">
      <w:pPr>
        <w:tabs>
          <w:tab w:val="left" w:pos="567"/>
        </w:tabs>
        <w:spacing w:after="200"/>
        <w:jc w:val="both"/>
      </w:pPr>
      <w:r>
        <w:rPr>
          <w:b/>
        </w:rPr>
        <w:tab/>
      </w:r>
      <w:r>
        <w:rPr>
          <w:b/>
        </w:rPr>
        <w:tab/>
        <w:t>Consequential amendments to the Manual of Tests and Criteria</w:t>
      </w:r>
    </w:p>
    <w:p w14:paraId="0DFB338A" w14:textId="77777777" w:rsidR="006A033B" w:rsidRDefault="006A033B" w:rsidP="006A033B">
      <w:pPr>
        <w:pStyle w:val="SingleTxtG"/>
      </w:pPr>
      <w:r>
        <w:t>29.</w:t>
      </w:r>
      <w:r>
        <w:tab/>
        <w:t>Amend Section 38.3 as follows:</w:t>
      </w:r>
    </w:p>
    <w:p w14:paraId="78F4EA7B" w14:textId="77777777" w:rsidR="006A033B" w:rsidRDefault="006A033B" w:rsidP="006A033B">
      <w:pPr>
        <w:pStyle w:val="SingleTxtG"/>
      </w:pPr>
      <w:r>
        <w:rPr>
          <w:b/>
          <w:bCs/>
        </w:rPr>
        <w:t>“38.3</w:t>
      </w:r>
      <w:r>
        <w:rPr>
          <w:b/>
          <w:bCs/>
        </w:rPr>
        <w:tab/>
        <w:t>Lithium metal</w:t>
      </w:r>
      <w:r>
        <w:rPr>
          <w:rFonts w:cs="Lucida Sans"/>
          <w:b/>
          <w:bCs/>
          <w:u w:val="single"/>
        </w:rPr>
        <w:t>,</w:t>
      </w:r>
      <w:r>
        <w:rPr>
          <w:b/>
          <w:bCs/>
        </w:rPr>
        <w:t xml:space="preserve"> </w:t>
      </w:r>
      <w:r>
        <w:rPr>
          <w:b/>
          <w:bCs/>
          <w:strike/>
        </w:rPr>
        <w:t>and</w:t>
      </w:r>
      <w:r>
        <w:rPr>
          <w:b/>
          <w:bCs/>
        </w:rPr>
        <w:t xml:space="preserve"> lithium ion </w:t>
      </w:r>
      <w:r>
        <w:rPr>
          <w:b/>
          <w:bCs/>
          <w:u w:val="single"/>
        </w:rPr>
        <w:t>and sodium ion</w:t>
      </w:r>
      <w:r>
        <w:rPr>
          <w:b/>
          <w:bCs/>
        </w:rPr>
        <w:t xml:space="preserve"> batteries</w:t>
      </w:r>
    </w:p>
    <w:p w14:paraId="66D4571C" w14:textId="77777777" w:rsidR="006A033B" w:rsidRDefault="006A033B" w:rsidP="006A033B">
      <w:pPr>
        <w:pStyle w:val="H23G"/>
        <w:tabs>
          <w:tab w:val="right" w:pos="3119"/>
        </w:tabs>
      </w:pPr>
      <w:r>
        <w:rPr>
          <w:rFonts w:cs="Lucida Sans"/>
          <w:i/>
          <w:iCs/>
        </w:rPr>
        <w:tab/>
      </w:r>
      <w:r>
        <w:rPr>
          <w:rFonts w:cs="Lucida Sans"/>
          <w:i/>
          <w:iCs/>
        </w:rPr>
        <w:tab/>
      </w:r>
      <w:r>
        <w:rPr>
          <w:i/>
          <w:iCs/>
        </w:rPr>
        <w:t>38.3.1</w:t>
      </w:r>
      <w:r>
        <w:rPr>
          <w:i/>
          <w:iCs/>
        </w:rPr>
        <w:tab/>
        <w:t>Purpose</w:t>
      </w:r>
    </w:p>
    <w:p w14:paraId="7B1EB2B2" w14:textId="77777777" w:rsidR="006A033B" w:rsidRDefault="006A033B" w:rsidP="006A033B">
      <w:pPr>
        <w:pStyle w:val="SingleTxtG"/>
      </w:pPr>
      <w:r>
        <w:rPr>
          <w:rFonts w:cs="Lucida Sans"/>
          <w:b/>
          <w:i/>
        </w:rPr>
        <w:tab/>
      </w:r>
      <w:r>
        <w:t>This section presents the procedures to be followed for the classification of lithium metal</w:t>
      </w:r>
      <w:r>
        <w:rPr>
          <w:rFonts w:cs="Lucida Sans"/>
          <w:u w:val="single"/>
        </w:rPr>
        <w:t>,</w:t>
      </w:r>
      <w:r>
        <w:t xml:space="preserve"> </w:t>
      </w:r>
      <w:r>
        <w:rPr>
          <w:strike/>
        </w:rPr>
        <w:t>and</w:t>
      </w:r>
      <w:r>
        <w:t xml:space="preserve"> lithium ion </w:t>
      </w:r>
      <w:r>
        <w:rPr>
          <w:u w:val="single"/>
        </w:rPr>
        <w:t>and sodium ion</w:t>
      </w:r>
      <w:r>
        <w:t xml:space="preserve"> cells and batteries (see UN Nos. 3090, 3091, 3480</w:t>
      </w:r>
      <w:r>
        <w:rPr>
          <w:u w:val="single"/>
        </w:rPr>
        <w:t xml:space="preserve">, </w:t>
      </w:r>
      <w:r>
        <w:rPr>
          <w:strike/>
        </w:rPr>
        <w:t>and</w:t>
      </w:r>
      <w:r>
        <w:t>3481</w:t>
      </w:r>
      <w:r>
        <w:rPr>
          <w:u w:val="single"/>
        </w:rPr>
        <w:t>, XXXX and XXXY</w:t>
      </w:r>
      <w:r>
        <w:t>, and the applicable special provisions of Chapter 3.3 of the Model Regulations).</w:t>
      </w:r>
    </w:p>
    <w:p w14:paraId="63BA5B96" w14:textId="6BEAAED3" w:rsidR="006A033B" w:rsidRDefault="006A033B" w:rsidP="006A033B">
      <w:pPr>
        <w:pStyle w:val="SingleTxtG"/>
      </w:pPr>
      <w:r>
        <w:rPr>
          <w:b/>
          <w:bCs/>
          <w:i/>
          <w:iCs/>
          <w:u w:val="single"/>
        </w:rPr>
        <w:t>NOTE</w:t>
      </w:r>
      <w:r>
        <w:rPr>
          <w:i/>
          <w:iCs/>
          <w:u w:val="single"/>
        </w:rPr>
        <w:t xml:space="preserve">: In this section the words ‘sodium ion cells or batteries’ refer to sodium ion </w:t>
      </w:r>
      <w:r w:rsidRPr="001A650A">
        <w:rPr>
          <w:i/>
          <w:iCs/>
          <w:highlight w:val="cyan"/>
          <w:u w:val="single"/>
        </w:rPr>
        <w:t>[using organic electrolyte]</w:t>
      </w:r>
      <w:r>
        <w:rPr>
          <w:i/>
          <w:iCs/>
          <w:u w:val="single"/>
        </w:rPr>
        <w:t xml:space="preserve"> cells or batteries</w:t>
      </w:r>
      <w:r>
        <w:rPr>
          <w:u w:val="single"/>
        </w:rPr>
        <w:t>.”</w:t>
      </w:r>
    </w:p>
    <w:p w14:paraId="7F586C52" w14:textId="77777777" w:rsidR="006A033B" w:rsidRDefault="006A033B" w:rsidP="001A650A">
      <w:pPr>
        <w:pStyle w:val="H23G"/>
        <w:tabs>
          <w:tab w:val="right" w:pos="2835"/>
        </w:tabs>
      </w:pPr>
      <w:r>
        <w:rPr>
          <w:rFonts w:cs="Lucida Sans"/>
          <w:i/>
          <w:iCs/>
        </w:rPr>
        <w:tab/>
      </w:r>
      <w:r>
        <w:rPr>
          <w:rFonts w:cs="Lucida Sans"/>
          <w:i/>
          <w:iCs/>
        </w:rPr>
        <w:tab/>
      </w:r>
      <w:r>
        <w:rPr>
          <w:i/>
          <w:iCs/>
        </w:rPr>
        <w:t>“38.3.2</w:t>
      </w:r>
      <w:r>
        <w:rPr>
          <w:i/>
          <w:iCs/>
        </w:rPr>
        <w:tab/>
        <w:t>Scope</w:t>
      </w:r>
    </w:p>
    <w:p w14:paraId="7E407607" w14:textId="77777777" w:rsidR="006A033B" w:rsidRDefault="006A033B" w:rsidP="006A033B">
      <w:pPr>
        <w:pStyle w:val="SingleTxtG"/>
      </w:pPr>
      <w:r>
        <w:t>38.3.2.1</w:t>
      </w:r>
      <w:r>
        <w:tab/>
        <w:t xml:space="preserve">All </w:t>
      </w:r>
      <w:r>
        <w:rPr>
          <w:u w:val="single"/>
        </w:rPr>
        <w:t xml:space="preserve">lithium </w:t>
      </w:r>
      <w:r>
        <w:t xml:space="preserve">cell types shall be subjected to tests T.1 to T.6 and T.8. All non-rechargeable </w:t>
      </w:r>
      <w:r>
        <w:rPr>
          <w:u w:val="single"/>
        </w:rPr>
        <w:t>lithium</w:t>
      </w:r>
      <w:r>
        <w:t xml:space="preserve"> battery types, including those composed of previously tested cells, shall be subjected to tests T.1 to T.5. All rechargeable </w:t>
      </w:r>
      <w:r>
        <w:rPr>
          <w:u w:val="single"/>
        </w:rPr>
        <w:t xml:space="preserve">lithium </w:t>
      </w:r>
      <w:r>
        <w:t xml:space="preserve">battery types, including those composed of previously tested cells, shall be subjected to tests T.1 to T.5 and T.7. In addition, rechargeable single cell </w:t>
      </w:r>
      <w:r>
        <w:rPr>
          <w:u w:val="single"/>
        </w:rPr>
        <w:t>lithium</w:t>
      </w:r>
      <w:r>
        <w:t xml:space="preserve"> batteries with overcharge protection shall be subjected to test </w:t>
      </w:r>
      <w:r>
        <w:lastRenderedPageBreak/>
        <w:t xml:space="preserve">T.7. A component </w:t>
      </w:r>
      <w:r>
        <w:rPr>
          <w:u w:val="single"/>
        </w:rPr>
        <w:t xml:space="preserve">lithium </w:t>
      </w:r>
      <w:r>
        <w:t xml:space="preserve">cell that is not transported separately from the battery it is part of needs only to be tested according to tests T.6 and T.8. </w:t>
      </w:r>
      <w:r>
        <w:rPr>
          <w:rFonts w:eastAsia="Calibri"/>
        </w:rPr>
        <w:t xml:space="preserve">A component </w:t>
      </w:r>
      <w:r>
        <w:rPr>
          <w:rFonts w:eastAsia="Calibri"/>
          <w:u w:val="single"/>
        </w:rPr>
        <w:t xml:space="preserve">lithium </w:t>
      </w:r>
      <w:r>
        <w:rPr>
          <w:rFonts w:eastAsia="Calibri"/>
        </w:rPr>
        <w:t xml:space="preserve">cell that is transported separately from the battery shall be subjected to tests T.1 to T.6 and T.8. </w:t>
      </w:r>
      <w:r>
        <w:t xml:space="preserve">A </w:t>
      </w:r>
      <w:r>
        <w:rPr>
          <w:u w:val="single"/>
        </w:rPr>
        <w:t>lithium</w:t>
      </w:r>
      <w:r>
        <w:t xml:space="preserve"> cell or battery that is an integral part of the equipment it is intended to power that is transported only when installed in the equipment, may be tested in accordance with the applicable tests when installed in the equipment.”</w:t>
      </w:r>
    </w:p>
    <w:p w14:paraId="09FCEEA5" w14:textId="77777777" w:rsidR="006A033B" w:rsidRDefault="006A033B" w:rsidP="006A033B">
      <w:pPr>
        <w:pStyle w:val="SingleTxtG"/>
      </w:pPr>
      <w:r>
        <w:t>“38.3.2.2</w:t>
      </w:r>
      <w:r>
        <w:tab/>
      </w:r>
      <w:r>
        <w:rPr>
          <w:u w:val="single"/>
        </w:rPr>
        <w:t xml:space="preserve">Sodium ion, </w:t>
      </w:r>
      <w:proofErr w:type="spellStart"/>
      <w:r>
        <w:rPr>
          <w:strike/>
        </w:rPr>
        <w:t>L</w:t>
      </w:r>
      <w:r>
        <w:rPr>
          <w:u w:val="single"/>
        </w:rPr>
        <w:t>l</w:t>
      </w:r>
      <w:r>
        <w:t>ithium</w:t>
      </w:r>
      <w:proofErr w:type="spellEnd"/>
      <w:r>
        <w:t xml:space="preserve"> metal and lithium ion cells and batteries shall be subjected to the tests, as required by special provisions 188 and 230 of Chapter 3.3 of the Model Regulations prior to the transport of a particular cell or battery type. Cells or batteries which differ from a tested type by:”</w:t>
      </w:r>
    </w:p>
    <w:p w14:paraId="475BEC69" w14:textId="77777777" w:rsidR="006A033B" w:rsidRDefault="006A033B" w:rsidP="006A033B">
      <w:pPr>
        <w:pStyle w:val="SingleTxtG"/>
      </w:pPr>
      <w:r>
        <w:t>“38.3.2.3</w:t>
      </w:r>
      <w:r>
        <w:tab/>
        <w:t>For the purposes of classification, the following definitions apply:</w:t>
      </w:r>
    </w:p>
    <w:p w14:paraId="2C894206" w14:textId="77777777" w:rsidR="006A033B" w:rsidRDefault="006A033B" w:rsidP="006A033B">
      <w:pPr>
        <w:pStyle w:val="SingleTxtG"/>
      </w:pPr>
      <w:r>
        <w:rPr>
          <w:i/>
          <w:iCs/>
        </w:rPr>
        <w:t>Large battery</w:t>
      </w:r>
      <w:r>
        <w:t xml:space="preserve"> means a </w:t>
      </w:r>
      <w:r>
        <w:rPr>
          <w:strike/>
        </w:rPr>
        <w:t>lithium metal battery or lithium ion</w:t>
      </w:r>
      <w:r>
        <w:t xml:space="preserve"> battery with a gross mass of more than 12 kg.”</w:t>
      </w:r>
    </w:p>
    <w:p w14:paraId="28B6BDC4" w14:textId="77777777" w:rsidR="006A033B" w:rsidRDefault="006A033B" w:rsidP="006A033B">
      <w:pPr>
        <w:pStyle w:val="SingleTxtG"/>
      </w:pPr>
      <w:r>
        <w:tab/>
        <w:t>Introduce a new definition for Sodium ion cell or battery as follows:</w:t>
      </w:r>
    </w:p>
    <w:p w14:paraId="059ADD07" w14:textId="77777777" w:rsidR="006A033B" w:rsidRDefault="006A033B" w:rsidP="006A033B">
      <w:pPr>
        <w:pStyle w:val="SingleTxtG"/>
      </w:pPr>
      <w:r>
        <w:rPr>
          <w:u w:val="single"/>
        </w:rPr>
        <w:t>“</w:t>
      </w:r>
      <w:r>
        <w:rPr>
          <w:i/>
          <w:u w:val="single"/>
        </w:rPr>
        <w:t>Sodium ion cell or battery</w:t>
      </w:r>
      <w:r>
        <w:rPr>
          <w:u w:val="single"/>
        </w:rPr>
        <w:t xml:space="preserve"> means a rechargeable electrochemical cell or battery where the positive and negative electrode are both intercalation or insertion compounds (intercalated sodium exists in an ionic or quasi-atomic form in the lattice of the electrode material) constructed with no metallic sodium (or sodium alloy) in either electrode and using an organic non-aqueous compound as electrolyte.”</w:t>
      </w:r>
    </w:p>
    <w:p w14:paraId="211DFA56" w14:textId="77777777" w:rsidR="006A033B" w:rsidRDefault="006A033B" w:rsidP="006A033B">
      <w:pPr>
        <w:pStyle w:val="SingleTxtG"/>
      </w:pPr>
      <w:r>
        <w:rPr>
          <w:iCs/>
        </w:rPr>
        <w:t>“</w:t>
      </w:r>
      <w:r>
        <w:rPr>
          <w:i/>
          <w:iCs/>
        </w:rPr>
        <w:t>Small battery</w:t>
      </w:r>
      <w:r>
        <w:t xml:space="preserve"> means a </w:t>
      </w:r>
      <w:r>
        <w:rPr>
          <w:strike/>
        </w:rPr>
        <w:t>lithium metal battery or lithium ion</w:t>
      </w:r>
      <w:r>
        <w:t xml:space="preserve"> battery with a gross mass of not more than 12 kg.”</w:t>
      </w:r>
    </w:p>
    <w:p w14:paraId="16196FD7" w14:textId="77777777" w:rsidR="006A033B" w:rsidRDefault="006A033B" w:rsidP="006A033B">
      <w:pPr>
        <w:pStyle w:val="SingleTxtG"/>
      </w:pPr>
      <w:r>
        <w:t>Introduce a new heading for sub section 38.3.3 as follows:</w:t>
      </w:r>
    </w:p>
    <w:p w14:paraId="68E4403A" w14:textId="77777777" w:rsidR="006A033B" w:rsidRDefault="006A033B" w:rsidP="006A033B">
      <w:pPr>
        <w:pStyle w:val="SingleTxtG"/>
      </w:pPr>
      <w:r>
        <w:rPr>
          <w:iCs/>
        </w:rPr>
        <w:t>“</w:t>
      </w:r>
      <w:r>
        <w:rPr>
          <w:b/>
          <w:bCs/>
          <w:u w:val="single"/>
        </w:rPr>
        <w:t>38.3.3 Number and condition of cells and batteries to be tested</w:t>
      </w:r>
    </w:p>
    <w:p w14:paraId="1780E8F5" w14:textId="77777777" w:rsidR="006A033B" w:rsidRDefault="006A033B" w:rsidP="006A033B">
      <w:pPr>
        <w:pStyle w:val="SingleTxtG"/>
      </w:pPr>
      <w:r>
        <w:rPr>
          <w:u w:val="single"/>
        </w:rPr>
        <w:t>When a cell or battery type has to be tested under this sub section, the number and condition of cells and batteries of each type to be tested are as follows:</w:t>
      </w:r>
      <w:r>
        <w:t>”</w:t>
      </w:r>
    </w:p>
    <w:p w14:paraId="4775CA75" w14:textId="77777777" w:rsidR="006A033B" w:rsidRDefault="006A033B" w:rsidP="006A033B">
      <w:pPr>
        <w:pStyle w:val="SingleTxtG"/>
      </w:pPr>
      <w:r>
        <w:t>renumber the current 38.3.3 as</w:t>
      </w:r>
    </w:p>
    <w:p w14:paraId="0CE4C0F9" w14:textId="77777777" w:rsidR="006A033B" w:rsidRDefault="006A033B" w:rsidP="006A033B">
      <w:pPr>
        <w:pStyle w:val="SingleTxtG"/>
      </w:pPr>
      <w:r>
        <w:rPr>
          <w:iCs/>
        </w:rPr>
        <w:t>“</w:t>
      </w:r>
      <w:r>
        <w:t>38.3.3.1 Testing of lithium cells and batteries”</w:t>
      </w:r>
    </w:p>
    <w:p w14:paraId="3ECBDB76" w14:textId="77777777" w:rsidR="006A033B" w:rsidRDefault="006A033B" w:rsidP="006A033B">
      <w:pPr>
        <w:pStyle w:val="SingleTxtG"/>
      </w:pPr>
      <w:r>
        <w:t>Modify the heading of (a) (b) (c) (d) (e) of the new 38.3.3.1 as follows:</w:t>
      </w:r>
    </w:p>
    <w:p w14:paraId="2DAF10E4" w14:textId="77777777" w:rsidR="006A033B" w:rsidRDefault="006A033B" w:rsidP="006A033B">
      <w:pPr>
        <w:pStyle w:val="SingleTxtG"/>
        <w:ind w:left="1814" w:hanging="340"/>
      </w:pPr>
      <w:r>
        <w:t>“</w:t>
      </w:r>
      <w:r>
        <w:tab/>
        <w:t>(a)</w:t>
      </w:r>
      <w:r>
        <w:tab/>
        <w:t xml:space="preserve">When testing primary </w:t>
      </w:r>
      <w:r>
        <w:rPr>
          <w:u w:val="single"/>
        </w:rPr>
        <w:t xml:space="preserve">lithium </w:t>
      </w:r>
      <w:r>
        <w:t>cells and batteries under tests T.1 to T.5 the following shall be tested in the quantity indicated:”</w:t>
      </w:r>
    </w:p>
    <w:p w14:paraId="3027B832" w14:textId="77777777" w:rsidR="006A033B" w:rsidRDefault="006A033B" w:rsidP="006A033B">
      <w:pPr>
        <w:pStyle w:val="SingleTxtG"/>
        <w:ind w:left="1814" w:hanging="340"/>
      </w:pPr>
      <w:r>
        <w:t>“</w:t>
      </w:r>
      <w:r>
        <w:tab/>
        <w:t>(b)</w:t>
      </w:r>
      <w:r>
        <w:tab/>
        <w:t xml:space="preserve">When testing rechargeable </w:t>
      </w:r>
      <w:r>
        <w:rPr>
          <w:u w:val="single"/>
        </w:rPr>
        <w:t xml:space="preserve">lithium </w:t>
      </w:r>
      <w:r>
        <w:t>cells and batteries under tests T.1 to T.5 the following shall be tested in the quantity indicated:”</w:t>
      </w:r>
    </w:p>
    <w:p w14:paraId="7ED226EF" w14:textId="77777777" w:rsidR="006A033B" w:rsidRDefault="006A033B" w:rsidP="006A033B">
      <w:pPr>
        <w:pStyle w:val="SingleTxtG"/>
        <w:ind w:left="1814" w:hanging="340"/>
      </w:pPr>
      <w:r>
        <w:t>“</w:t>
      </w:r>
      <w:r>
        <w:tab/>
        <w:t>(c)</w:t>
      </w:r>
      <w:r>
        <w:tab/>
        <w:t xml:space="preserve">When testing primary and rechargeable </w:t>
      </w:r>
      <w:r>
        <w:rPr>
          <w:u w:val="single"/>
        </w:rPr>
        <w:t xml:space="preserve">lithium </w:t>
      </w:r>
      <w:r>
        <w:t>cells under test T.6, the following shall be tested in the quantity indicated:”</w:t>
      </w:r>
    </w:p>
    <w:p w14:paraId="5F2C97AF" w14:textId="77777777" w:rsidR="006A033B" w:rsidRDefault="006A033B" w:rsidP="006A033B">
      <w:pPr>
        <w:pStyle w:val="SingleTxtG"/>
        <w:ind w:left="1814" w:hanging="340"/>
      </w:pPr>
      <w:r>
        <w:t>“</w:t>
      </w:r>
      <w:r>
        <w:tab/>
        <w:t>(d)</w:t>
      </w:r>
      <w:r>
        <w:tab/>
        <w:t xml:space="preserve">When testing rechargeable </w:t>
      </w:r>
      <w:r>
        <w:rPr>
          <w:u w:val="single"/>
        </w:rPr>
        <w:t xml:space="preserve">lithium </w:t>
      </w:r>
      <w:r>
        <w:t xml:space="preserve">batteries or rechargeable single cell </w:t>
      </w:r>
      <w:r>
        <w:rPr>
          <w:u w:val="single"/>
        </w:rPr>
        <w:t xml:space="preserve">lithium </w:t>
      </w:r>
      <w:r>
        <w:t>batteries under test T.7, the following shall be tested in the quantity indicated:”</w:t>
      </w:r>
    </w:p>
    <w:p w14:paraId="4CC3EDF7" w14:textId="77777777" w:rsidR="006A033B" w:rsidRDefault="006A033B" w:rsidP="006A033B">
      <w:pPr>
        <w:pStyle w:val="SingleTxtG"/>
        <w:ind w:left="1814" w:hanging="340"/>
      </w:pPr>
      <w:r>
        <w:t>“</w:t>
      </w:r>
      <w:r>
        <w:tab/>
        <w:t>(e)</w:t>
      </w:r>
      <w:r>
        <w:tab/>
        <w:t xml:space="preserve">When testing primary and rechargeable </w:t>
      </w:r>
      <w:r>
        <w:rPr>
          <w:u w:val="single"/>
        </w:rPr>
        <w:t xml:space="preserve">lithium </w:t>
      </w:r>
      <w:r>
        <w:t>cells and component cells under test T.8, the following shall be tested in the quantity indicated:”</w:t>
      </w:r>
    </w:p>
    <w:p w14:paraId="138CEAF5" w14:textId="77777777" w:rsidR="006A033B" w:rsidRDefault="006A033B" w:rsidP="006A033B">
      <w:pPr>
        <w:pStyle w:val="SingleTxtG"/>
      </w:pPr>
      <w:r>
        <w:t>Insert the following new paragraph and sub-paragraphs:</w:t>
      </w:r>
    </w:p>
    <w:p w14:paraId="201E84C2" w14:textId="77777777" w:rsidR="006A033B" w:rsidRDefault="006A033B" w:rsidP="006A033B">
      <w:pPr>
        <w:pStyle w:val="SingleTxtG"/>
      </w:pPr>
      <w:r>
        <w:t>“</w:t>
      </w:r>
      <w:r>
        <w:rPr>
          <w:u w:val="single"/>
        </w:rPr>
        <w:t>38.3.3.2</w:t>
      </w:r>
      <w:r>
        <w:rPr>
          <w:u w:val="single"/>
        </w:rPr>
        <w:tab/>
        <w:t>Testing of sodium ion cells and batteries:</w:t>
      </w:r>
    </w:p>
    <w:p w14:paraId="4DD7D274" w14:textId="77777777" w:rsidR="006A033B" w:rsidRDefault="006A033B" w:rsidP="006A033B">
      <w:pPr>
        <w:pStyle w:val="SingleTxtG"/>
        <w:ind w:left="2041"/>
      </w:pPr>
      <w:r>
        <w:rPr>
          <w:u w:val="single"/>
        </w:rPr>
        <w:t>(a)</w:t>
      </w:r>
      <w:r>
        <w:rPr>
          <w:u w:val="single"/>
        </w:rPr>
        <w:tab/>
      </w:r>
      <w:r>
        <w:rPr>
          <w:u w:val="single"/>
        </w:rPr>
        <w:tab/>
        <w:t>When testing rechargeable sodium ion cells and batteries under tests T.1 to T.5 the following shall be tested in the quantity indicated:</w:t>
      </w:r>
    </w:p>
    <w:p w14:paraId="6BB18D05" w14:textId="77777777" w:rsidR="006A033B" w:rsidRDefault="006A033B" w:rsidP="006A033B">
      <w:pPr>
        <w:pStyle w:val="SingleTxtG"/>
        <w:ind w:left="2665"/>
      </w:pPr>
      <w:r>
        <w:rPr>
          <w:u w:val="single"/>
        </w:rPr>
        <w:t>(</w:t>
      </w:r>
      <w:proofErr w:type="spellStart"/>
      <w:r>
        <w:rPr>
          <w:u w:val="single"/>
        </w:rPr>
        <w:t>i</w:t>
      </w:r>
      <w:proofErr w:type="spellEnd"/>
      <w:r>
        <w:rPr>
          <w:u w:val="single"/>
        </w:rPr>
        <w:t xml:space="preserve">) </w:t>
      </w:r>
      <w:r>
        <w:rPr>
          <w:color w:val="FF0000"/>
          <w:highlight w:val="yellow"/>
          <w:u w:val="single"/>
        </w:rPr>
        <w:t xml:space="preserve">five </w:t>
      </w:r>
      <w:r>
        <w:rPr>
          <w:u w:val="single"/>
        </w:rPr>
        <w:t>cells at first cycle, in fully charged states;</w:t>
      </w:r>
    </w:p>
    <w:p w14:paraId="157BF3B4" w14:textId="77777777" w:rsidR="006A033B" w:rsidRDefault="006A033B" w:rsidP="006A033B">
      <w:pPr>
        <w:pStyle w:val="SingleTxtG"/>
        <w:ind w:left="2665"/>
      </w:pPr>
      <w:r>
        <w:rPr>
          <w:u w:val="single"/>
        </w:rPr>
        <w:t xml:space="preserve">(ii) </w:t>
      </w:r>
      <w:r>
        <w:rPr>
          <w:color w:val="FF0000"/>
          <w:highlight w:val="yellow"/>
          <w:u w:val="single"/>
        </w:rPr>
        <w:t xml:space="preserve">five </w:t>
      </w:r>
      <w:r>
        <w:rPr>
          <w:u w:val="single"/>
        </w:rPr>
        <w:t>cells after 25 cycles ending in fully charged states;</w:t>
      </w:r>
    </w:p>
    <w:p w14:paraId="4F40EFAB" w14:textId="77777777" w:rsidR="006A033B" w:rsidRDefault="006A033B" w:rsidP="006A033B">
      <w:pPr>
        <w:pStyle w:val="SingleTxtG"/>
        <w:ind w:left="2665"/>
      </w:pPr>
      <w:r>
        <w:rPr>
          <w:u w:val="single"/>
        </w:rPr>
        <w:t xml:space="preserve">(iii) </w:t>
      </w:r>
      <w:r>
        <w:rPr>
          <w:color w:val="FF0000"/>
          <w:highlight w:val="yellow"/>
          <w:u w:val="single"/>
        </w:rPr>
        <w:t>four</w:t>
      </w:r>
      <w:r>
        <w:rPr>
          <w:u w:val="single"/>
        </w:rPr>
        <w:t xml:space="preserve"> small batteries at first cycle, in fully charged states;</w:t>
      </w:r>
    </w:p>
    <w:p w14:paraId="09376491" w14:textId="77777777" w:rsidR="006A033B" w:rsidRDefault="006A033B" w:rsidP="006A033B">
      <w:pPr>
        <w:pStyle w:val="SingleTxtG"/>
        <w:ind w:left="2665"/>
      </w:pPr>
      <w:r>
        <w:rPr>
          <w:u w:val="single"/>
        </w:rPr>
        <w:t xml:space="preserve">(iv) </w:t>
      </w:r>
      <w:r>
        <w:rPr>
          <w:color w:val="FF0000"/>
          <w:highlight w:val="yellow"/>
          <w:u w:val="single"/>
        </w:rPr>
        <w:t xml:space="preserve">four </w:t>
      </w:r>
      <w:r>
        <w:rPr>
          <w:u w:val="single"/>
        </w:rPr>
        <w:t>small batteries after 25 cycles ending in fully charged states;</w:t>
      </w:r>
    </w:p>
    <w:p w14:paraId="2D19C24E" w14:textId="77777777" w:rsidR="006A033B" w:rsidRDefault="006A033B" w:rsidP="006A033B">
      <w:pPr>
        <w:pStyle w:val="SingleTxtG"/>
        <w:ind w:left="2665"/>
      </w:pPr>
      <w:r>
        <w:rPr>
          <w:u w:val="single"/>
        </w:rPr>
        <w:t>(v) two large batteries at first cycle, in fully charged states; and</w:t>
      </w:r>
    </w:p>
    <w:p w14:paraId="503FE395" w14:textId="77777777" w:rsidR="006A033B" w:rsidRDefault="006A033B" w:rsidP="006A033B">
      <w:pPr>
        <w:pStyle w:val="SingleTxtG"/>
        <w:ind w:left="2665"/>
      </w:pPr>
      <w:r>
        <w:rPr>
          <w:u w:val="single"/>
        </w:rPr>
        <w:lastRenderedPageBreak/>
        <w:t>(vi) two large batteries after 25 cycles ending in fully charged states.</w:t>
      </w:r>
    </w:p>
    <w:p w14:paraId="3E0A9C47" w14:textId="77777777" w:rsidR="006A033B" w:rsidRDefault="006A033B" w:rsidP="006A033B">
      <w:pPr>
        <w:pStyle w:val="SingleTxtG"/>
        <w:ind w:left="2268"/>
      </w:pPr>
      <w:r>
        <w:rPr>
          <w:u w:val="single"/>
        </w:rPr>
        <w:t>(b)</w:t>
      </w:r>
      <w:r>
        <w:rPr>
          <w:u w:val="single"/>
        </w:rPr>
        <w:tab/>
        <w:t>When testing for component cells of rechargeable sodium ion batteries under test T.5, three cells at first cycle at 50 % of the design rated capacity and [three] cells after 25 cycles ending at 50 % of the design rated capacity.</w:t>
      </w:r>
    </w:p>
    <w:p w14:paraId="381A1EC5" w14:textId="77777777" w:rsidR="006A033B" w:rsidRDefault="006A033B" w:rsidP="006A033B">
      <w:pPr>
        <w:pStyle w:val="SingleTxtG"/>
        <w:ind w:left="2268"/>
      </w:pPr>
      <w:r>
        <w:rPr>
          <w:u w:val="single"/>
        </w:rPr>
        <w:t>(c)</w:t>
      </w:r>
      <w:r>
        <w:rPr>
          <w:u w:val="single"/>
        </w:rPr>
        <w:tab/>
        <w:t>When testing rechargeable sodium ion cells or rechargeable single cell sodium ion batteries under test T.6, the following shall be tested in the quantity indicated:</w:t>
      </w:r>
    </w:p>
    <w:p w14:paraId="5D1B3046" w14:textId="77777777" w:rsidR="006A033B" w:rsidRDefault="006A033B" w:rsidP="006A033B">
      <w:pPr>
        <w:pStyle w:val="Bullet1G"/>
        <w:ind w:left="2665"/>
      </w:pPr>
      <w:r>
        <w:rPr>
          <w:u w:val="single"/>
        </w:rPr>
        <w:t>(</w:t>
      </w:r>
      <w:proofErr w:type="spellStart"/>
      <w:r>
        <w:rPr>
          <w:u w:val="single"/>
        </w:rPr>
        <w:t>i</w:t>
      </w:r>
      <w:proofErr w:type="spellEnd"/>
      <w:r>
        <w:rPr>
          <w:u w:val="single"/>
        </w:rPr>
        <w:t xml:space="preserve">) </w:t>
      </w:r>
      <w:r>
        <w:rPr>
          <w:color w:val="FF0000"/>
          <w:highlight w:val="yellow"/>
          <w:u w:val="single"/>
        </w:rPr>
        <w:t>five</w:t>
      </w:r>
      <w:r>
        <w:rPr>
          <w:u w:val="single"/>
        </w:rPr>
        <w:t xml:space="preserve"> cells or single cell batteries at first cycle, in fully charged states;</w:t>
      </w:r>
    </w:p>
    <w:p w14:paraId="7717DCEC" w14:textId="77777777" w:rsidR="006A033B" w:rsidRDefault="006A033B" w:rsidP="006A033B">
      <w:pPr>
        <w:pStyle w:val="Bullet1G"/>
        <w:ind w:left="2665"/>
      </w:pPr>
      <w:r>
        <w:rPr>
          <w:u w:val="single"/>
        </w:rPr>
        <w:t xml:space="preserve">(ii) </w:t>
      </w:r>
      <w:r>
        <w:rPr>
          <w:color w:val="FF0000"/>
          <w:highlight w:val="yellow"/>
          <w:u w:val="single"/>
        </w:rPr>
        <w:t>five</w:t>
      </w:r>
      <w:r>
        <w:rPr>
          <w:u w:val="single"/>
        </w:rPr>
        <w:t xml:space="preserve"> cells or single cell batteries after 25 cycles ending in fully charged states; and</w:t>
      </w:r>
    </w:p>
    <w:p w14:paraId="69832E5C" w14:textId="77777777" w:rsidR="006A033B" w:rsidRDefault="006A033B" w:rsidP="006A033B">
      <w:pPr>
        <w:pStyle w:val="Bullet1G"/>
        <w:ind w:left="2665"/>
      </w:pPr>
      <w:r>
        <w:rPr>
          <w:u w:val="single"/>
        </w:rPr>
        <w:t xml:space="preserve">(iii) for component cells of rechargeable batteries, </w:t>
      </w:r>
      <w:r>
        <w:rPr>
          <w:color w:val="FF0000"/>
          <w:highlight w:val="yellow"/>
          <w:u w:val="single"/>
        </w:rPr>
        <w:t>five</w:t>
      </w:r>
      <w:r>
        <w:rPr>
          <w:u w:val="single"/>
        </w:rPr>
        <w:t xml:space="preserve"> cells at first cycle at 50 % of the design rated capacity and </w:t>
      </w:r>
      <w:r>
        <w:rPr>
          <w:color w:val="FF0000"/>
          <w:highlight w:val="yellow"/>
          <w:u w:val="single"/>
        </w:rPr>
        <w:t>five</w:t>
      </w:r>
      <w:r>
        <w:rPr>
          <w:u w:val="single"/>
        </w:rPr>
        <w:t xml:space="preserve"> cells after 25 cycles ending at 50</w:t>
      </w:r>
      <w:r>
        <w:rPr>
          <w:rFonts w:cs="Lucida Sans"/>
        </w:rPr>
        <w:t> </w:t>
      </w:r>
      <w:r>
        <w:t xml:space="preserve">% of the design rated </w:t>
      </w:r>
      <w:r>
        <w:rPr>
          <w:u w:val="single"/>
        </w:rPr>
        <w:t>capacity.</w:t>
      </w:r>
    </w:p>
    <w:p w14:paraId="68967D86" w14:textId="77777777" w:rsidR="006A033B" w:rsidRDefault="006A033B" w:rsidP="006A033B">
      <w:pPr>
        <w:pStyle w:val="SingleTxtG"/>
        <w:ind w:left="2268"/>
      </w:pPr>
      <w:r>
        <w:rPr>
          <w:u w:val="single"/>
        </w:rPr>
        <w:t>(d)</w:t>
      </w:r>
      <w:r>
        <w:rPr>
          <w:u w:val="single"/>
        </w:rPr>
        <w:tab/>
        <w:t>When testing rechargeable sodium ion batteries or rechargeable single cell sodium ion batteries under test T.7, the following shall be tested in the quantity indicated:</w:t>
      </w:r>
    </w:p>
    <w:p w14:paraId="705A726A" w14:textId="77777777" w:rsidR="006A033B" w:rsidRDefault="006A033B" w:rsidP="006A033B">
      <w:pPr>
        <w:pStyle w:val="Bullet1G"/>
        <w:ind w:left="2721"/>
      </w:pPr>
      <w:r>
        <w:rPr>
          <w:u w:val="single"/>
        </w:rPr>
        <w:t>(</w:t>
      </w:r>
      <w:proofErr w:type="spellStart"/>
      <w:r>
        <w:rPr>
          <w:u w:val="single"/>
        </w:rPr>
        <w:t>i</w:t>
      </w:r>
      <w:proofErr w:type="spellEnd"/>
      <w:r>
        <w:rPr>
          <w:u w:val="single"/>
        </w:rPr>
        <w:t xml:space="preserve">) </w:t>
      </w:r>
      <w:r>
        <w:rPr>
          <w:color w:val="FF0000"/>
          <w:highlight w:val="yellow"/>
          <w:u w:val="single"/>
        </w:rPr>
        <w:t>four</w:t>
      </w:r>
      <w:r>
        <w:rPr>
          <w:u w:val="single"/>
        </w:rPr>
        <w:t xml:space="preserve"> single cell batteries at first cycle, in fully charged states;</w:t>
      </w:r>
    </w:p>
    <w:p w14:paraId="58E44C8F" w14:textId="77777777" w:rsidR="006A033B" w:rsidRDefault="006A033B" w:rsidP="006A033B">
      <w:pPr>
        <w:pStyle w:val="Bullet1G"/>
        <w:ind w:left="2721"/>
      </w:pPr>
      <w:r>
        <w:rPr>
          <w:u w:val="single"/>
        </w:rPr>
        <w:t xml:space="preserve">(ii) </w:t>
      </w:r>
      <w:r>
        <w:rPr>
          <w:color w:val="FF0000"/>
          <w:highlight w:val="yellow"/>
          <w:u w:val="single"/>
        </w:rPr>
        <w:t>four</w:t>
      </w:r>
      <w:r>
        <w:rPr>
          <w:u w:val="single"/>
        </w:rPr>
        <w:t xml:space="preserve"> small batteries at first cycle, in fully charged states;</w:t>
      </w:r>
    </w:p>
    <w:p w14:paraId="4959F41F" w14:textId="77777777" w:rsidR="006A033B" w:rsidRDefault="006A033B" w:rsidP="006A033B">
      <w:pPr>
        <w:pStyle w:val="Bullet1G"/>
        <w:ind w:left="2721"/>
      </w:pPr>
      <w:r>
        <w:rPr>
          <w:u w:val="single"/>
        </w:rPr>
        <w:t xml:space="preserve">(iii) </w:t>
      </w:r>
      <w:r>
        <w:rPr>
          <w:color w:val="FF0000"/>
          <w:highlight w:val="yellow"/>
          <w:u w:val="single"/>
        </w:rPr>
        <w:t>four</w:t>
      </w:r>
      <w:r>
        <w:rPr>
          <w:u w:val="single"/>
        </w:rPr>
        <w:t xml:space="preserve"> small batteries after 25 cycles ending in fully charged states;</w:t>
      </w:r>
    </w:p>
    <w:p w14:paraId="1AF731DD" w14:textId="77777777" w:rsidR="006A033B" w:rsidRDefault="006A033B" w:rsidP="006A033B">
      <w:pPr>
        <w:pStyle w:val="Bullet1G"/>
        <w:ind w:left="2721"/>
      </w:pPr>
      <w:r>
        <w:rPr>
          <w:u w:val="single"/>
        </w:rPr>
        <w:t>(iv) two large batteries at first cycle, in fully charged states;</w:t>
      </w:r>
    </w:p>
    <w:p w14:paraId="1840B4A5" w14:textId="77777777" w:rsidR="006A033B" w:rsidRDefault="006A033B" w:rsidP="006A033B">
      <w:pPr>
        <w:pStyle w:val="Bullet1G"/>
        <w:ind w:left="2721"/>
      </w:pPr>
      <w:r>
        <w:rPr>
          <w:u w:val="single"/>
        </w:rPr>
        <w:t>(v) two large batteries after 25 cycles ending in fully charged states; and</w:t>
      </w:r>
    </w:p>
    <w:p w14:paraId="055ECAC1" w14:textId="77777777" w:rsidR="006A033B" w:rsidRDefault="006A033B" w:rsidP="006A033B">
      <w:pPr>
        <w:pStyle w:val="SingleTxtG"/>
        <w:ind w:left="2721"/>
      </w:pPr>
      <w:r>
        <w:rPr>
          <w:u w:val="single"/>
        </w:rPr>
        <w:t>(vi) batteries or single cell batteries not equipped with battery overcharge protection that are designed for use only as a component in another battery or in equipment, which affords such protection, are not subject to the requirements of this test.</w:t>
      </w:r>
    </w:p>
    <w:p w14:paraId="2094F30E" w14:textId="77777777" w:rsidR="006A033B" w:rsidRDefault="006A033B" w:rsidP="006A033B">
      <w:pPr>
        <w:pStyle w:val="SingleTxtG"/>
        <w:ind w:left="2268"/>
      </w:pPr>
      <w:r>
        <w:rPr>
          <w:u w:val="single"/>
        </w:rPr>
        <w:t>(e)</w:t>
      </w:r>
      <w:r>
        <w:rPr>
          <w:u w:val="single"/>
        </w:rPr>
        <w:tab/>
        <w:t>When testing a fully charged sodium ion battery assembly, with a Watt-hour rating of not more than 6 200 </w:t>
      </w:r>
      <w:proofErr w:type="spellStart"/>
      <w:r>
        <w:rPr>
          <w:u w:val="single"/>
        </w:rPr>
        <w:t>Wh</w:t>
      </w:r>
      <w:proofErr w:type="spellEnd"/>
      <w:r>
        <w:rPr>
          <w:u w:val="single"/>
        </w:rPr>
        <w:t xml:space="preserve">, </w:t>
      </w:r>
      <w:r>
        <w:rPr>
          <w:rFonts w:eastAsia="Calibri"/>
          <w:u w:val="single"/>
        </w:rPr>
        <w:t xml:space="preserve">that is assembled from batteries </w:t>
      </w:r>
      <w:r>
        <w:rPr>
          <w:u w:val="single"/>
        </w:rPr>
        <w:t xml:space="preserve">that have passed all applicable tests, one </w:t>
      </w:r>
      <w:r>
        <w:rPr>
          <w:rFonts w:eastAsia="Calibri"/>
          <w:u w:val="single"/>
        </w:rPr>
        <w:t>assembled battery</w:t>
      </w:r>
      <w:r>
        <w:rPr>
          <w:u w:val="single"/>
        </w:rPr>
        <w:t xml:space="preserve"> in a fully charged state shall be tested under tests T.3, T.4 and T.5, and, in addition, test T.7 in the case of a rechargeable battery.</w:t>
      </w:r>
    </w:p>
    <w:p w14:paraId="0D3D289F" w14:textId="77777777" w:rsidR="006A033B" w:rsidRDefault="006A033B" w:rsidP="006A033B">
      <w:pPr>
        <w:pStyle w:val="SingleTxtG"/>
        <w:ind w:left="2268"/>
      </w:pPr>
      <w:r>
        <w:rPr>
          <w:bCs/>
          <w:u w:val="single"/>
        </w:rPr>
        <w:t>(f)</w:t>
      </w:r>
      <w:r>
        <w:rPr>
          <w:bCs/>
          <w:u w:val="single"/>
        </w:rPr>
        <w:tab/>
        <w:t xml:space="preserve">When sodium ion batteries that have passed all applicable tests are electrically connected to form a fully charged battery, </w:t>
      </w:r>
      <w:r>
        <w:rPr>
          <w:u w:val="single"/>
        </w:rPr>
        <w:t xml:space="preserve">with a Watt-hour rating of more than 6 200 </w:t>
      </w:r>
      <w:proofErr w:type="spellStart"/>
      <w:r>
        <w:rPr>
          <w:u w:val="single"/>
        </w:rPr>
        <w:t>Wh</w:t>
      </w:r>
      <w:proofErr w:type="spellEnd"/>
      <w:r>
        <w:rPr>
          <w:u w:val="single"/>
        </w:rPr>
        <w:t xml:space="preserve">, </w:t>
      </w:r>
      <w:r>
        <w:rPr>
          <w:bCs/>
          <w:u w:val="single"/>
        </w:rPr>
        <w:t>the assembled battery does not need to be tested if the assembled battery is of a type that has been verified as preventing:</w:t>
      </w:r>
    </w:p>
    <w:p w14:paraId="7E4C08A4" w14:textId="77777777" w:rsidR="006A033B" w:rsidRDefault="006A033B" w:rsidP="006A033B">
      <w:pPr>
        <w:pStyle w:val="SingleTxtG"/>
        <w:ind w:left="2835"/>
      </w:pPr>
      <w:r>
        <w:rPr>
          <w:u w:val="single"/>
        </w:rPr>
        <w:t>(</w:t>
      </w:r>
      <w:proofErr w:type="spellStart"/>
      <w:r>
        <w:rPr>
          <w:u w:val="single"/>
        </w:rPr>
        <w:t>i</w:t>
      </w:r>
      <w:proofErr w:type="spellEnd"/>
      <w:r>
        <w:rPr>
          <w:u w:val="single"/>
        </w:rPr>
        <w:t>)</w:t>
      </w:r>
      <w:r>
        <w:rPr>
          <w:u w:val="single"/>
        </w:rPr>
        <w:tab/>
        <w:t>Overcharge;</w:t>
      </w:r>
    </w:p>
    <w:p w14:paraId="45F47436" w14:textId="77777777" w:rsidR="006A033B" w:rsidRDefault="006A033B" w:rsidP="006A033B">
      <w:pPr>
        <w:pStyle w:val="SingleTxtG"/>
        <w:ind w:left="2835"/>
      </w:pPr>
      <w:r>
        <w:rPr>
          <w:u w:val="single"/>
        </w:rPr>
        <w:t>(ii)</w:t>
      </w:r>
      <w:r>
        <w:rPr>
          <w:u w:val="single"/>
        </w:rPr>
        <w:tab/>
        <w:t>Short circuits; and</w:t>
      </w:r>
    </w:p>
    <w:p w14:paraId="4E1B268A" w14:textId="77777777" w:rsidR="006A033B" w:rsidRDefault="006A033B" w:rsidP="006A033B">
      <w:pPr>
        <w:pStyle w:val="SingleTxtG"/>
        <w:ind w:left="2835"/>
      </w:pPr>
      <w:r>
        <w:rPr>
          <w:u w:val="single"/>
        </w:rPr>
        <w:t>(iii)</w:t>
      </w:r>
      <w:r>
        <w:rPr>
          <w:u w:val="single"/>
        </w:rPr>
        <w:tab/>
        <w:t>Over discharge between the batteries.”</w:t>
      </w:r>
    </w:p>
    <w:p w14:paraId="02A25DB2" w14:textId="77777777" w:rsidR="006A033B" w:rsidRDefault="006A033B" w:rsidP="006A033B">
      <w:pPr>
        <w:pStyle w:val="MBodyTxt"/>
        <w:rPr>
          <w:rFonts w:hint="eastAsia"/>
        </w:rPr>
      </w:pPr>
      <w:r>
        <w:tab/>
        <w:t>Renumber existing 38.3.3.1 as 38.3.3.3:</w:t>
      </w:r>
    </w:p>
    <w:p w14:paraId="29F115CF" w14:textId="77777777" w:rsidR="006A033B" w:rsidRDefault="006A033B" w:rsidP="006A033B">
      <w:pPr>
        <w:pStyle w:val="MBodyTxt"/>
        <w:tabs>
          <w:tab w:val="left" w:pos="2410"/>
          <w:tab w:val="left" w:pos="4298"/>
        </w:tabs>
        <w:ind w:left="1418" w:hanging="1418"/>
        <w:rPr>
          <w:rFonts w:hint="eastAsia"/>
        </w:rPr>
      </w:pPr>
      <w:r>
        <w:tab/>
        <w:t>“38.3.3.</w:t>
      </w:r>
      <w:r>
        <w:rPr>
          <w:strike/>
        </w:rPr>
        <w:t>1</w:t>
      </w:r>
      <w:r>
        <w:rPr>
          <w:u w:val="single"/>
        </w:rPr>
        <w:t>3</w:t>
      </w:r>
      <w:r>
        <w:rPr>
          <w:u w:val="single"/>
        </w:rPr>
        <w:tab/>
      </w:r>
      <w:r>
        <w:t>Provisions 38.3.2.1</w:t>
      </w:r>
      <w:r>
        <w:rPr>
          <w:u w:val="single"/>
        </w:rPr>
        <w:t>,</w:t>
      </w:r>
      <w:r>
        <w:rPr>
          <w:strike/>
        </w:rPr>
        <w:t xml:space="preserve"> and</w:t>
      </w:r>
      <w:r>
        <w:rPr>
          <w:u w:val="single"/>
        </w:rPr>
        <w:t xml:space="preserve"> 38.3.3.1 and 38.3.3.2</w:t>
      </w:r>
      <w:r>
        <w:t xml:space="preserve"> are summarized in the following table</w:t>
      </w:r>
      <w:r>
        <w:rPr>
          <w:u w:val="single"/>
        </w:rPr>
        <w:t>s</w:t>
      </w:r>
      <w:r>
        <w:t>.</w:t>
      </w:r>
    </w:p>
    <w:p w14:paraId="20DE7D1F" w14:textId="77777777" w:rsidR="006A033B" w:rsidRDefault="006A033B" w:rsidP="006A033B">
      <w:pPr>
        <w:pStyle w:val="MTabHead"/>
        <w:spacing w:after="160"/>
        <w:jc w:val="left"/>
        <w:rPr>
          <w:rFonts w:hint="eastAsia"/>
        </w:rPr>
      </w:pPr>
      <w:r>
        <w:tab/>
        <w:t xml:space="preserve">“Table 38.3.2: Summary table of required tests for </w:t>
      </w:r>
      <w:r>
        <w:rPr>
          <w:u w:val="single"/>
        </w:rPr>
        <w:t xml:space="preserve">lithium </w:t>
      </w:r>
      <w:r>
        <w:t>primary cells and batteries”</w:t>
      </w:r>
    </w:p>
    <w:p w14:paraId="1272CD5B" w14:textId="77777777" w:rsidR="006A033B" w:rsidRDefault="006A033B" w:rsidP="006A033B">
      <w:pPr>
        <w:pStyle w:val="MTabHead"/>
        <w:jc w:val="left"/>
        <w:rPr>
          <w:rFonts w:hint="eastAsia"/>
        </w:rPr>
      </w:pPr>
      <w:r>
        <w:tab/>
        <w:t xml:space="preserve">“Table 38.3.3: Summary table of required tests for </w:t>
      </w:r>
      <w:r>
        <w:rPr>
          <w:u w:val="single"/>
        </w:rPr>
        <w:t xml:space="preserve">lithium </w:t>
      </w:r>
      <w:r>
        <w:t>rechargeable cells and batteries”</w:t>
      </w:r>
    </w:p>
    <w:p w14:paraId="593CCD49" w14:textId="77777777" w:rsidR="006A033B" w:rsidRDefault="006A033B" w:rsidP="006A033B">
      <w:pPr>
        <w:pStyle w:val="MBodyTxt"/>
        <w:rPr>
          <w:rFonts w:hint="eastAsia"/>
        </w:rPr>
      </w:pPr>
      <w:r>
        <w:tab/>
        <w:t>Insert a new table in 38.3.3.2 as follows:</w:t>
      </w:r>
    </w:p>
    <w:p w14:paraId="0C9C5053" w14:textId="77777777" w:rsidR="006A033B" w:rsidRDefault="006A033B" w:rsidP="00BA34EF">
      <w:pPr>
        <w:pStyle w:val="MTabHead"/>
        <w:keepLines/>
        <w:rPr>
          <w:rFonts w:hint="eastAsia"/>
        </w:rPr>
      </w:pPr>
      <w:r>
        <w:lastRenderedPageBreak/>
        <w:t>“</w:t>
      </w:r>
      <w:r>
        <w:rPr>
          <w:u w:val="single"/>
        </w:rPr>
        <w:t>Table 38.3.4: Summary table of required tests for sodium ion rechargeable cells and batteries</w:t>
      </w:r>
    </w:p>
    <w:tbl>
      <w:tblPr>
        <w:tblW w:w="965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firstRow="0" w:lastRow="0" w:firstColumn="0" w:lastColumn="0" w:noHBand="0" w:noVBand="0"/>
      </w:tblPr>
      <w:tblGrid>
        <w:gridCol w:w="1495"/>
        <w:gridCol w:w="2858"/>
        <w:gridCol w:w="600"/>
        <w:gridCol w:w="601"/>
        <w:gridCol w:w="600"/>
        <w:gridCol w:w="533"/>
        <w:gridCol w:w="523"/>
        <w:gridCol w:w="595"/>
        <w:gridCol w:w="583"/>
        <w:gridCol w:w="581"/>
        <w:gridCol w:w="682"/>
      </w:tblGrid>
      <w:tr w:rsidR="006A033B" w14:paraId="2D79EB32" w14:textId="77777777" w:rsidTr="00F53C43">
        <w:trPr>
          <w:trHeight w:val="336"/>
        </w:trPr>
        <w:tc>
          <w:tcPr>
            <w:tcW w:w="9649" w:type="dxa"/>
            <w:gridSpan w:val="11"/>
            <w:tcBorders>
              <w:top w:val="single" w:sz="4" w:space="0" w:color="000001"/>
              <w:left w:val="single" w:sz="4" w:space="0" w:color="000001"/>
              <w:bottom w:val="single" w:sz="4" w:space="0" w:color="000001"/>
              <w:right w:val="single" w:sz="4" w:space="0" w:color="000001"/>
            </w:tcBorders>
            <w:shd w:val="clear" w:color="auto" w:fill="auto"/>
            <w:vAlign w:val="bottom"/>
          </w:tcPr>
          <w:p w14:paraId="63C23BB8" w14:textId="77777777" w:rsidR="006A033B" w:rsidRDefault="006A033B" w:rsidP="00BA34EF">
            <w:pPr>
              <w:pStyle w:val="Standard"/>
              <w:keepNext/>
              <w:keepLines/>
              <w:jc w:val="center"/>
              <w:rPr>
                <w:rFonts w:hint="eastAsia"/>
              </w:rPr>
            </w:pPr>
            <w:r>
              <w:rPr>
                <w:rFonts w:eastAsia="Times New Roman" w:cs="Times New Roman"/>
                <w:b/>
                <w:sz w:val="20"/>
                <w:szCs w:val="20"/>
                <w:lang w:val="en-GB" w:eastAsia="fr-FR"/>
              </w:rPr>
              <w:t>Rechargeable cells and batteries</w:t>
            </w:r>
          </w:p>
        </w:tc>
      </w:tr>
      <w:tr w:rsidR="006A033B" w14:paraId="5D44F1AB" w14:textId="77777777" w:rsidTr="00F53C43">
        <w:trPr>
          <w:trHeight w:val="324"/>
        </w:trPr>
        <w:tc>
          <w:tcPr>
            <w:tcW w:w="1494"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9409F7A" w14:textId="77777777" w:rsidR="006A033B" w:rsidRDefault="006A033B" w:rsidP="00BA34EF">
            <w:pPr>
              <w:pStyle w:val="Standard"/>
              <w:keepNext/>
              <w:keepLines/>
              <w:rPr>
                <w:rFonts w:hint="eastAsia"/>
              </w:rPr>
            </w:pPr>
            <w:r>
              <w:rPr>
                <w:rFonts w:eastAsia="Times New Roman" w:cs="Times New Roman"/>
                <w:sz w:val="20"/>
                <w:szCs w:val="20"/>
                <w:lang w:val="en-GB" w:eastAsia="fr-FR"/>
              </w:rPr>
              <w:t> </w:t>
            </w:r>
          </w:p>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F32DBA4" w14:textId="77777777" w:rsidR="006A033B" w:rsidRDefault="006A033B" w:rsidP="00BA34EF">
            <w:pPr>
              <w:pStyle w:val="Standard"/>
              <w:keepNext/>
              <w:keepLines/>
              <w:rPr>
                <w:rFonts w:hint="eastAsia"/>
              </w:rPr>
            </w:pPr>
            <w:r>
              <w:rPr>
                <w:rFonts w:eastAsia="Times New Roman" w:cs="Times New Roman"/>
                <w:sz w:val="20"/>
                <w:szCs w:val="20"/>
                <w:lang w:val="en-GB" w:eastAsia="fr-FR"/>
              </w:rPr>
              <w:t> </w:t>
            </w: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D2117FD" w14:textId="77777777" w:rsidR="006A033B" w:rsidRDefault="006A033B" w:rsidP="00BA34EF">
            <w:pPr>
              <w:pStyle w:val="Standard"/>
              <w:keepNext/>
              <w:keepLines/>
              <w:rPr>
                <w:rFonts w:hint="eastAsia"/>
              </w:rPr>
            </w:pPr>
            <w:r>
              <w:rPr>
                <w:rFonts w:eastAsia="Times New Roman" w:cs="Times New Roman"/>
                <w:sz w:val="20"/>
                <w:szCs w:val="20"/>
                <w:lang w:val="en-GB" w:eastAsia="fr-FR"/>
              </w:rPr>
              <w:t>T.1</w:t>
            </w:r>
          </w:p>
        </w:tc>
        <w:tc>
          <w:tcPr>
            <w:tcW w:w="60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9A23706" w14:textId="77777777" w:rsidR="006A033B" w:rsidRDefault="006A033B" w:rsidP="00BA34EF">
            <w:pPr>
              <w:pStyle w:val="Standard"/>
              <w:keepNext/>
              <w:keepLines/>
              <w:rPr>
                <w:rFonts w:hint="eastAsia"/>
              </w:rPr>
            </w:pPr>
            <w:r>
              <w:rPr>
                <w:rFonts w:eastAsia="Times New Roman" w:cs="Times New Roman"/>
                <w:sz w:val="20"/>
                <w:szCs w:val="20"/>
                <w:lang w:val="en-GB" w:eastAsia="fr-FR"/>
              </w:rPr>
              <w:t>T.2</w:t>
            </w: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F25D385" w14:textId="77777777" w:rsidR="006A033B" w:rsidRDefault="006A033B" w:rsidP="00BA34EF">
            <w:pPr>
              <w:pStyle w:val="Standard"/>
              <w:keepNext/>
              <w:keepLines/>
              <w:rPr>
                <w:rFonts w:hint="eastAsia"/>
              </w:rPr>
            </w:pPr>
            <w:r>
              <w:rPr>
                <w:rFonts w:eastAsia="Times New Roman" w:cs="Times New Roman"/>
                <w:sz w:val="20"/>
                <w:szCs w:val="20"/>
                <w:lang w:val="en-GB" w:eastAsia="fr-FR"/>
              </w:rPr>
              <w:t>T.3</w:t>
            </w:r>
          </w:p>
        </w:tc>
        <w:tc>
          <w:tcPr>
            <w:tcW w:w="53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9307633" w14:textId="77777777" w:rsidR="006A033B" w:rsidRDefault="006A033B" w:rsidP="00BA34EF">
            <w:pPr>
              <w:pStyle w:val="Standard"/>
              <w:keepNext/>
              <w:keepLines/>
              <w:rPr>
                <w:rFonts w:hint="eastAsia"/>
              </w:rPr>
            </w:pPr>
            <w:r>
              <w:rPr>
                <w:rFonts w:eastAsia="Times New Roman" w:cs="Times New Roman"/>
                <w:sz w:val="20"/>
                <w:szCs w:val="20"/>
                <w:lang w:val="en-GB" w:eastAsia="fr-FR"/>
              </w:rPr>
              <w:t>T.4</w:t>
            </w:r>
          </w:p>
        </w:tc>
        <w:tc>
          <w:tcPr>
            <w:tcW w:w="52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333570C" w14:textId="77777777" w:rsidR="006A033B" w:rsidRDefault="006A033B" w:rsidP="00BA34EF">
            <w:pPr>
              <w:pStyle w:val="Standard"/>
              <w:keepNext/>
              <w:keepLines/>
              <w:rPr>
                <w:rFonts w:hint="eastAsia"/>
              </w:rPr>
            </w:pPr>
            <w:r>
              <w:rPr>
                <w:rFonts w:eastAsia="Times New Roman" w:cs="Times New Roman"/>
                <w:sz w:val="20"/>
                <w:szCs w:val="20"/>
                <w:lang w:val="en-GB" w:eastAsia="fr-FR"/>
              </w:rPr>
              <w:t>T.5</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39F3D01" w14:textId="77777777" w:rsidR="006A033B" w:rsidRDefault="006A033B" w:rsidP="00BA34EF">
            <w:pPr>
              <w:pStyle w:val="Standard"/>
              <w:keepNext/>
              <w:keepLines/>
              <w:rPr>
                <w:rFonts w:hint="eastAsia"/>
              </w:rPr>
            </w:pPr>
            <w:r>
              <w:rPr>
                <w:rFonts w:eastAsia="Times New Roman" w:cs="Times New Roman"/>
                <w:sz w:val="20"/>
                <w:szCs w:val="20"/>
                <w:lang w:val="en-GB" w:eastAsia="fr-FR"/>
              </w:rPr>
              <w:t>T.6</w:t>
            </w: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EF41A71" w14:textId="77777777" w:rsidR="006A033B" w:rsidRDefault="006A033B" w:rsidP="00BA34EF">
            <w:pPr>
              <w:pStyle w:val="Standard"/>
              <w:keepNext/>
              <w:keepLines/>
              <w:rPr>
                <w:rFonts w:hint="eastAsia"/>
              </w:rPr>
            </w:pPr>
            <w:r>
              <w:rPr>
                <w:rFonts w:eastAsia="Times New Roman" w:cs="Times New Roman"/>
                <w:sz w:val="20"/>
                <w:szCs w:val="20"/>
                <w:lang w:val="en-GB" w:eastAsia="fr-FR"/>
              </w:rPr>
              <w:t>T.7</w:t>
            </w:r>
            <w:r>
              <w:rPr>
                <w:rFonts w:eastAsia="Times New Roman" w:cs="Times New Roman"/>
                <w:sz w:val="20"/>
                <w:szCs w:val="20"/>
                <w:vertAlign w:val="superscript"/>
                <w:lang w:val="en-GB" w:eastAsia="fr-FR"/>
              </w:rPr>
              <w:t>a</w:t>
            </w: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65A73B0A" w14:textId="77777777" w:rsidR="006A033B" w:rsidRDefault="006A033B" w:rsidP="00BA34EF">
            <w:pPr>
              <w:pStyle w:val="Standard"/>
              <w:keepNext/>
              <w:keepLines/>
              <w:rPr>
                <w:rFonts w:hint="eastAsia"/>
              </w:rPr>
            </w:pPr>
            <w:r>
              <w:rPr>
                <w:rFonts w:eastAsia="Times New Roman" w:cs="Times New Roman"/>
                <w:sz w:val="20"/>
                <w:szCs w:val="20"/>
                <w:lang w:val="en-GB" w:eastAsia="fr-FR"/>
              </w:rPr>
              <w:t>T.8</w:t>
            </w:r>
          </w:p>
        </w:tc>
        <w:tc>
          <w:tcPr>
            <w:tcW w:w="6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B90CE3D" w14:textId="77777777" w:rsidR="006A033B" w:rsidRDefault="006A033B" w:rsidP="00BA34EF">
            <w:pPr>
              <w:pStyle w:val="Standard"/>
              <w:keepNext/>
              <w:keepLines/>
              <w:rPr>
                <w:rFonts w:hint="eastAsia"/>
              </w:rPr>
            </w:pPr>
            <w:proofErr w:type="spellStart"/>
            <w:r>
              <w:rPr>
                <w:rFonts w:eastAsia="Times New Roman" w:cs="Times New Roman"/>
                <w:sz w:val="20"/>
                <w:szCs w:val="20"/>
                <w:lang w:val="en-GB" w:eastAsia="fr-FR"/>
              </w:rPr>
              <w:t>Sum</w:t>
            </w:r>
            <w:r>
              <w:rPr>
                <w:rFonts w:eastAsia="Times New Roman" w:cs="Times New Roman"/>
                <w:sz w:val="20"/>
                <w:szCs w:val="20"/>
                <w:vertAlign w:val="superscript"/>
                <w:lang w:val="en-GB" w:eastAsia="fr-FR"/>
              </w:rPr>
              <w:t>d</w:t>
            </w:r>
            <w:proofErr w:type="spellEnd"/>
          </w:p>
        </w:tc>
      </w:tr>
      <w:tr w:rsidR="006A033B" w14:paraId="20180A58" w14:textId="77777777" w:rsidTr="00F53C43">
        <w:trPr>
          <w:trHeight w:val="312"/>
        </w:trPr>
        <w:tc>
          <w:tcPr>
            <w:tcW w:w="149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38F82276" w14:textId="77777777" w:rsidR="006A033B" w:rsidRDefault="006A033B" w:rsidP="00F53C43">
            <w:pPr>
              <w:pStyle w:val="Standard"/>
              <w:rPr>
                <w:rFonts w:hint="eastAsia"/>
              </w:rPr>
            </w:pPr>
            <w:r>
              <w:rPr>
                <w:rFonts w:eastAsia="Times New Roman" w:cs="Times New Roman"/>
                <w:sz w:val="20"/>
                <w:szCs w:val="20"/>
                <w:lang w:val="en-GB" w:eastAsia="fr-FR"/>
              </w:rPr>
              <w:t>Cells not transported separately from a battery</w:t>
            </w:r>
          </w:p>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24ECD94" w14:textId="77777777" w:rsidR="006A033B" w:rsidRDefault="006A033B" w:rsidP="00F53C43">
            <w:pPr>
              <w:pStyle w:val="Standard"/>
              <w:jc w:val="both"/>
              <w:rPr>
                <w:rFonts w:hint="eastAsia"/>
              </w:rPr>
            </w:pPr>
            <w:r>
              <w:rPr>
                <w:rFonts w:eastAsia="Times New Roman" w:cs="Times New Roman"/>
                <w:sz w:val="20"/>
                <w:szCs w:val="20"/>
                <w:lang w:val="en-GB" w:eastAsia="fr-FR"/>
              </w:rPr>
              <w:t>first cycle, 50 % charged state</w:t>
            </w: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4316FE5"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0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79E88D2"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7F3B7F4"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3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BE4F969"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2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A410EF4"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CE7905E"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A9A24F1"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687ED44"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1"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57A640FD"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10</w:t>
            </w:r>
          </w:p>
        </w:tc>
      </w:tr>
      <w:tr w:rsidR="006A033B" w14:paraId="13065813" w14:textId="77777777" w:rsidTr="00F53C43">
        <w:trPr>
          <w:trHeight w:val="312"/>
        </w:trPr>
        <w:tc>
          <w:tcPr>
            <w:tcW w:w="14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551A30A" w14:textId="77777777" w:rsidR="006A033B" w:rsidRDefault="006A033B" w:rsidP="00F53C43"/>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7E8A501" w14:textId="77777777" w:rsidR="006A033B" w:rsidRDefault="006A033B" w:rsidP="00F53C43">
            <w:pPr>
              <w:pStyle w:val="Standard"/>
              <w:jc w:val="both"/>
              <w:rPr>
                <w:rFonts w:hint="eastAsia"/>
              </w:rPr>
            </w:pPr>
            <w:r>
              <w:rPr>
                <w:rFonts w:eastAsia="Times New Roman" w:cs="Times New Roman"/>
                <w:sz w:val="20"/>
                <w:szCs w:val="20"/>
                <w:lang w:val="en-GB" w:eastAsia="fr-FR"/>
              </w:rPr>
              <w:t>25th cycle, 50 % charged state</w:t>
            </w: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30EE031"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0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CBBA6EC"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65FF6D98"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3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31C5376"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2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0BA9748"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14A6E96"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F814AA2"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E18F009"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1"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6DBD522C" w14:textId="77777777" w:rsidR="006A033B" w:rsidRDefault="006A033B" w:rsidP="00F53C43">
            <w:pPr>
              <w:rPr>
                <w:color w:val="FF0000"/>
                <w:highlight w:val="yellow"/>
                <w:lang w:eastAsia="fr-FR"/>
              </w:rPr>
            </w:pPr>
          </w:p>
        </w:tc>
      </w:tr>
      <w:tr w:rsidR="006A033B" w14:paraId="72665BB7" w14:textId="77777777" w:rsidTr="00F53C43">
        <w:trPr>
          <w:trHeight w:val="312"/>
        </w:trPr>
        <w:tc>
          <w:tcPr>
            <w:tcW w:w="149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756D8E91" w14:textId="77777777" w:rsidR="006A033B" w:rsidRDefault="006A033B" w:rsidP="00F53C43">
            <w:pPr>
              <w:pStyle w:val="Standard"/>
              <w:rPr>
                <w:rFonts w:hint="eastAsia"/>
              </w:rPr>
            </w:pPr>
            <w:r>
              <w:rPr>
                <w:rFonts w:eastAsia="Times New Roman" w:cs="Times New Roman"/>
                <w:sz w:val="20"/>
                <w:szCs w:val="20"/>
                <w:lang w:val="en-GB" w:eastAsia="fr-FR"/>
              </w:rPr>
              <w:t>Cells</w:t>
            </w:r>
          </w:p>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7033D53" w14:textId="77777777" w:rsidR="006A033B" w:rsidRDefault="006A033B" w:rsidP="00F53C43">
            <w:pPr>
              <w:pStyle w:val="Standard"/>
              <w:jc w:val="both"/>
              <w:rPr>
                <w:rFonts w:hint="eastAsia"/>
              </w:rPr>
            </w:pPr>
            <w:r>
              <w:rPr>
                <w:rFonts w:eastAsia="Times New Roman" w:cs="Times New Roman"/>
                <w:sz w:val="20"/>
                <w:szCs w:val="20"/>
                <w:lang w:val="en-GB" w:eastAsia="fr-FR"/>
              </w:rPr>
              <w:t>first cycle, fully charged state</w:t>
            </w:r>
          </w:p>
        </w:tc>
        <w:tc>
          <w:tcPr>
            <w:tcW w:w="2856" w:type="dxa"/>
            <w:gridSpan w:val="5"/>
            <w:tcBorders>
              <w:top w:val="single" w:sz="4" w:space="0" w:color="000001"/>
              <w:left w:val="single" w:sz="4" w:space="0" w:color="000001"/>
              <w:bottom w:val="single" w:sz="4" w:space="0" w:color="000001"/>
              <w:right w:val="single" w:sz="4" w:space="0" w:color="000001"/>
            </w:tcBorders>
            <w:shd w:val="clear" w:color="auto" w:fill="auto"/>
            <w:vAlign w:val="bottom"/>
          </w:tcPr>
          <w:p w14:paraId="22545B51"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93FF4D1"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59FA6DB"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8D0EA7D"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2"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21C08977"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20</w:t>
            </w:r>
          </w:p>
        </w:tc>
      </w:tr>
      <w:tr w:rsidR="006A033B" w14:paraId="5962B1B3" w14:textId="77777777" w:rsidTr="00F53C43">
        <w:trPr>
          <w:trHeight w:val="312"/>
        </w:trPr>
        <w:tc>
          <w:tcPr>
            <w:tcW w:w="14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BD9723E" w14:textId="77777777" w:rsidR="006A033B" w:rsidRDefault="006A033B" w:rsidP="00F53C43"/>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0008A9E" w14:textId="77777777" w:rsidR="006A033B" w:rsidRDefault="006A033B" w:rsidP="00F53C43">
            <w:pPr>
              <w:pStyle w:val="Standard"/>
              <w:jc w:val="both"/>
              <w:rPr>
                <w:rFonts w:hint="eastAsia"/>
              </w:rPr>
            </w:pPr>
            <w:r>
              <w:rPr>
                <w:rFonts w:eastAsia="Times New Roman" w:cs="Times New Roman"/>
                <w:sz w:val="20"/>
                <w:szCs w:val="20"/>
                <w:lang w:val="en-GB" w:eastAsia="fr-FR"/>
              </w:rPr>
              <w:t>25th cycle, fully charged state</w:t>
            </w:r>
          </w:p>
        </w:tc>
        <w:tc>
          <w:tcPr>
            <w:tcW w:w="2856" w:type="dxa"/>
            <w:gridSpan w:val="5"/>
            <w:tcBorders>
              <w:top w:val="single" w:sz="4" w:space="0" w:color="000001"/>
              <w:left w:val="single" w:sz="4" w:space="0" w:color="000001"/>
              <w:bottom w:val="single" w:sz="4" w:space="0" w:color="000001"/>
              <w:right w:val="single" w:sz="4" w:space="0" w:color="000001"/>
            </w:tcBorders>
            <w:shd w:val="clear" w:color="auto" w:fill="auto"/>
            <w:vAlign w:val="bottom"/>
          </w:tcPr>
          <w:p w14:paraId="6FD29DEC"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E014E5B"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328015B"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0C8C320"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2"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0F2458B" w14:textId="77777777" w:rsidR="006A033B" w:rsidRDefault="006A033B" w:rsidP="00F53C43">
            <w:pPr>
              <w:rPr>
                <w:color w:val="FF0000"/>
                <w:highlight w:val="yellow"/>
                <w:lang w:eastAsia="fr-FR"/>
              </w:rPr>
            </w:pPr>
          </w:p>
        </w:tc>
      </w:tr>
      <w:tr w:rsidR="006A033B" w14:paraId="1E6CF14C" w14:textId="77777777" w:rsidTr="00F53C43">
        <w:trPr>
          <w:trHeight w:val="312"/>
        </w:trPr>
        <w:tc>
          <w:tcPr>
            <w:tcW w:w="149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3A47FAF4" w14:textId="77777777" w:rsidR="006A033B" w:rsidRDefault="006A033B" w:rsidP="00F53C43">
            <w:pPr>
              <w:pStyle w:val="Standard"/>
              <w:rPr>
                <w:rFonts w:hint="eastAsia"/>
              </w:rPr>
            </w:pPr>
            <w:r>
              <w:rPr>
                <w:rFonts w:eastAsia="Times New Roman" w:cs="Times New Roman"/>
                <w:sz w:val="20"/>
                <w:szCs w:val="20"/>
                <w:lang w:val="en-GB" w:eastAsia="fr-FR"/>
              </w:rPr>
              <w:t xml:space="preserve">Single cell </w:t>
            </w:r>
            <w:proofErr w:type="spellStart"/>
            <w:r>
              <w:rPr>
                <w:rFonts w:eastAsia="Times New Roman" w:cs="Times New Roman"/>
                <w:sz w:val="20"/>
                <w:szCs w:val="20"/>
                <w:lang w:val="en-GB" w:eastAsia="fr-FR"/>
              </w:rPr>
              <w:t>batteries</w:t>
            </w:r>
            <w:r>
              <w:rPr>
                <w:rFonts w:eastAsia="Times New Roman" w:cs="Times New Roman"/>
                <w:sz w:val="20"/>
                <w:szCs w:val="20"/>
                <w:vertAlign w:val="superscript"/>
                <w:lang w:val="en-GB" w:eastAsia="fr-FR"/>
              </w:rPr>
              <w:t>b</w:t>
            </w:r>
            <w:proofErr w:type="spellEnd"/>
          </w:p>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6733968" w14:textId="77777777" w:rsidR="006A033B" w:rsidRDefault="006A033B" w:rsidP="00F53C43">
            <w:pPr>
              <w:pStyle w:val="Standard"/>
              <w:jc w:val="both"/>
              <w:rPr>
                <w:rFonts w:hint="eastAsia"/>
              </w:rPr>
            </w:pPr>
            <w:r>
              <w:rPr>
                <w:rFonts w:eastAsia="Times New Roman" w:cs="Times New Roman"/>
                <w:sz w:val="20"/>
                <w:szCs w:val="20"/>
                <w:lang w:val="en-GB" w:eastAsia="fr-FR"/>
              </w:rPr>
              <w:t>first cycle, fully charged state</w:t>
            </w:r>
          </w:p>
        </w:tc>
        <w:tc>
          <w:tcPr>
            <w:tcW w:w="2856" w:type="dxa"/>
            <w:gridSpan w:val="5"/>
            <w:tcBorders>
              <w:top w:val="single" w:sz="4" w:space="0" w:color="000001"/>
              <w:left w:val="single" w:sz="4" w:space="0" w:color="000001"/>
              <w:bottom w:val="single" w:sz="4" w:space="0" w:color="000001"/>
              <w:right w:val="single" w:sz="4" w:space="0" w:color="000001"/>
            </w:tcBorders>
            <w:shd w:val="clear" w:color="auto" w:fill="auto"/>
            <w:vAlign w:val="bottom"/>
          </w:tcPr>
          <w:p w14:paraId="3D6E31A9"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773E301"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3D8898F"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4</w:t>
            </w: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652217E0"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2"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67FADFEA"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24</w:t>
            </w:r>
          </w:p>
        </w:tc>
      </w:tr>
      <w:tr w:rsidR="006A033B" w14:paraId="515DBC99" w14:textId="77777777" w:rsidTr="00F53C43">
        <w:trPr>
          <w:trHeight w:val="312"/>
        </w:trPr>
        <w:tc>
          <w:tcPr>
            <w:tcW w:w="14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471A98E" w14:textId="77777777" w:rsidR="006A033B" w:rsidRDefault="006A033B" w:rsidP="00F53C43"/>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782883A" w14:textId="77777777" w:rsidR="006A033B" w:rsidRDefault="006A033B" w:rsidP="00F53C43">
            <w:pPr>
              <w:pStyle w:val="Standard"/>
              <w:jc w:val="both"/>
              <w:rPr>
                <w:rFonts w:hint="eastAsia"/>
              </w:rPr>
            </w:pPr>
            <w:r>
              <w:rPr>
                <w:rFonts w:eastAsia="Times New Roman" w:cs="Times New Roman"/>
                <w:sz w:val="20"/>
                <w:szCs w:val="20"/>
                <w:lang w:val="en-GB" w:eastAsia="fr-FR"/>
              </w:rPr>
              <w:t>25th cycle, fully charged state</w:t>
            </w:r>
          </w:p>
        </w:tc>
        <w:tc>
          <w:tcPr>
            <w:tcW w:w="2856" w:type="dxa"/>
            <w:gridSpan w:val="5"/>
            <w:tcBorders>
              <w:top w:val="single" w:sz="4" w:space="0" w:color="000001"/>
              <w:left w:val="single" w:sz="4" w:space="0" w:color="000001"/>
              <w:bottom w:val="single" w:sz="4" w:space="0" w:color="000001"/>
              <w:right w:val="single" w:sz="4" w:space="0" w:color="000001"/>
            </w:tcBorders>
            <w:shd w:val="clear" w:color="auto" w:fill="auto"/>
            <w:vAlign w:val="bottom"/>
          </w:tcPr>
          <w:p w14:paraId="55B0D22A"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B7B7ED4"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5</w:t>
            </w: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BBD8898"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12E198B"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2"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096B9AC" w14:textId="77777777" w:rsidR="006A033B" w:rsidRDefault="006A033B" w:rsidP="00F53C43">
            <w:pPr>
              <w:rPr>
                <w:color w:val="FF0000"/>
                <w:highlight w:val="yellow"/>
                <w:lang w:eastAsia="fr-FR"/>
              </w:rPr>
            </w:pPr>
          </w:p>
        </w:tc>
      </w:tr>
      <w:tr w:rsidR="006A033B" w14:paraId="1526BC58" w14:textId="77777777" w:rsidTr="00F53C43">
        <w:trPr>
          <w:trHeight w:val="312"/>
        </w:trPr>
        <w:tc>
          <w:tcPr>
            <w:tcW w:w="149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4190D81" w14:textId="77777777" w:rsidR="006A033B" w:rsidRDefault="006A033B" w:rsidP="00F53C43">
            <w:pPr>
              <w:pStyle w:val="Standard"/>
              <w:rPr>
                <w:rFonts w:hint="eastAsia"/>
              </w:rPr>
            </w:pPr>
            <w:r>
              <w:rPr>
                <w:rFonts w:eastAsia="Times New Roman" w:cs="Times New Roman"/>
                <w:sz w:val="20"/>
                <w:szCs w:val="20"/>
                <w:lang w:val="en-GB" w:eastAsia="fr-FR"/>
              </w:rPr>
              <w:t>Small batteries</w:t>
            </w:r>
          </w:p>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027D220" w14:textId="77777777" w:rsidR="006A033B" w:rsidRDefault="006A033B" w:rsidP="00F53C43">
            <w:pPr>
              <w:pStyle w:val="Standard"/>
              <w:jc w:val="both"/>
              <w:rPr>
                <w:rFonts w:hint="eastAsia"/>
              </w:rPr>
            </w:pPr>
            <w:r>
              <w:rPr>
                <w:rFonts w:eastAsia="Times New Roman" w:cs="Times New Roman"/>
                <w:sz w:val="20"/>
                <w:szCs w:val="20"/>
                <w:lang w:val="en-GB" w:eastAsia="fr-FR"/>
              </w:rPr>
              <w:t>first cycle, fully charged state</w:t>
            </w:r>
          </w:p>
        </w:tc>
        <w:tc>
          <w:tcPr>
            <w:tcW w:w="2856" w:type="dxa"/>
            <w:gridSpan w:val="5"/>
            <w:tcBorders>
              <w:top w:val="single" w:sz="4" w:space="0" w:color="000001"/>
              <w:left w:val="single" w:sz="4" w:space="0" w:color="000001"/>
              <w:bottom w:val="single" w:sz="4" w:space="0" w:color="000001"/>
              <w:right w:val="single" w:sz="4" w:space="0" w:color="000001"/>
            </w:tcBorders>
            <w:shd w:val="clear" w:color="auto" w:fill="auto"/>
            <w:vAlign w:val="bottom"/>
          </w:tcPr>
          <w:p w14:paraId="32B4DB4F"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4</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F4E3CB0"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577B27B8"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4</w:t>
            </w: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AAF9A62"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2"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2DC26197"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16</w:t>
            </w:r>
          </w:p>
        </w:tc>
      </w:tr>
      <w:tr w:rsidR="006A033B" w14:paraId="37C702B5" w14:textId="77777777" w:rsidTr="00F53C43">
        <w:trPr>
          <w:trHeight w:val="324"/>
        </w:trPr>
        <w:tc>
          <w:tcPr>
            <w:tcW w:w="14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A143152" w14:textId="77777777" w:rsidR="006A033B" w:rsidRDefault="006A033B" w:rsidP="00F53C43"/>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3B4D6DA" w14:textId="77777777" w:rsidR="006A033B" w:rsidRDefault="006A033B" w:rsidP="00F53C43">
            <w:pPr>
              <w:pStyle w:val="Standard"/>
              <w:jc w:val="both"/>
              <w:rPr>
                <w:rFonts w:hint="eastAsia"/>
              </w:rPr>
            </w:pPr>
            <w:r>
              <w:rPr>
                <w:rFonts w:eastAsia="Times New Roman" w:cs="Times New Roman"/>
                <w:sz w:val="20"/>
                <w:szCs w:val="20"/>
                <w:lang w:val="en-GB" w:eastAsia="fr-FR"/>
              </w:rPr>
              <w:t>25th cycle, fully charged state</w:t>
            </w:r>
          </w:p>
        </w:tc>
        <w:tc>
          <w:tcPr>
            <w:tcW w:w="2856" w:type="dxa"/>
            <w:gridSpan w:val="5"/>
            <w:tcBorders>
              <w:top w:val="single" w:sz="4" w:space="0" w:color="000001"/>
              <w:left w:val="single" w:sz="4" w:space="0" w:color="000001"/>
              <w:bottom w:val="single" w:sz="4" w:space="0" w:color="000001"/>
              <w:right w:val="single" w:sz="4" w:space="0" w:color="000001"/>
            </w:tcBorders>
            <w:shd w:val="clear" w:color="auto" w:fill="auto"/>
            <w:vAlign w:val="bottom"/>
          </w:tcPr>
          <w:p w14:paraId="0BA34EA7"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4</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30D0DE6"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6DAF0FD"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4</w:t>
            </w: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85C2234"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2"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1990E51" w14:textId="77777777" w:rsidR="006A033B" w:rsidRDefault="006A033B" w:rsidP="00F53C43">
            <w:pPr>
              <w:rPr>
                <w:color w:val="FF0000"/>
                <w:highlight w:val="yellow"/>
                <w:lang w:eastAsia="fr-FR"/>
              </w:rPr>
            </w:pPr>
          </w:p>
        </w:tc>
      </w:tr>
      <w:tr w:rsidR="006A033B" w14:paraId="4F374AC3" w14:textId="77777777" w:rsidTr="00F53C43">
        <w:trPr>
          <w:trHeight w:val="312"/>
        </w:trPr>
        <w:tc>
          <w:tcPr>
            <w:tcW w:w="149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68BFA5F4" w14:textId="77777777" w:rsidR="006A033B" w:rsidRDefault="006A033B" w:rsidP="00F53C43">
            <w:pPr>
              <w:pStyle w:val="Standard"/>
              <w:rPr>
                <w:rFonts w:hint="eastAsia"/>
              </w:rPr>
            </w:pPr>
            <w:r>
              <w:rPr>
                <w:rFonts w:eastAsia="Times New Roman" w:cs="Times New Roman"/>
                <w:sz w:val="20"/>
                <w:szCs w:val="20"/>
                <w:lang w:val="en-GB" w:eastAsia="fr-FR"/>
              </w:rPr>
              <w:t>Large batteries</w:t>
            </w:r>
          </w:p>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B4E776E" w14:textId="77777777" w:rsidR="006A033B" w:rsidRDefault="006A033B" w:rsidP="00F53C43">
            <w:pPr>
              <w:pStyle w:val="Standard"/>
              <w:jc w:val="both"/>
              <w:rPr>
                <w:rFonts w:hint="eastAsia"/>
              </w:rPr>
            </w:pPr>
            <w:r>
              <w:rPr>
                <w:rFonts w:eastAsia="Times New Roman" w:cs="Times New Roman"/>
                <w:sz w:val="20"/>
                <w:szCs w:val="20"/>
                <w:lang w:val="en-GB" w:eastAsia="fr-FR"/>
              </w:rPr>
              <w:t>first cycle, fully charged state</w:t>
            </w:r>
          </w:p>
        </w:tc>
        <w:tc>
          <w:tcPr>
            <w:tcW w:w="2856" w:type="dxa"/>
            <w:gridSpan w:val="5"/>
            <w:tcBorders>
              <w:top w:val="single" w:sz="4" w:space="0" w:color="000001"/>
              <w:left w:val="single" w:sz="4" w:space="0" w:color="000001"/>
              <w:bottom w:val="single" w:sz="4" w:space="0" w:color="000001"/>
              <w:right w:val="single" w:sz="4" w:space="0" w:color="000001"/>
            </w:tcBorders>
            <w:shd w:val="clear" w:color="auto" w:fill="auto"/>
            <w:vAlign w:val="bottom"/>
          </w:tcPr>
          <w:p w14:paraId="2C487F1E"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2</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44178AA"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EBEF8A3"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2</w:t>
            </w: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F5547D3"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2"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15B155DA"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8</w:t>
            </w:r>
          </w:p>
        </w:tc>
      </w:tr>
      <w:tr w:rsidR="006A033B" w14:paraId="6D5019E0" w14:textId="77777777" w:rsidTr="00F53C43">
        <w:trPr>
          <w:trHeight w:val="324"/>
        </w:trPr>
        <w:tc>
          <w:tcPr>
            <w:tcW w:w="14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73BE805" w14:textId="77777777" w:rsidR="006A033B" w:rsidRDefault="006A033B" w:rsidP="00F53C43"/>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040BEBC" w14:textId="77777777" w:rsidR="006A033B" w:rsidRDefault="006A033B" w:rsidP="00F53C43">
            <w:pPr>
              <w:pStyle w:val="Standard"/>
              <w:jc w:val="both"/>
              <w:rPr>
                <w:rFonts w:hint="eastAsia"/>
              </w:rPr>
            </w:pPr>
            <w:r>
              <w:rPr>
                <w:rFonts w:eastAsia="Times New Roman" w:cs="Times New Roman"/>
                <w:sz w:val="20"/>
                <w:szCs w:val="20"/>
                <w:lang w:val="en-GB" w:eastAsia="fr-FR"/>
              </w:rPr>
              <w:t>25th cycle, fully charged state</w:t>
            </w:r>
          </w:p>
        </w:tc>
        <w:tc>
          <w:tcPr>
            <w:tcW w:w="2856" w:type="dxa"/>
            <w:gridSpan w:val="5"/>
            <w:tcBorders>
              <w:top w:val="single" w:sz="4" w:space="0" w:color="000001"/>
              <w:left w:val="single" w:sz="4" w:space="0" w:color="000001"/>
              <w:bottom w:val="single" w:sz="4" w:space="0" w:color="000001"/>
              <w:right w:val="single" w:sz="4" w:space="0" w:color="000001"/>
            </w:tcBorders>
            <w:shd w:val="clear" w:color="auto" w:fill="auto"/>
            <w:vAlign w:val="bottom"/>
          </w:tcPr>
          <w:p w14:paraId="7EE237F7"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2</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78A00BB"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44AE578" w14:textId="77777777" w:rsidR="006A033B" w:rsidRDefault="006A033B" w:rsidP="00F53C43">
            <w:pPr>
              <w:pStyle w:val="Standard"/>
              <w:jc w:val="center"/>
              <w:rPr>
                <w:rFonts w:hint="eastAsia"/>
                <w:color w:val="FF0000"/>
                <w:highlight w:val="yellow"/>
              </w:rPr>
            </w:pPr>
            <w:r>
              <w:rPr>
                <w:rFonts w:eastAsia="Times New Roman" w:cs="Times New Roman"/>
                <w:color w:val="FF0000"/>
                <w:sz w:val="20"/>
                <w:szCs w:val="20"/>
                <w:highlight w:val="yellow"/>
                <w:lang w:val="en-GB" w:eastAsia="fr-FR"/>
              </w:rPr>
              <w:t>2</w:t>
            </w: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1851F6C7" w14:textId="77777777" w:rsidR="006A033B" w:rsidRDefault="006A033B" w:rsidP="00F53C43">
            <w:pPr>
              <w:pStyle w:val="Standard"/>
              <w:snapToGrid w:val="0"/>
              <w:jc w:val="center"/>
              <w:rPr>
                <w:rFonts w:ascii="Times New Roman" w:hAnsi="Times New Roman" w:cs="Times New Roman"/>
                <w:color w:val="FF0000"/>
                <w:sz w:val="20"/>
                <w:szCs w:val="20"/>
                <w:highlight w:val="yellow"/>
                <w:lang w:val="en-GB" w:eastAsia="fr-FR"/>
              </w:rPr>
            </w:pPr>
          </w:p>
        </w:tc>
        <w:tc>
          <w:tcPr>
            <w:tcW w:w="682"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1B74DD07" w14:textId="77777777" w:rsidR="006A033B" w:rsidRDefault="006A033B" w:rsidP="00F53C43">
            <w:pPr>
              <w:rPr>
                <w:color w:val="FF0000"/>
                <w:highlight w:val="yellow"/>
                <w:lang w:eastAsia="fr-FR"/>
              </w:rPr>
            </w:pPr>
          </w:p>
        </w:tc>
      </w:tr>
      <w:tr w:rsidR="006A033B" w14:paraId="28E80C1E" w14:textId="77777777" w:rsidTr="00F53C43">
        <w:trPr>
          <w:trHeight w:val="948"/>
        </w:trPr>
        <w:tc>
          <w:tcPr>
            <w:tcW w:w="14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FD9964" w14:textId="77777777" w:rsidR="006A033B" w:rsidRDefault="006A033B" w:rsidP="00F53C43">
            <w:pPr>
              <w:pStyle w:val="Standard"/>
              <w:rPr>
                <w:rFonts w:hint="eastAsia"/>
              </w:rPr>
            </w:pPr>
            <w:r>
              <w:rPr>
                <w:rFonts w:eastAsia="Times New Roman" w:cs="Times New Roman"/>
                <w:sz w:val="20"/>
                <w:szCs w:val="20"/>
                <w:lang w:val="en-GB" w:eastAsia="fr-FR"/>
              </w:rPr>
              <w:t>Batteries assembled</w:t>
            </w:r>
            <w:r>
              <w:rPr>
                <w:sz w:val="20"/>
                <w:szCs w:val="20"/>
                <w:lang w:val="en-GB"/>
              </w:rPr>
              <w:br/>
            </w:r>
            <w:r>
              <w:rPr>
                <w:rFonts w:eastAsia="Times New Roman" w:cs="Times New Roman"/>
                <w:sz w:val="20"/>
                <w:szCs w:val="20"/>
                <w:lang w:val="en-GB" w:eastAsia="fr-FR"/>
              </w:rPr>
              <w:t>with tested batteries</w:t>
            </w:r>
            <w:r>
              <w:rPr>
                <w:sz w:val="20"/>
                <w:szCs w:val="20"/>
                <w:lang w:val="en-GB"/>
              </w:rPr>
              <w:br/>
            </w:r>
            <w:r>
              <w:rPr>
                <w:rFonts w:eastAsia="Times New Roman" w:cs="Times New Roman"/>
                <w:sz w:val="20"/>
                <w:szCs w:val="20"/>
                <w:lang w:val="en-GB" w:eastAsia="fr-FR"/>
              </w:rPr>
              <w:t xml:space="preserve">≤ 6 200 </w:t>
            </w:r>
            <w:proofErr w:type="spellStart"/>
            <w:r>
              <w:rPr>
                <w:rFonts w:eastAsia="Times New Roman" w:cs="Times New Roman"/>
                <w:sz w:val="20"/>
                <w:szCs w:val="20"/>
                <w:lang w:val="en-GB" w:eastAsia="fr-FR"/>
              </w:rPr>
              <w:t>Wh</w:t>
            </w:r>
            <w:proofErr w:type="spellEnd"/>
          </w:p>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F26445" w14:textId="77777777" w:rsidR="006A033B" w:rsidRDefault="006A033B" w:rsidP="00F53C43">
            <w:pPr>
              <w:pStyle w:val="Standard"/>
              <w:jc w:val="both"/>
              <w:rPr>
                <w:rFonts w:hint="eastAsia"/>
              </w:rPr>
            </w:pPr>
            <w:r>
              <w:rPr>
                <w:rFonts w:eastAsia="Times New Roman" w:cs="Times New Roman"/>
                <w:sz w:val="20"/>
                <w:szCs w:val="20"/>
                <w:lang w:val="en-GB" w:eastAsia="fr-FR"/>
              </w:rPr>
              <w:t>fully charged state</w:t>
            </w: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FDAE32"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60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1062D8"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1656"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14:paraId="62ACD886" w14:textId="77777777" w:rsidR="006A033B" w:rsidRDefault="006A033B" w:rsidP="00F53C43">
            <w:pPr>
              <w:pStyle w:val="Standard"/>
              <w:jc w:val="center"/>
              <w:rPr>
                <w:rFonts w:hint="eastAsia"/>
              </w:rPr>
            </w:pPr>
            <w:r>
              <w:rPr>
                <w:rFonts w:eastAsia="Times New Roman" w:cs="Times New Roman"/>
                <w:sz w:val="20"/>
                <w:szCs w:val="20"/>
                <w:lang w:val="en-GB" w:eastAsia="fr-FR"/>
              </w:rPr>
              <w:t>1</w:t>
            </w: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FB87CA"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951492" w14:textId="77777777" w:rsidR="006A033B" w:rsidRDefault="006A033B" w:rsidP="00F53C43">
            <w:pPr>
              <w:pStyle w:val="Standard"/>
              <w:jc w:val="center"/>
              <w:rPr>
                <w:rFonts w:hint="eastAsia"/>
              </w:rPr>
            </w:pPr>
            <w:r>
              <w:rPr>
                <w:rFonts w:eastAsia="Times New Roman" w:cs="Times New Roman"/>
                <w:sz w:val="20"/>
                <w:szCs w:val="20"/>
                <w:lang w:val="en-GB" w:eastAsia="fr-FR"/>
              </w:rPr>
              <w:t>1</w:t>
            </w: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142E3C1"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6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283E3A" w14:textId="77777777" w:rsidR="006A033B" w:rsidRDefault="006A033B" w:rsidP="00F53C43">
            <w:pPr>
              <w:pStyle w:val="Standard"/>
              <w:jc w:val="center"/>
              <w:rPr>
                <w:rFonts w:hint="eastAsia"/>
              </w:rPr>
            </w:pPr>
            <w:r>
              <w:rPr>
                <w:rFonts w:eastAsia="Times New Roman" w:cs="Times New Roman"/>
                <w:sz w:val="20"/>
                <w:szCs w:val="20"/>
                <w:lang w:val="en-GB" w:eastAsia="fr-FR"/>
              </w:rPr>
              <w:t>2</w:t>
            </w:r>
          </w:p>
        </w:tc>
      </w:tr>
      <w:tr w:rsidR="006A033B" w14:paraId="367FBB60" w14:textId="77777777" w:rsidTr="00F53C43">
        <w:trPr>
          <w:trHeight w:val="948"/>
        </w:trPr>
        <w:tc>
          <w:tcPr>
            <w:tcW w:w="149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259497" w14:textId="77777777" w:rsidR="006A033B" w:rsidRDefault="006A033B" w:rsidP="00F53C43">
            <w:pPr>
              <w:pStyle w:val="Standard"/>
              <w:rPr>
                <w:rFonts w:hint="eastAsia"/>
              </w:rPr>
            </w:pPr>
            <w:r>
              <w:rPr>
                <w:rFonts w:eastAsia="Times New Roman" w:cs="Times New Roman"/>
                <w:sz w:val="20"/>
                <w:szCs w:val="20"/>
                <w:lang w:val="en-GB" w:eastAsia="fr-FR"/>
              </w:rPr>
              <w:t>Batteries assembled</w:t>
            </w:r>
            <w:r>
              <w:rPr>
                <w:sz w:val="20"/>
                <w:szCs w:val="20"/>
                <w:lang w:val="en-GB"/>
              </w:rPr>
              <w:br/>
            </w:r>
            <w:r>
              <w:rPr>
                <w:rFonts w:eastAsia="Times New Roman" w:cs="Times New Roman"/>
                <w:sz w:val="20"/>
                <w:szCs w:val="20"/>
                <w:lang w:val="en-GB" w:eastAsia="fr-FR"/>
              </w:rPr>
              <w:t>with tested batteries</w:t>
            </w:r>
            <w:r>
              <w:rPr>
                <w:sz w:val="20"/>
                <w:szCs w:val="20"/>
                <w:lang w:val="en-GB"/>
              </w:rPr>
              <w:br/>
            </w:r>
            <w:r>
              <w:rPr>
                <w:rFonts w:eastAsia="Times New Roman" w:cs="Times New Roman"/>
                <w:sz w:val="20"/>
                <w:szCs w:val="20"/>
                <w:lang w:val="en-GB" w:eastAsia="fr-FR"/>
              </w:rPr>
              <w:t xml:space="preserve">&gt; 6 200 </w:t>
            </w:r>
            <w:proofErr w:type="spellStart"/>
            <w:r>
              <w:rPr>
                <w:rFonts w:eastAsia="Times New Roman" w:cs="Times New Roman"/>
                <w:sz w:val="20"/>
                <w:szCs w:val="20"/>
                <w:lang w:val="en-GB" w:eastAsia="fr-FR"/>
              </w:rPr>
              <w:t>Wh</w:t>
            </w:r>
            <w:r>
              <w:rPr>
                <w:sz w:val="20"/>
                <w:szCs w:val="20"/>
                <w:vertAlign w:val="superscript"/>
                <w:lang w:val="en-GB"/>
              </w:rPr>
              <w:t>c</w:t>
            </w:r>
            <w:proofErr w:type="spellEnd"/>
          </w:p>
        </w:tc>
        <w:tc>
          <w:tcPr>
            <w:tcW w:w="2858" w:type="dxa"/>
            <w:tcBorders>
              <w:top w:val="single" w:sz="4" w:space="0" w:color="000001"/>
              <w:left w:val="single" w:sz="4" w:space="0" w:color="000001"/>
              <w:bottom w:val="single" w:sz="4" w:space="0" w:color="000001"/>
              <w:right w:val="single" w:sz="4" w:space="0" w:color="000001"/>
            </w:tcBorders>
            <w:shd w:val="clear" w:color="auto" w:fill="auto"/>
            <w:vAlign w:val="bottom"/>
          </w:tcPr>
          <w:p w14:paraId="61C25FD0" w14:textId="77777777" w:rsidR="006A033B" w:rsidRDefault="006A033B" w:rsidP="00F53C43">
            <w:pPr>
              <w:pStyle w:val="Standard"/>
              <w:jc w:val="both"/>
              <w:rPr>
                <w:rFonts w:hint="eastAsia"/>
              </w:rPr>
            </w:pPr>
            <w:r>
              <w:rPr>
                <w:rFonts w:eastAsia="Times New Roman" w:cs="Times New Roman"/>
                <w:sz w:val="20"/>
                <w:szCs w:val="20"/>
                <w:lang w:val="en-GB" w:eastAsia="fr-FR"/>
              </w:rPr>
              <w:t> </w:t>
            </w: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8E28B2C"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60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2602044F"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60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366BFEC6"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53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6819D4FC"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52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20CA655"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595" w:type="dxa"/>
            <w:tcBorders>
              <w:top w:val="single" w:sz="4" w:space="0" w:color="000001"/>
              <w:left w:val="single" w:sz="4" w:space="0" w:color="000001"/>
              <w:bottom w:val="single" w:sz="4" w:space="0" w:color="000001"/>
              <w:right w:val="single" w:sz="4" w:space="0" w:color="000001"/>
            </w:tcBorders>
            <w:shd w:val="clear" w:color="auto" w:fill="auto"/>
            <w:vAlign w:val="bottom"/>
          </w:tcPr>
          <w:p w14:paraId="7A55DC19"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583"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AE9A763"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581" w:type="dxa"/>
            <w:tcBorders>
              <w:top w:val="single" w:sz="4" w:space="0" w:color="000001"/>
              <w:left w:val="single" w:sz="4" w:space="0" w:color="000001"/>
              <w:bottom w:val="single" w:sz="4" w:space="0" w:color="000001"/>
              <w:right w:val="single" w:sz="4" w:space="0" w:color="000001"/>
            </w:tcBorders>
            <w:shd w:val="clear" w:color="auto" w:fill="auto"/>
            <w:vAlign w:val="bottom"/>
          </w:tcPr>
          <w:p w14:paraId="00C767FF" w14:textId="77777777" w:rsidR="006A033B" w:rsidRDefault="006A033B" w:rsidP="00F53C43">
            <w:pPr>
              <w:pStyle w:val="Standard"/>
              <w:snapToGrid w:val="0"/>
              <w:jc w:val="center"/>
              <w:rPr>
                <w:rFonts w:ascii="Times New Roman" w:hAnsi="Times New Roman" w:cs="Times New Roman"/>
                <w:sz w:val="20"/>
                <w:szCs w:val="20"/>
                <w:lang w:val="en-GB" w:eastAsia="fr-FR"/>
              </w:rPr>
            </w:pPr>
          </w:p>
        </w:tc>
        <w:tc>
          <w:tcPr>
            <w:tcW w:w="6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ED4BBE" w14:textId="77777777" w:rsidR="006A033B" w:rsidRDefault="006A033B" w:rsidP="00F53C43">
            <w:pPr>
              <w:pStyle w:val="Standard"/>
              <w:jc w:val="center"/>
              <w:rPr>
                <w:rFonts w:hint="eastAsia"/>
              </w:rPr>
            </w:pPr>
            <w:r>
              <w:rPr>
                <w:rFonts w:eastAsia="Times New Roman" w:cs="Times New Roman"/>
                <w:sz w:val="20"/>
                <w:szCs w:val="20"/>
                <w:lang w:val="en-GB" w:eastAsia="fr-FR"/>
              </w:rPr>
              <w:t>0</w:t>
            </w:r>
          </w:p>
        </w:tc>
      </w:tr>
    </w:tbl>
    <w:p w14:paraId="5D4420EC" w14:textId="77777777" w:rsidR="006A033B" w:rsidRDefault="006A033B" w:rsidP="006A033B">
      <w:pPr>
        <w:pStyle w:val="SingleTxtG"/>
        <w:spacing w:before="120" w:after="0"/>
      </w:pPr>
      <w:r>
        <w:rPr>
          <w:i/>
          <w:iCs/>
          <w:szCs w:val="22"/>
          <w:u w:val="single"/>
          <w:vertAlign w:val="superscript"/>
          <w:lang w:eastAsia="es-ES"/>
        </w:rPr>
        <w:t>a</w:t>
      </w:r>
      <w:r>
        <w:rPr>
          <w:i/>
          <w:iCs/>
          <w:szCs w:val="22"/>
          <w:u w:val="single"/>
          <w:vertAlign w:val="superscript"/>
          <w:lang w:eastAsia="es-ES"/>
        </w:rPr>
        <w:tab/>
      </w:r>
      <w:r>
        <w:rPr>
          <w:i/>
          <w:iCs/>
          <w:u w:val="single"/>
          <w:lang w:eastAsia="es-ES"/>
        </w:rPr>
        <w:t>Batteries or single cell batteries not equipped with battery overcharge protection that are designed for use only as a component in another battery or in equipment, which affords such protection, are not subject to the requirements of this test;</w:t>
      </w:r>
    </w:p>
    <w:p w14:paraId="19AFEFC7" w14:textId="77777777" w:rsidR="006A033B" w:rsidRDefault="006A033B" w:rsidP="006A033B">
      <w:pPr>
        <w:pStyle w:val="SingleTxtG"/>
      </w:pPr>
      <w:r>
        <w:rPr>
          <w:i/>
          <w:iCs/>
          <w:u w:val="single"/>
          <w:vertAlign w:val="superscript"/>
        </w:rPr>
        <w:t>b</w:t>
      </w:r>
      <w:r>
        <w:rPr>
          <w:rFonts w:cs="Lucida Sans"/>
          <w:i/>
          <w:iCs/>
          <w:u w:val="single"/>
        </w:rPr>
        <w:tab/>
      </w:r>
      <w:r>
        <w:rPr>
          <w:i/>
          <w:iCs/>
          <w:u w:val="single"/>
        </w:rPr>
        <w:t>Except for the T.7 Overcharge test, a single cell battery containing one tested cell does not require testing unless a change in cell design could result in the failure of any test;</w:t>
      </w:r>
    </w:p>
    <w:p w14:paraId="0D8E6A4E" w14:textId="77777777" w:rsidR="006A033B" w:rsidRDefault="006A033B" w:rsidP="006A033B">
      <w:pPr>
        <w:pStyle w:val="SingleTxtG"/>
      </w:pPr>
      <w:r>
        <w:rPr>
          <w:i/>
          <w:iCs/>
          <w:u w:val="single"/>
          <w:vertAlign w:val="superscript"/>
        </w:rPr>
        <w:t>c</w:t>
      </w:r>
      <w:r>
        <w:rPr>
          <w:rFonts w:cs="Lucida Sans"/>
          <w:i/>
          <w:iCs/>
          <w:u w:val="single"/>
        </w:rPr>
        <w:tab/>
      </w:r>
      <w:r>
        <w:rPr>
          <w:i/>
          <w:iCs/>
          <w:u w:val="single"/>
        </w:rPr>
        <w:t>If the assembled battery is of a type that has been verified as preventing:</w:t>
      </w:r>
    </w:p>
    <w:p w14:paraId="2B90F0FA" w14:textId="77777777" w:rsidR="006A033B" w:rsidRDefault="006A033B" w:rsidP="006A033B">
      <w:pPr>
        <w:pStyle w:val="SingleTxtG"/>
        <w:ind w:firstLine="567"/>
      </w:pPr>
      <w:r>
        <w:rPr>
          <w:i/>
          <w:iCs/>
          <w:u w:val="single"/>
        </w:rPr>
        <w:t>(</w:t>
      </w:r>
      <w:proofErr w:type="spellStart"/>
      <w:r>
        <w:rPr>
          <w:i/>
          <w:iCs/>
          <w:u w:val="single"/>
        </w:rPr>
        <w:t>i</w:t>
      </w:r>
      <w:proofErr w:type="spellEnd"/>
      <w:r>
        <w:rPr>
          <w:i/>
          <w:iCs/>
          <w:u w:val="single"/>
        </w:rPr>
        <w:t>)</w:t>
      </w:r>
      <w:r>
        <w:rPr>
          <w:i/>
          <w:iCs/>
          <w:u w:val="single"/>
        </w:rPr>
        <w:tab/>
        <w:t>Overcharge;</w:t>
      </w:r>
    </w:p>
    <w:p w14:paraId="72797AF6" w14:textId="77777777" w:rsidR="006A033B" w:rsidRDefault="006A033B" w:rsidP="006A033B">
      <w:pPr>
        <w:pStyle w:val="SingleTxtG"/>
        <w:ind w:firstLine="567"/>
      </w:pPr>
      <w:r>
        <w:rPr>
          <w:i/>
          <w:iCs/>
          <w:u w:val="single"/>
        </w:rPr>
        <w:t>(ii)</w:t>
      </w:r>
      <w:r>
        <w:rPr>
          <w:i/>
          <w:iCs/>
          <w:u w:val="single"/>
        </w:rPr>
        <w:tab/>
        <w:t>Short circuits; and</w:t>
      </w:r>
    </w:p>
    <w:p w14:paraId="396F2EE5" w14:textId="77777777" w:rsidR="006A033B" w:rsidRDefault="006A033B" w:rsidP="006A033B">
      <w:pPr>
        <w:pStyle w:val="SingleTxtG"/>
        <w:ind w:firstLine="567"/>
      </w:pPr>
      <w:r>
        <w:rPr>
          <w:i/>
          <w:iCs/>
          <w:u w:val="single"/>
        </w:rPr>
        <w:t>(iii)</w:t>
      </w:r>
      <w:r>
        <w:rPr>
          <w:i/>
          <w:iCs/>
          <w:u w:val="single"/>
        </w:rPr>
        <w:tab/>
        <w:t>Over discharge between the batteries.</w:t>
      </w:r>
    </w:p>
    <w:p w14:paraId="7966E706" w14:textId="77777777" w:rsidR="006A033B" w:rsidRDefault="006A033B" w:rsidP="006A033B">
      <w:pPr>
        <w:pStyle w:val="SingleTxtG"/>
      </w:pPr>
      <w:r>
        <w:rPr>
          <w:i/>
          <w:iCs/>
          <w:u w:val="single"/>
          <w:vertAlign w:val="superscript"/>
          <w:lang w:eastAsia="es-ES"/>
        </w:rPr>
        <w:t>d</w:t>
      </w:r>
      <w:r>
        <w:rPr>
          <w:rFonts w:cs="Lucida Sans"/>
          <w:i/>
          <w:iCs/>
          <w:u w:val="single"/>
          <w:lang w:eastAsia="es-ES"/>
        </w:rPr>
        <w:tab/>
      </w:r>
      <w:r>
        <w:rPr>
          <w:i/>
          <w:iCs/>
          <w:u w:val="single"/>
          <w:lang w:eastAsia="es-ES"/>
        </w:rPr>
        <w:t xml:space="preserve">The </w:t>
      </w:r>
      <w:r>
        <w:rPr>
          <w:i/>
          <w:iCs/>
          <w:u w:val="single"/>
        </w:rPr>
        <w:t>sum</w:t>
      </w:r>
      <w:r>
        <w:rPr>
          <w:i/>
          <w:iCs/>
          <w:u w:val="single"/>
          <w:lang w:eastAsia="es-ES"/>
        </w:rPr>
        <w:t xml:space="preserve"> represents the number of tests required, not the number of cells or batteries tested</w:t>
      </w:r>
      <w:r>
        <w:rPr>
          <w:u w:val="single"/>
          <w:lang w:eastAsia="es-ES"/>
        </w:rPr>
        <w:t>.”</w:t>
      </w:r>
    </w:p>
    <w:p w14:paraId="7BB9B73B" w14:textId="77777777" w:rsidR="006A033B" w:rsidRDefault="006A033B" w:rsidP="006A033B">
      <w:pPr>
        <w:pStyle w:val="SingleTxtG"/>
      </w:pPr>
      <w:r>
        <w:rPr>
          <w:lang w:eastAsia="es-ES"/>
        </w:rPr>
        <w:t>Amend section 38.3.5 as follows:</w:t>
      </w:r>
    </w:p>
    <w:p w14:paraId="1EB73B8F" w14:textId="77777777" w:rsidR="006A033B" w:rsidRDefault="006A033B" w:rsidP="006A033B">
      <w:pPr>
        <w:pStyle w:val="SingleTxtG"/>
      </w:pPr>
      <w:r>
        <w:rPr>
          <w:b/>
          <w:bCs/>
        </w:rPr>
        <w:tab/>
        <w:t>“38.3.5</w:t>
      </w:r>
      <w:r>
        <w:rPr>
          <w:b/>
          <w:bCs/>
        </w:rPr>
        <w:tab/>
      </w:r>
      <w:r>
        <w:rPr>
          <w:b/>
          <w:bCs/>
          <w:strike/>
        </w:rPr>
        <w:t xml:space="preserve">Lithium </w:t>
      </w:r>
      <w:r>
        <w:rPr>
          <w:b/>
          <w:bCs/>
          <w:u w:val="single"/>
        </w:rPr>
        <w:t>C</w:t>
      </w:r>
      <w:r>
        <w:rPr>
          <w:b/>
          <w:bCs/>
        </w:rPr>
        <w:t>ell and battery test summary</w:t>
      </w:r>
    </w:p>
    <w:p w14:paraId="7674B0CA" w14:textId="77777777" w:rsidR="006A033B" w:rsidRDefault="006A033B" w:rsidP="006A033B">
      <w:pPr>
        <w:pStyle w:val="SingleTxtG"/>
      </w:pPr>
      <w:r>
        <w:t>The following test summary shall be made available:</w:t>
      </w:r>
    </w:p>
    <w:tbl>
      <w:tblPr>
        <w:tblW w:w="7796" w:type="dxa"/>
        <w:tblInd w:w="70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5" w:type="dxa"/>
        </w:tblCellMar>
        <w:tblLook w:val="04A0" w:firstRow="1" w:lastRow="0" w:firstColumn="1" w:lastColumn="0" w:noHBand="0" w:noVBand="1"/>
      </w:tblPr>
      <w:tblGrid>
        <w:gridCol w:w="7796"/>
      </w:tblGrid>
      <w:tr w:rsidR="006A033B" w14:paraId="5F201C5F" w14:textId="77777777" w:rsidTr="00F53C43">
        <w:tc>
          <w:tcPr>
            <w:tcW w:w="7796" w:type="dxa"/>
            <w:tcBorders>
              <w:top w:val="single" w:sz="4" w:space="0" w:color="000001"/>
              <w:left w:val="single" w:sz="4" w:space="0" w:color="000001"/>
              <w:bottom w:val="single" w:sz="4" w:space="0" w:color="000001"/>
              <w:right w:val="single" w:sz="4" w:space="0" w:color="000001"/>
            </w:tcBorders>
            <w:shd w:val="clear" w:color="auto" w:fill="auto"/>
          </w:tcPr>
          <w:p w14:paraId="75AF3F66" w14:textId="77777777" w:rsidR="006A033B" w:rsidRDefault="006A033B" w:rsidP="00F53C43">
            <w:r>
              <w:rPr>
                <w:rFonts w:cstheme="majorBidi"/>
                <w:b/>
                <w:strike/>
              </w:rPr>
              <w:t xml:space="preserve">Lithium </w:t>
            </w:r>
            <w:proofErr w:type="spellStart"/>
            <w:r>
              <w:rPr>
                <w:rFonts w:cstheme="majorBidi"/>
                <w:b/>
                <w:strike/>
              </w:rPr>
              <w:t>c</w:t>
            </w:r>
            <w:r>
              <w:rPr>
                <w:rFonts w:cstheme="majorBidi"/>
                <w:b/>
                <w:u w:val="single"/>
              </w:rPr>
              <w:t>C</w:t>
            </w:r>
            <w:r>
              <w:rPr>
                <w:rFonts w:cstheme="majorBidi"/>
                <w:b/>
              </w:rPr>
              <w:t>ell</w:t>
            </w:r>
            <w:proofErr w:type="spellEnd"/>
            <w:r>
              <w:rPr>
                <w:rFonts w:cstheme="majorBidi"/>
                <w:b/>
              </w:rPr>
              <w:t xml:space="preserve"> or battery test summary in accordance with sub-section 38.3 </w:t>
            </w:r>
            <w:r>
              <w:rPr>
                <w:rFonts w:cstheme="majorBidi"/>
                <w:b/>
              </w:rPr>
              <w:br/>
              <w:t>of Manual of Tests and Criteria</w:t>
            </w:r>
          </w:p>
        </w:tc>
      </w:tr>
    </w:tbl>
    <w:p w14:paraId="6DED4D23" w14:textId="77777777" w:rsidR="006A033B" w:rsidRDefault="006A033B" w:rsidP="006A033B">
      <w:pPr>
        <w:pStyle w:val="SingleTxtG"/>
        <w:spacing w:before="120"/>
        <w:ind w:firstLine="567"/>
      </w:pPr>
      <w:r>
        <w:t>(f)</w:t>
      </w:r>
      <w:r>
        <w:tab/>
        <w:t>Description of cell or battery to include at a minimum:</w:t>
      </w:r>
    </w:p>
    <w:p w14:paraId="43B535BF" w14:textId="77777777" w:rsidR="006A033B" w:rsidRDefault="006A033B" w:rsidP="006A033B">
      <w:pPr>
        <w:pStyle w:val="SingleTxtG"/>
        <w:ind w:left="1701" w:firstLine="567"/>
      </w:pPr>
      <w:r>
        <w:rPr>
          <w:b/>
          <w:bCs/>
        </w:rPr>
        <w:t>(</w:t>
      </w:r>
      <w:proofErr w:type="spellStart"/>
      <w:r>
        <w:rPr>
          <w:b/>
          <w:bCs/>
        </w:rPr>
        <w:t>i</w:t>
      </w:r>
      <w:proofErr w:type="spellEnd"/>
      <w:r>
        <w:rPr>
          <w:b/>
          <w:bCs/>
        </w:rPr>
        <w:t>)</w:t>
      </w:r>
      <w:r>
        <w:rPr>
          <w:b/>
          <w:bCs/>
        </w:rPr>
        <w:tab/>
      </w:r>
      <w:r>
        <w:rPr>
          <w:b/>
          <w:bCs/>
          <w:u w:val="single"/>
        </w:rPr>
        <w:t>Sodium ion,</w:t>
      </w:r>
      <w:r>
        <w:rPr>
          <w:b/>
          <w:bCs/>
        </w:rPr>
        <w:t xml:space="preserve"> lithium ion or lithium metal cell or battery;”</w:t>
      </w:r>
    </w:p>
    <w:p w14:paraId="19DBA7F2" w14:textId="77777777" w:rsidR="006A033B" w:rsidRDefault="006A033B" w:rsidP="006A033B">
      <w:pPr>
        <w:spacing w:before="240"/>
        <w:jc w:val="center"/>
      </w:pPr>
      <w:r>
        <w:rPr>
          <w:b/>
          <w:bCs/>
          <w:u w:val="single"/>
        </w:rPr>
        <w:tab/>
      </w:r>
      <w:r>
        <w:rPr>
          <w:b/>
          <w:bCs/>
          <w:u w:val="single"/>
        </w:rPr>
        <w:tab/>
      </w:r>
      <w:r>
        <w:rPr>
          <w:b/>
          <w:bCs/>
          <w:u w:val="single"/>
        </w:rPr>
        <w:tab/>
      </w:r>
    </w:p>
    <w:p w14:paraId="1AC6B44D" w14:textId="77777777" w:rsidR="006A033B" w:rsidRDefault="006A033B" w:rsidP="006A033B">
      <w:pPr>
        <w:pStyle w:val="H1G"/>
        <w:ind w:firstLine="0"/>
        <w:jc w:val="both"/>
      </w:pPr>
      <w:r>
        <w:lastRenderedPageBreak/>
        <w:t>Proposal 4</w:t>
      </w:r>
    </w:p>
    <w:p w14:paraId="53FFA917" w14:textId="77777777" w:rsidR="006A033B" w:rsidRDefault="006A033B" w:rsidP="006A033B">
      <w:pPr>
        <w:pStyle w:val="SingleTxtG"/>
      </w:pPr>
      <w:r>
        <w:t>30.</w:t>
      </w:r>
      <w:r>
        <w:tab/>
        <w:t>It is proposed to add in 3.3.1 a special provision XXX for the transport of shorted sodium-ion cells and batteries.</w:t>
      </w:r>
    </w:p>
    <w:p w14:paraId="1206BD43" w14:textId="1D93299E" w:rsidR="006A033B" w:rsidRDefault="00F352E7" w:rsidP="006A033B">
      <w:pPr>
        <w:pStyle w:val="Corpsdetexte"/>
        <w:ind w:left="1701"/>
        <w:jc w:val="both"/>
      </w:pPr>
      <w:r w:rsidRPr="005E37A1">
        <w:rPr>
          <w:rFonts w:asciiTheme="majorBidi" w:hAnsiTheme="majorBidi" w:cstheme="majorBidi"/>
          <w:color w:val="FF0000"/>
          <w:highlight w:val="yellow"/>
          <w:u w:val="single"/>
        </w:rPr>
        <w:t>“</w:t>
      </w:r>
      <w:r w:rsidR="006A033B">
        <w:rPr>
          <w:color w:val="FF0000"/>
          <w:highlight w:val="yellow"/>
          <w:u w:val="single"/>
        </w:rPr>
        <w:t xml:space="preserve">XXX Sodium-ion cells and batteries </w:t>
      </w:r>
      <w:r w:rsidR="006A033B" w:rsidRPr="0077467D">
        <w:rPr>
          <w:color w:val="FF0000"/>
          <w:highlight w:val="cyan"/>
          <w:u w:val="single"/>
        </w:rPr>
        <w:t xml:space="preserve">[using organic electrolyte] </w:t>
      </w:r>
      <w:r w:rsidR="006A033B">
        <w:rPr>
          <w:color w:val="FF0000"/>
          <w:highlight w:val="yellow"/>
          <w:u w:val="single"/>
        </w:rPr>
        <w:t xml:space="preserve">and sodium-ion cells and batteries </w:t>
      </w:r>
      <w:r w:rsidR="006A033B" w:rsidRPr="0077467D">
        <w:rPr>
          <w:color w:val="FF0000"/>
          <w:highlight w:val="cyan"/>
          <w:u w:val="single"/>
        </w:rPr>
        <w:t>[using organic electrolyte]</w:t>
      </w:r>
      <w:r w:rsidR="006A033B">
        <w:rPr>
          <w:color w:val="FF0000"/>
          <w:highlight w:val="yellow"/>
          <w:u w:val="single"/>
        </w:rPr>
        <w:t xml:space="preserve"> contained in or packed with equipment, prepared and offered for transport, are not subject to other provisions of these Regulations if they meet the following:</w:t>
      </w:r>
    </w:p>
    <w:p w14:paraId="27976804" w14:textId="25C3BF8C" w:rsidR="006A033B" w:rsidRDefault="006A033B" w:rsidP="006A033B">
      <w:pPr>
        <w:pStyle w:val="Corpsdetexte"/>
        <w:ind w:left="1701"/>
        <w:jc w:val="both"/>
        <w:rPr>
          <w:color w:val="FF0000"/>
          <w:highlight w:val="yellow"/>
        </w:rPr>
      </w:pPr>
      <w:r>
        <w:rPr>
          <w:color w:val="FF0000"/>
          <w:highlight w:val="yellow"/>
        </w:rPr>
        <w:t>(a)</w:t>
      </w:r>
      <w:r w:rsidR="00F636E6">
        <w:rPr>
          <w:color w:val="FF0000"/>
          <w:highlight w:val="yellow"/>
        </w:rPr>
        <w:tab/>
      </w:r>
      <w:r>
        <w:rPr>
          <w:color w:val="FF0000"/>
          <w:highlight w:val="yellow"/>
          <w:u w:val="single"/>
        </w:rPr>
        <w:t>The cell/battery is short-circuited, in a way that the cell or battery does not contain electrical energy. The short-circuiting of the cell/battery shall be easily verifiable (e.g., busbar between terminals)</w:t>
      </w:r>
      <w:r w:rsidR="00F636E6">
        <w:rPr>
          <w:color w:val="FF0000"/>
          <w:highlight w:val="yellow"/>
          <w:u w:val="single"/>
        </w:rPr>
        <w:t>.</w:t>
      </w:r>
    </w:p>
    <w:p w14:paraId="767E2F87" w14:textId="7E77BC3D" w:rsidR="006A033B" w:rsidRDefault="006A033B" w:rsidP="006A033B">
      <w:pPr>
        <w:pStyle w:val="Corpsdetexte"/>
        <w:ind w:left="1701"/>
        <w:jc w:val="both"/>
        <w:rPr>
          <w:color w:val="FF0000"/>
          <w:highlight w:val="yellow"/>
        </w:rPr>
      </w:pPr>
      <w:r>
        <w:rPr>
          <w:color w:val="FF0000"/>
          <w:highlight w:val="yellow"/>
          <w:lang w:val="en-US"/>
        </w:rPr>
        <w:t>(b)</w:t>
      </w:r>
      <w:r w:rsidR="00F636E6">
        <w:rPr>
          <w:color w:val="FF0000"/>
          <w:highlight w:val="yellow"/>
          <w:lang w:val="en-US"/>
        </w:rPr>
        <w:tab/>
      </w:r>
      <w:r>
        <w:rPr>
          <w:color w:val="FF0000"/>
          <w:highlight w:val="yellow"/>
          <w:u w:val="single"/>
        </w:rPr>
        <w:t>Each cell or battery meets the provisions of 2.9.5 (a), (b), (d), (e)and (f);</w:t>
      </w:r>
    </w:p>
    <w:p w14:paraId="61F23238" w14:textId="37F376F4" w:rsidR="006A033B" w:rsidRDefault="006A033B" w:rsidP="006A033B">
      <w:pPr>
        <w:pStyle w:val="Corpsdetexte"/>
        <w:ind w:left="1701"/>
        <w:jc w:val="both"/>
        <w:rPr>
          <w:color w:val="FF0000"/>
          <w:highlight w:val="yellow"/>
        </w:rPr>
      </w:pPr>
      <w:r>
        <w:rPr>
          <w:color w:val="FF0000"/>
          <w:highlight w:val="yellow"/>
          <w:lang w:val="en-US"/>
        </w:rPr>
        <w:t>(c)</w:t>
      </w:r>
      <w:r w:rsidR="00F636E6">
        <w:rPr>
          <w:color w:val="FF0000"/>
          <w:highlight w:val="yellow"/>
          <w:lang w:val="en-US"/>
        </w:rPr>
        <w:tab/>
      </w:r>
      <w:r>
        <w:rPr>
          <w:color w:val="FF0000"/>
          <w:highlight w:val="yellow"/>
          <w:u w:val="single"/>
        </w:rPr>
        <w:t>Each package shall be marked according to 5.2.1.9;</w:t>
      </w:r>
    </w:p>
    <w:p w14:paraId="237D8901" w14:textId="52A93D4A" w:rsidR="006A033B" w:rsidRDefault="006A033B" w:rsidP="006A033B">
      <w:pPr>
        <w:pStyle w:val="Corpsdetexte"/>
        <w:ind w:left="1701"/>
        <w:jc w:val="both"/>
        <w:rPr>
          <w:color w:val="FF0000"/>
          <w:highlight w:val="yellow"/>
        </w:rPr>
      </w:pPr>
      <w:r>
        <w:rPr>
          <w:color w:val="FF0000"/>
          <w:highlight w:val="yellow"/>
          <w:u w:val="single"/>
        </w:rPr>
        <w:t>(d)</w:t>
      </w:r>
      <w:r w:rsidR="00F636E6">
        <w:rPr>
          <w:color w:val="FF0000"/>
          <w:highlight w:val="yellow"/>
          <w:u w:val="single"/>
        </w:rPr>
        <w:tab/>
      </w:r>
      <w:r>
        <w:rPr>
          <w:color w:val="FF0000"/>
          <w:highlight w:val="yellow"/>
          <w:u w:val="single"/>
        </w:rPr>
        <w:t>Except when cells or batteries are installed in equipment, each package shall be capable of withstanding a 1.2 m drop test in any orientation without damage to cells or batteries contained therein, without shifting of the contents so as to allow battery to battery (or cell to cell) contact and without release of contents;".</w:t>
      </w:r>
    </w:p>
    <w:p w14:paraId="21FDAC1A" w14:textId="54D17E44" w:rsidR="006A033B" w:rsidRPr="005E37A1" w:rsidRDefault="006A033B" w:rsidP="006A033B">
      <w:pPr>
        <w:pStyle w:val="Corpsdetexte"/>
        <w:ind w:left="1701"/>
        <w:jc w:val="both"/>
        <w:rPr>
          <w:rFonts w:asciiTheme="majorBidi" w:hAnsiTheme="majorBidi" w:cstheme="majorBidi"/>
          <w:color w:val="FF0000"/>
          <w:highlight w:val="yellow"/>
        </w:rPr>
      </w:pPr>
      <w:r w:rsidRPr="005E37A1">
        <w:rPr>
          <w:rFonts w:asciiTheme="majorBidi" w:hAnsiTheme="majorBidi" w:cstheme="majorBidi"/>
          <w:color w:val="FF0000"/>
          <w:highlight w:val="yellow"/>
          <w:u w:val="single"/>
        </w:rPr>
        <w:t>(e)</w:t>
      </w:r>
      <w:r w:rsidR="00F352E7">
        <w:rPr>
          <w:rFonts w:asciiTheme="majorBidi" w:hAnsiTheme="majorBidi" w:cstheme="majorBidi"/>
          <w:color w:val="FF0000"/>
          <w:highlight w:val="yellow"/>
          <w:u w:val="single"/>
        </w:rPr>
        <w:tab/>
      </w:r>
      <w:r w:rsidRPr="005E37A1">
        <w:rPr>
          <w:rFonts w:asciiTheme="majorBidi" w:hAnsiTheme="majorBidi" w:cstheme="majorBidi"/>
          <w:color w:val="FF0000"/>
          <w:highlight w:val="yellow"/>
          <w:u w:val="single"/>
        </w:rPr>
        <w:t>Cells and batteries when installed in equipment shall be protected from damage. When batteries are installed in equipment, the equipment shall be packed in strong outer packagings constructed of suitable material of adequate strength and design in relation to the packaging’s capacity and its intended use unless the battery is afforded equivalent protection by the equipment in which it is contained.”</w:t>
      </w:r>
    </w:p>
    <w:p w14:paraId="1AB4C738" w14:textId="77777777" w:rsidR="00085CAB" w:rsidRDefault="00085CAB" w:rsidP="002E3C8E">
      <w:pPr>
        <w:pStyle w:val="SingleTxtG"/>
        <w:ind w:left="1701" w:right="0"/>
        <w:rPr>
          <w:rFonts w:asciiTheme="majorBidi" w:hAnsiTheme="majorBidi" w:cstheme="majorBidi"/>
          <w:color w:val="FF0000"/>
          <w:highlight w:val="yellow"/>
          <w:u w:val="single"/>
        </w:rPr>
      </w:pPr>
    </w:p>
    <w:p w14:paraId="1BC038E4" w14:textId="07936B40" w:rsidR="006A033B" w:rsidRPr="005E37A1" w:rsidRDefault="006A033B" w:rsidP="002E3C8E">
      <w:pPr>
        <w:pStyle w:val="SingleTxtG"/>
        <w:ind w:left="1701" w:right="0"/>
        <w:rPr>
          <w:rFonts w:asciiTheme="majorBidi" w:hAnsiTheme="majorBidi" w:cstheme="majorBidi"/>
          <w:color w:val="FF0000"/>
          <w:highlight w:val="yellow"/>
          <w:u w:val="single"/>
        </w:rPr>
      </w:pPr>
      <w:r w:rsidRPr="005E37A1">
        <w:rPr>
          <w:rFonts w:asciiTheme="majorBidi" w:hAnsiTheme="majorBidi" w:cstheme="majorBidi"/>
          <w:color w:val="FF0000"/>
          <w:highlight w:val="yellow"/>
          <w:u w:val="single"/>
        </w:rPr>
        <w:t>And to add a special provision YYY drafted as follows that would be assigned to UN 3292</w:t>
      </w:r>
      <w:r w:rsidR="0079545A">
        <w:rPr>
          <w:rFonts w:asciiTheme="majorBidi" w:hAnsiTheme="majorBidi" w:cstheme="majorBidi"/>
          <w:color w:val="FF0000"/>
          <w:highlight w:val="yellow"/>
          <w:u w:val="single"/>
          <w:lang w:val="fr-CH"/>
        </w:rPr>
        <w:t>,</w:t>
      </w:r>
      <w:r w:rsidRPr="005E37A1">
        <w:rPr>
          <w:rFonts w:asciiTheme="majorBidi" w:hAnsiTheme="majorBidi" w:cstheme="majorBidi"/>
          <w:color w:val="FF0000"/>
          <w:highlight w:val="yellow"/>
          <w:u w:val="single"/>
        </w:rPr>
        <w:t xml:space="preserve"> UN</w:t>
      </w:r>
      <w:r w:rsidR="002A2974">
        <w:rPr>
          <w:rFonts w:asciiTheme="majorBidi" w:hAnsiTheme="majorBidi" w:cstheme="majorBidi"/>
          <w:color w:val="FF0000"/>
          <w:highlight w:val="yellow"/>
          <w:u w:val="single"/>
          <w:lang w:val="fr-CH"/>
        </w:rPr>
        <w:t> </w:t>
      </w:r>
      <w:r w:rsidRPr="005E37A1">
        <w:rPr>
          <w:rFonts w:asciiTheme="majorBidi" w:hAnsiTheme="majorBidi" w:cstheme="majorBidi"/>
          <w:color w:val="FF0000"/>
          <w:highlight w:val="yellow"/>
          <w:u w:val="single"/>
        </w:rPr>
        <w:t>2795 and the new entries for sodium ion cells and batteries:</w:t>
      </w:r>
    </w:p>
    <w:p w14:paraId="38533555" w14:textId="54EDDD1A" w:rsidR="006A033B" w:rsidRPr="005E37A1" w:rsidRDefault="006A033B" w:rsidP="006A033B">
      <w:pPr>
        <w:pStyle w:val="SingleTxtG"/>
        <w:ind w:left="1701" w:right="0"/>
        <w:rPr>
          <w:rFonts w:asciiTheme="majorBidi" w:hAnsiTheme="majorBidi" w:cstheme="majorBidi"/>
          <w:color w:val="FF0000"/>
          <w:highlight w:val="yellow"/>
          <w:u w:val="single"/>
        </w:rPr>
      </w:pPr>
      <w:r w:rsidRPr="005E37A1">
        <w:rPr>
          <w:rFonts w:asciiTheme="majorBidi" w:hAnsiTheme="majorBidi" w:cstheme="majorBidi"/>
          <w:color w:val="FF0000"/>
          <w:highlight w:val="yellow"/>
          <w:u w:val="single"/>
        </w:rPr>
        <w:t>“YYY Sodium-ion batteries using an aqueous alkali electrolyte shall be transported as UN 2795 BATTERIES, WET, FILLED WITH ALKALI, electric storage.”</w:t>
      </w:r>
    </w:p>
    <w:p w14:paraId="6B31C1B0" w14:textId="77777777" w:rsidR="006A033B" w:rsidRDefault="006A033B" w:rsidP="006A033B">
      <w:pPr>
        <w:pStyle w:val="H1G"/>
      </w:pPr>
      <w:r>
        <w:tab/>
      </w:r>
      <w:r>
        <w:tab/>
        <w:t>Consequential amendments for proposal 4</w:t>
      </w:r>
    </w:p>
    <w:p w14:paraId="6EE06589" w14:textId="77777777" w:rsidR="006A033B" w:rsidRDefault="006A033B" w:rsidP="006A033B">
      <w:pPr>
        <w:pStyle w:val="SingleTxtG"/>
      </w:pPr>
      <w:r>
        <w:t>31.</w:t>
      </w:r>
      <w:r>
        <w:tab/>
        <w:t>To allow appropriate hazard identification, the current “lithium battery mark” should be applicable to sodium ion batteries.</w:t>
      </w:r>
    </w:p>
    <w:p w14:paraId="31A4287D" w14:textId="77777777" w:rsidR="006A033B" w:rsidRDefault="006A033B" w:rsidP="006A033B">
      <w:pPr>
        <w:pStyle w:val="SingleTxtG"/>
      </w:pPr>
      <w:r>
        <w:t>Amend 5.2.1.9 as follows:</w:t>
      </w:r>
    </w:p>
    <w:p w14:paraId="01B216A9" w14:textId="77777777" w:rsidR="006A033B" w:rsidRDefault="006A033B" w:rsidP="006A033B">
      <w:pPr>
        <w:pStyle w:val="SingleTxtG"/>
      </w:pPr>
      <w:r>
        <w:t>“5.2.1.9</w:t>
      </w:r>
      <w:r>
        <w:tab/>
        <w:t>Lithium</w:t>
      </w:r>
      <w:r>
        <w:rPr>
          <w:u w:val="single"/>
        </w:rPr>
        <w:t xml:space="preserve"> or sodium ion</w:t>
      </w:r>
      <w:r>
        <w:t xml:space="preserve"> battery mark</w:t>
      </w:r>
    </w:p>
    <w:p w14:paraId="281BFD4E" w14:textId="5EDC0EA8" w:rsidR="006A033B" w:rsidRDefault="006A033B" w:rsidP="006A033B">
      <w:pPr>
        <w:pStyle w:val="SingleTxtG"/>
      </w:pPr>
      <w:r>
        <w:t>5.2.1.9.1</w:t>
      </w:r>
      <w:r>
        <w:tab/>
        <w:t xml:space="preserve">Packages containing lithium </w:t>
      </w:r>
      <w:r>
        <w:rPr>
          <w:u w:val="single"/>
        </w:rPr>
        <w:t xml:space="preserve">or sodium ion </w:t>
      </w:r>
      <w:r w:rsidRPr="002A2974">
        <w:rPr>
          <w:highlight w:val="cyan"/>
          <w:u w:val="single"/>
        </w:rPr>
        <w:t>[using organic electrolyte]</w:t>
      </w:r>
      <w:r>
        <w:rPr>
          <w:u w:val="single"/>
        </w:rPr>
        <w:t xml:space="preserve"> </w:t>
      </w:r>
      <w:r>
        <w:t>cells or batteries prepared in accordance with special provision 188 shall be marked as shown in Figure 5.2.5.</w:t>
      </w:r>
    </w:p>
    <w:p w14:paraId="54D15DBF" w14:textId="3D8628E8" w:rsidR="006A033B" w:rsidRDefault="006A033B" w:rsidP="006A033B">
      <w:pPr>
        <w:pStyle w:val="SingleTxtG"/>
      </w:pPr>
      <w:r>
        <w:t>5.2.1.9.2</w:t>
      </w:r>
      <w:r>
        <w:tab/>
        <w:t>The mark shall indicate the UN number, preceded by the letters “UN”, i.e. “UN 3090” for lithium metal cells or batteries</w:t>
      </w:r>
      <w:r>
        <w:rPr>
          <w:u w:val="single"/>
        </w:rPr>
        <w:t>,</w:t>
      </w:r>
      <w:r>
        <w:t xml:space="preserve"> </w:t>
      </w:r>
      <w:r>
        <w:rPr>
          <w:strike/>
        </w:rPr>
        <w:t xml:space="preserve">or </w:t>
      </w:r>
      <w:r>
        <w:t>“UN 3480” for lithium ion cells or batteries</w:t>
      </w:r>
      <w:r>
        <w:rPr>
          <w:u w:val="single"/>
        </w:rPr>
        <w:t xml:space="preserve">, or “UN XXXX” for sodium ion </w:t>
      </w:r>
      <w:r w:rsidRPr="002A2974">
        <w:rPr>
          <w:highlight w:val="cyan"/>
          <w:u w:val="single"/>
        </w:rPr>
        <w:t>[using organic electrolyte]</w:t>
      </w:r>
      <w:r>
        <w:rPr>
          <w:u w:val="single"/>
        </w:rPr>
        <w:t xml:space="preserve"> cells or batteries</w:t>
      </w:r>
      <w:r>
        <w:t xml:space="preserve">. Where the </w:t>
      </w:r>
      <w:r>
        <w:rPr>
          <w:strike/>
        </w:rPr>
        <w:t>lithium</w:t>
      </w:r>
      <w:r>
        <w:t xml:space="preserve"> cells or batteries are contained in, or packed with, equipment, the UN number, preceded by the letters “UN”, i.e. “UN 3091”</w:t>
      </w:r>
      <w:r>
        <w:rPr>
          <w:u w:val="single"/>
        </w:rPr>
        <w:t>,</w:t>
      </w:r>
      <w:r>
        <w:t xml:space="preserve"> </w:t>
      </w:r>
      <w:r>
        <w:rPr>
          <w:strike/>
        </w:rPr>
        <w:t xml:space="preserve">or </w:t>
      </w:r>
      <w:r>
        <w:t>“UN 3481”</w:t>
      </w:r>
      <w:r>
        <w:rPr>
          <w:u w:val="single"/>
        </w:rPr>
        <w:t xml:space="preserve"> or “UN XXXY”</w:t>
      </w:r>
      <w:r>
        <w:t xml:space="preserve"> as appropriate shall be indicated. Where a package contains </w:t>
      </w:r>
      <w:r>
        <w:rPr>
          <w:strike/>
        </w:rPr>
        <w:t>lithium</w:t>
      </w:r>
      <w:r>
        <w:t xml:space="preserve"> cells or batteries assigned to different UN numbers, all applicable UN numbers shall be indicated on one or more marks.</w:t>
      </w:r>
    </w:p>
    <w:p w14:paraId="7F065302" w14:textId="77777777" w:rsidR="006A033B" w:rsidRDefault="006A033B" w:rsidP="006A033B">
      <w:pPr>
        <w:pStyle w:val="SingleTxtG"/>
      </w:pPr>
    </w:p>
    <w:p w14:paraId="50BC4901" w14:textId="77777777" w:rsidR="00E82791" w:rsidRDefault="00E82791">
      <w:pPr>
        <w:suppressAutoHyphens w:val="0"/>
        <w:spacing w:line="240" w:lineRule="auto"/>
        <w:rPr>
          <w:b/>
          <w:sz w:val="22"/>
          <w:szCs w:val="22"/>
          <w:lang w:val="x-none"/>
        </w:rPr>
      </w:pPr>
      <w:r>
        <w:rPr>
          <w:b/>
          <w:sz w:val="22"/>
          <w:szCs w:val="22"/>
        </w:rPr>
        <w:br w:type="page"/>
      </w:r>
    </w:p>
    <w:p w14:paraId="30AB5FC6" w14:textId="64DEC1C3" w:rsidR="006A033B" w:rsidRDefault="006A033B" w:rsidP="006A033B">
      <w:pPr>
        <w:pStyle w:val="SingleTxtG"/>
        <w:jc w:val="center"/>
      </w:pPr>
      <w:r>
        <w:rPr>
          <w:b/>
          <w:sz w:val="22"/>
          <w:szCs w:val="22"/>
        </w:rPr>
        <w:lastRenderedPageBreak/>
        <w:t>Figure 5.2.5</w:t>
      </w:r>
    </w:p>
    <w:p w14:paraId="39860612" w14:textId="77777777" w:rsidR="006A033B" w:rsidRDefault="006A033B" w:rsidP="006A033B">
      <w:pPr>
        <w:pStyle w:val="SingleTxtG"/>
        <w:jc w:val="center"/>
      </w:pPr>
      <w:r>
        <w:rPr>
          <w:noProof/>
        </w:rPr>
        <w:drawing>
          <wp:inline distT="0" distB="0" distL="0" distR="0" wp14:anchorId="5CF78F7A" wp14:editId="204814F0">
            <wp:extent cx="2743200" cy="2150745"/>
            <wp:effectExtent l="0" t="0" r="0" b="0"/>
            <wp:docPr id="17" name="Picture 39" descr="dgr-n-lbl-lithiumbatt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9" descr="dgr-n-lbl-lithiumbatt2-a"/>
                    <pic:cNvPicPr>
                      <a:picLocks noChangeAspect="1" noChangeArrowheads="1"/>
                    </pic:cNvPicPr>
                  </pic:nvPicPr>
                  <pic:blipFill>
                    <a:blip r:embed="rId11"/>
                    <a:stretch>
                      <a:fillRect/>
                    </a:stretch>
                  </pic:blipFill>
                  <pic:spPr bwMode="auto">
                    <a:xfrm>
                      <a:off x="0" y="0"/>
                      <a:ext cx="2743200" cy="215074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0857F7F5" wp14:editId="31D03165">
                <wp:simplePos x="0" y="0"/>
                <wp:positionH relativeFrom="column">
                  <wp:posOffset>185650505</wp:posOffset>
                </wp:positionH>
                <wp:positionV relativeFrom="paragraph">
                  <wp:posOffset>273030950</wp:posOffset>
                </wp:positionV>
                <wp:extent cx="341630" cy="6350"/>
                <wp:effectExtent l="8890" t="12700" r="7620" b="6350"/>
                <wp:wrapNone/>
                <wp:docPr id="3" name="AutoShape 238"/>
                <wp:cNvGraphicFramePr/>
                <a:graphic xmlns:a="http://schemas.openxmlformats.org/drawingml/2006/main">
                  <a:graphicData uri="http://schemas.microsoft.com/office/word/2010/wordprocessingShape">
                    <wps:wsp>
                      <wps:cNvSpPr/>
                      <wps:spPr>
                        <a:xfrm>
                          <a:off x="0" y="0"/>
                          <a:ext cx="340920" cy="576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8AD1D68" id="AutoShape 238" o:spid="_x0000_s1026" style="position:absolute;margin-left:14618.15pt;margin-top:21498.5pt;width:26.9pt;height:.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" path="m,l21600,21600e" filled="f" stroked="f" strokeweight=".26mm">
                <v:path arrowok="t"/>
              </v:shape>
            </w:pict>
          </mc:Fallback>
        </mc:AlternateContent>
      </w:r>
      <w:r>
        <w:rPr>
          <w:noProof/>
        </w:rPr>
        <mc:AlternateContent>
          <mc:Choice Requires="wps">
            <w:drawing>
              <wp:anchor distT="0" distB="0" distL="114300" distR="114300" simplePos="0" relativeHeight="251660288" behindDoc="0" locked="0" layoutInCell="1" allowOverlap="1" wp14:anchorId="1B03BCCC" wp14:editId="796E8E0F">
                <wp:simplePos x="0" y="0"/>
                <wp:positionH relativeFrom="column">
                  <wp:posOffset>185650505</wp:posOffset>
                </wp:positionH>
                <wp:positionV relativeFrom="paragraph">
                  <wp:posOffset>275181695</wp:posOffset>
                </wp:positionV>
                <wp:extent cx="341630" cy="6350"/>
                <wp:effectExtent l="8890" t="10795" r="7620" b="8255"/>
                <wp:wrapNone/>
                <wp:docPr id="4" name="AutoShape 239"/>
                <wp:cNvGraphicFramePr/>
                <a:graphic xmlns:a="http://schemas.openxmlformats.org/drawingml/2006/main">
                  <a:graphicData uri="http://schemas.microsoft.com/office/word/2010/wordprocessingShape">
                    <wps:wsp>
                      <wps:cNvSpPr/>
                      <wps:spPr>
                        <a:xfrm>
                          <a:off x="0" y="0"/>
                          <a:ext cx="340920" cy="576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686CA32" id="AutoShape 239" o:spid="_x0000_s1026" style="position:absolute;margin-left:14618.15pt;margin-top:21667.85pt;width:26.9pt;height:.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" path="m,l21600,21600e" filled="f" stroked="f" strokeweight=".26mm">
                <v:path arrowok="t"/>
              </v:shape>
            </w:pict>
          </mc:Fallback>
        </mc:AlternateContent>
      </w:r>
      <w:r>
        <w:rPr>
          <w:noProof/>
        </w:rPr>
        <mc:AlternateContent>
          <mc:Choice Requires="wps">
            <w:drawing>
              <wp:anchor distT="0" distB="0" distL="114300" distR="114300" simplePos="0" relativeHeight="251661312" behindDoc="0" locked="0" layoutInCell="1" allowOverlap="1" wp14:anchorId="214CDF3F" wp14:editId="1D1D28DD">
                <wp:simplePos x="0" y="0"/>
                <wp:positionH relativeFrom="column">
                  <wp:posOffset>150694390</wp:posOffset>
                </wp:positionH>
                <wp:positionV relativeFrom="paragraph">
                  <wp:posOffset>233229150</wp:posOffset>
                </wp:positionV>
                <wp:extent cx="6350" cy="247015"/>
                <wp:effectExtent l="8890" t="5080" r="10160" b="10795"/>
                <wp:wrapNone/>
                <wp:docPr id="5" name="AutoShape 240"/>
                <wp:cNvGraphicFramePr/>
                <a:graphic xmlns:a="http://schemas.openxmlformats.org/drawingml/2006/main">
                  <a:graphicData uri="http://schemas.microsoft.com/office/word/2010/wordprocessingShape">
                    <wps:wsp>
                      <wps:cNvSpPr/>
                      <wps:spPr>
                        <a:xfrm>
                          <a:off x="0" y="0"/>
                          <a:ext cx="5760" cy="24624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72D1BC9" id="AutoShape 240" o:spid="_x0000_s1026" style="position:absolute;margin-left:11865.7pt;margin-top:18364.5pt;width:.5pt;height:19.4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" path="m,l21600,21600e" filled="f" stroked="f" strokeweight=".26mm">
                <v:path arrowok="t"/>
              </v:shape>
            </w:pict>
          </mc:Fallback>
        </mc:AlternateContent>
      </w:r>
      <w:r>
        <w:rPr>
          <w:noProof/>
        </w:rPr>
        <mc:AlternateContent>
          <mc:Choice Requires="wps">
            <w:drawing>
              <wp:anchor distT="0" distB="0" distL="114300" distR="114300" simplePos="0" relativeHeight="251662336" behindDoc="0" locked="0" layoutInCell="1" allowOverlap="1" wp14:anchorId="02B569E0" wp14:editId="04AB63B6">
                <wp:simplePos x="0" y="0"/>
                <wp:positionH relativeFrom="column">
                  <wp:posOffset>184979945</wp:posOffset>
                </wp:positionH>
                <wp:positionV relativeFrom="paragraph">
                  <wp:posOffset>275181695</wp:posOffset>
                </wp:positionV>
                <wp:extent cx="6350" cy="298450"/>
                <wp:effectExtent l="8890" t="10795" r="10160" b="10795"/>
                <wp:wrapNone/>
                <wp:docPr id="6" name="AutoShape 241"/>
                <wp:cNvGraphicFramePr/>
                <a:graphic xmlns:a="http://schemas.openxmlformats.org/drawingml/2006/main">
                  <a:graphicData uri="http://schemas.microsoft.com/office/word/2010/wordprocessingShape">
                    <wps:wsp>
                      <wps:cNvSpPr/>
                      <wps:spPr>
                        <a:xfrm>
                          <a:off x="0" y="0"/>
                          <a:ext cx="5760" cy="29772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3668584A" id="AutoShape 241" o:spid="_x0000_s1026" style="position:absolute;margin-left:14565.35pt;margin-top:21667.85pt;width:.5pt;height:23.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" path="m,l21600,21600e" filled="f" stroked="f" strokeweight=".26mm">
                <v:path arrowok="t"/>
              </v:shape>
            </w:pict>
          </mc:Fallback>
        </mc:AlternateContent>
      </w:r>
      <w:r>
        <w:rPr>
          <w:noProof/>
        </w:rPr>
        <mc:AlternateContent>
          <mc:Choice Requires="wps">
            <w:drawing>
              <wp:anchor distT="0" distB="0" distL="114300" distR="114300" simplePos="0" relativeHeight="251666432" behindDoc="0" locked="0" layoutInCell="1" allowOverlap="1" wp14:anchorId="3E1CEC7A" wp14:editId="76A8C6FE">
                <wp:simplePos x="0" y="0"/>
                <wp:positionH relativeFrom="column">
                  <wp:posOffset>4488180</wp:posOffset>
                </wp:positionH>
                <wp:positionV relativeFrom="paragraph">
                  <wp:posOffset>327025</wp:posOffset>
                </wp:positionV>
                <wp:extent cx="327660" cy="1520190"/>
                <wp:effectExtent l="0" t="1270" r="3810" b="0"/>
                <wp:wrapNone/>
                <wp:docPr id="7" name="Text Box 245"/>
                <wp:cNvGraphicFramePr/>
                <a:graphic xmlns:a="http://schemas.openxmlformats.org/drawingml/2006/main">
                  <a:graphicData uri="http://schemas.microsoft.com/office/word/2010/wordprocessingShape">
                    <wps:wsp>
                      <wps:cNvSpPr/>
                      <wps:spPr>
                        <a:xfrm>
                          <a:off x="0" y="0"/>
                          <a:ext cx="326880" cy="151956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7DB4EBD" id="Text Box 245" o:spid="_x0000_s1026" style="position:absolute;margin-left:353.4pt;margin-top:25.75pt;width:25.8pt;height:119.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" stroked="f"/>
            </w:pict>
          </mc:Fallback>
        </mc:AlternateContent>
      </w:r>
      <w:r>
        <w:rPr>
          <w:noProof/>
        </w:rPr>
        <mc:AlternateContent>
          <mc:Choice Requires="wps">
            <w:drawing>
              <wp:anchor distT="0" distB="0" distL="114300" distR="112395" simplePos="0" relativeHeight="251667456" behindDoc="0" locked="0" layoutInCell="1" allowOverlap="1" wp14:anchorId="43E70884" wp14:editId="113E8EBE">
                <wp:simplePos x="0" y="0"/>
                <wp:positionH relativeFrom="column">
                  <wp:posOffset>185654950</wp:posOffset>
                </wp:positionH>
                <wp:positionV relativeFrom="paragraph">
                  <wp:posOffset>273016980</wp:posOffset>
                </wp:positionV>
                <wp:extent cx="6350" cy="276225"/>
                <wp:effectExtent l="61595" t="22225" r="52705" b="12065"/>
                <wp:wrapNone/>
                <wp:docPr id="8" name="AutoShape 246"/>
                <wp:cNvGraphicFramePr/>
                <a:graphic xmlns:a="http://schemas.openxmlformats.org/drawingml/2006/main">
                  <a:graphicData uri="http://schemas.microsoft.com/office/word/2010/wordprocessingShape">
                    <wps:wsp>
                      <wps:cNvSpPr/>
                      <wps:spPr>
                        <a:xfrm flipV="1">
                          <a:off x="0" y="0"/>
                          <a:ext cx="5760" cy="27576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6DBD04EF" id="AutoShape 246" o:spid="_x0000_s1026" style="position:absolute;margin-left:14618.5pt;margin-top:21497.4pt;width:.5pt;height:21.75pt;flip:y;z-index:251667456;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" path="m,l21600,21600e" filled="f" stroked="f" strokeweight=".26mm">
                <v:path arrowok="t"/>
              </v:shape>
            </w:pict>
          </mc:Fallback>
        </mc:AlternateContent>
      </w:r>
      <w:r>
        <w:rPr>
          <w:noProof/>
        </w:rPr>
        <mc:AlternateContent>
          <mc:Choice Requires="wps">
            <w:drawing>
              <wp:anchor distT="0" distB="0" distL="114300" distR="112395" simplePos="0" relativeHeight="251668480" behindDoc="0" locked="0" layoutInCell="1" allowOverlap="1" wp14:anchorId="27F6B9E2" wp14:editId="3F45E90B">
                <wp:simplePos x="0" y="0"/>
                <wp:positionH relativeFrom="column">
                  <wp:posOffset>185680985</wp:posOffset>
                </wp:positionH>
                <wp:positionV relativeFrom="paragraph">
                  <wp:posOffset>274822920</wp:posOffset>
                </wp:positionV>
                <wp:extent cx="6350" cy="364490"/>
                <wp:effectExtent l="61595" t="13970" r="52705" b="17780"/>
                <wp:wrapNone/>
                <wp:docPr id="9" name="AutoShape 247"/>
                <wp:cNvGraphicFramePr/>
                <a:graphic xmlns:a="http://schemas.openxmlformats.org/drawingml/2006/main">
                  <a:graphicData uri="http://schemas.microsoft.com/office/word/2010/wordprocessingShape">
                    <wps:wsp>
                      <wps:cNvSpPr/>
                      <wps:spPr>
                        <a:xfrm>
                          <a:off x="0" y="0"/>
                          <a:ext cx="5760" cy="36396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5CC6DA67" id="AutoShape 247" o:spid="_x0000_s1026" style="position:absolute;margin-left:14620.55pt;margin-top:21639.6pt;width:.5pt;height:28.7pt;z-index:251668480;visibility:visible;mso-wrap-style:square;mso-wrap-distance-left:9pt;mso-wrap-distance-top:0;mso-wrap-distance-right:8.8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" path="m,l21600,21600e" filled="f" stroked="f" strokeweight=".26mm">
                <v:path arrowok="t"/>
              </v:shape>
            </w:pict>
          </mc:Fallback>
        </mc:AlternateContent>
      </w:r>
      <w:r>
        <w:rPr>
          <w:noProof/>
        </w:rPr>
        <mc:AlternateContent>
          <mc:Choice Requires="wps">
            <w:drawing>
              <wp:anchor distT="0" distB="0" distL="114300" distR="114300" simplePos="0" relativeHeight="251669504" behindDoc="0" locked="0" layoutInCell="1" allowOverlap="1" wp14:anchorId="780A31F2" wp14:editId="3A2B00C8">
                <wp:simplePos x="0" y="0"/>
                <wp:positionH relativeFrom="column">
                  <wp:posOffset>2747010</wp:posOffset>
                </wp:positionH>
                <wp:positionV relativeFrom="paragraph">
                  <wp:posOffset>1753235</wp:posOffset>
                </wp:positionV>
                <wp:extent cx="518160" cy="342265"/>
                <wp:effectExtent l="0" t="0" r="1905" b="0"/>
                <wp:wrapNone/>
                <wp:docPr id="10" name="Text Box 248"/>
                <wp:cNvGraphicFramePr/>
                <a:graphic xmlns:a="http://schemas.openxmlformats.org/drawingml/2006/main">
                  <a:graphicData uri="http://schemas.microsoft.com/office/word/2010/wordprocessingShape">
                    <wps:wsp>
                      <wps:cNvSpPr/>
                      <wps:spPr>
                        <a:xfrm>
                          <a:off x="0" y="0"/>
                          <a:ext cx="517680" cy="34164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6C5F9D55" id="Text Box 248" o:spid="_x0000_s1026" style="position:absolute;margin-left:216.3pt;margin-top:138.05pt;width:40.8pt;height:26.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" stroked="f"/>
            </w:pict>
          </mc:Fallback>
        </mc:AlternateContent>
      </w:r>
      <w:r>
        <w:rPr>
          <w:noProof/>
        </w:rPr>
        <mc:AlternateContent>
          <mc:Choice Requires="wps">
            <w:drawing>
              <wp:anchor distT="0" distB="0" distL="0" distR="0" simplePos="0" relativeHeight="251670528" behindDoc="0" locked="0" layoutInCell="1" allowOverlap="1" wp14:anchorId="1EC9D9D7" wp14:editId="40B6D723">
                <wp:simplePos x="0" y="0"/>
                <wp:positionH relativeFrom="column">
                  <wp:posOffset>2747010</wp:posOffset>
                </wp:positionH>
                <wp:positionV relativeFrom="paragraph">
                  <wp:posOffset>1753235</wp:posOffset>
                </wp:positionV>
                <wp:extent cx="518160" cy="342265"/>
                <wp:effectExtent l="0" t="0" r="0" b="0"/>
                <wp:wrapNone/>
                <wp:docPr id="11" name="Cadre2"/>
                <wp:cNvGraphicFramePr/>
                <a:graphic xmlns:a="http://schemas.openxmlformats.org/drawingml/2006/main">
                  <a:graphicData uri="http://schemas.microsoft.com/office/word/2010/wordprocessingShape">
                    <wps:wsp>
                      <wps:cNvSpPr/>
                      <wps:spPr>
                        <a:xfrm>
                          <a:off x="0" y="0"/>
                          <a:ext cx="517680" cy="34164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3C03E0B" id="Cadre2" o:spid="_x0000_s1026" style="position:absolute;margin-left:216.3pt;margin-top:138.05pt;width:40.8pt;height:26.95pt;z-index:251670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" filled="f" stroked="f"/>
            </w:pict>
          </mc:Fallback>
        </mc:AlternateContent>
      </w:r>
      <w:r>
        <w:rPr>
          <w:noProof/>
        </w:rPr>
        <mc:AlternateContent>
          <mc:Choice Requires="wps">
            <w:drawing>
              <wp:anchor distT="0" distB="0" distL="0" distR="0" simplePos="0" relativeHeight="251671552" behindDoc="0" locked="0" layoutInCell="1" allowOverlap="1" wp14:anchorId="41681EE0" wp14:editId="527543F3">
                <wp:simplePos x="0" y="0"/>
                <wp:positionH relativeFrom="column">
                  <wp:posOffset>4488180</wp:posOffset>
                </wp:positionH>
                <wp:positionV relativeFrom="paragraph">
                  <wp:posOffset>327025</wp:posOffset>
                </wp:positionV>
                <wp:extent cx="327660" cy="1520190"/>
                <wp:effectExtent l="0" t="0" r="0" b="0"/>
                <wp:wrapNone/>
                <wp:docPr id="12" name="Cadre3"/>
                <wp:cNvGraphicFramePr/>
                <a:graphic xmlns:a="http://schemas.openxmlformats.org/drawingml/2006/main">
                  <a:graphicData uri="http://schemas.microsoft.com/office/word/2010/wordprocessingShape">
                    <wps:wsp>
                      <wps:cNvSpPr/>
                      <wps:spPr>
                        <a:xfrm>
                          <a:off x="0" y="0"/>
                          <a:ext cx="326880" cy="151956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EC2D742" id="Cadre3" o:spid="_x0000_s1026" style="position:absolute;margin-left:353.4pt;margin-top:25.75pt;width:25.8pt;height:119.7pt;z-index:2516715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" filled="f" stroked="f"/>
            </w:pict>
          </mc:Fallback>
        </mc:AlternateContent>
      </w:r>
      <w:r>
        <w:rPr>
          <w:noProof/>
        </w:rPr>
        <mc:AlternateContent>
          <mc:Choice Requires="wps">
            <w:drawing>
              <wp:anchor distT="0" distB="0" distL="0" distR="0" simplePos="0" relativeHeight="251673600" behindDoc="0" locked="0" layoutInCell="1" allowOverlap="1" wp14:anchorId="77BCB38A" wp14:editId="1D40B56A">
                <wp:simplePos x="0" y="0"/>
                <wp:positionH relativeFrom="column">
                  <wp:posOffset>2747010</wp:posOffset>
                </wp:positionH>
                <wp:positionV relativeFrom="paragraph">
                  <wp:posOffset>1753235</wp:posOffset>
                </wp:positionV>
                <wp:extent cx="518160" cy="342265"/>
                <wp:effectExtent l="0" t="0" r="0" b="0"/>
                <wp:wrapNone/>
                <wp:docPr id="13" name="Cadre2"/>
                <wp:cNvGraphicFramePr/>
                <a:graphic xmlns:a="http://schemas.openxmlformats.org/drawingml/2006/main">
                  <a:graphicData uri="http://schemas.microsoft.com/office/word/2010/wordprocessingShape">
                    <wps:wsp>
                      <wps:cNvSpPr/>
                      <wps:spPr>
                        <a:xfrm>
                          <a:off x="0" y="0"/>
                          <a:ext cx="517680" cy="341640"/>
                        </a:xfrm>
                        <a:prstGeom prst="rect">
                          <a:avLst/>
                        </a:prstGeom>
                        <a:noFill/>
                        <a:ln>
                          <a:noFill/>
                        </a:ln>
                      </wps:spPr>
                      <wps:style>
                        <a:lnRef idx="0">
                          <a:scrgbClr r="0" g="0" b="0"/>
                        </a:lnRef>
                        <a:fillRef idx="0">
                          <a:scrgbClr r="0" g="0" b="0"/>
                        </a:fillRef>
                        <a:effectRef idx="0">
                          <a:scrgbClr r="0" g="0" b="0"/>
                        </a:effectRef>
                        <a:fontRef idx="minor"/>
                      </wps:style>
                      <wps:txbx>
                        <w:txbxContent>
                          <w:p w14:paraId="1CF65E85" w14:textId="77777777" w:rsidR="006A033B" w:rsidRDefault="006A033B" w:rsidP="006A033B">
                            <w:pPr>
                              <w:pStyle w:val="Contenudecadre"/>
                              <w:jc w:val="center"/>
                            </w:pPr>
                            <w:r>
                              <w:rPr>
                                <w:color w:val="000000"/>
                              </w:rPr>
                              <w:t>*</w:t>
                            </w:r>
                          </w:p>
                          <w:p w14:paraId="3294D5BB" w14:textId="77777777" w:rsidR="006A033B" w:rsidRDefault="006A033B" w:rsidP="006A033B">
                            <w:pPr>
                              <w:pStyle w:val="Contenudecadre"/>
                              <w:jc w:val="center"/>
                            </w:pPr>
                            <w:r>
                              <w:rPr>
                                <w:color w:val="000000"/>
                              </w:rPr>
                              <w:t>**</w:t>
                            </w:r>
                          </w:p>
                        </w:txbxContent>
                      </wps:txbx>
                      <wps:bodyPr>
                        <a:noAutofit/>
                      </wps:bodyPr>
                    </wps:wsp>
                  </a:graphicData>
                </a:graphic>
              </wp:anchor>
            </w:drawing>
          </mc:Choice>
          <mc:Fallback>
            <w:pict>
              <v:rect w14:anchorId="77BCB38A" id="Cadre2" o:spid="_x0000_s1026" style="position:absolute;left:0;text-align:left;margin-left:216.3pt;margin-top:138.05pt;width:40.8pt;height:26.95pt;z-index:251673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" filled="f" stroked="f">
                <v:textbox>
                  <w:txbxContent>
                    <w:p w14:paraId="1CF65E85" w14:textId="77777777" w:rsidR="006A033B" w:rsidRDefault="006A033B" w:rsidP="006A033B">
                      <w:pPr>
                        <w:pStyle w:val="Contenudecadre"/>
                        <w:jc w:val="center"/>
                      </w:pPr>
                      <w:r>
                        <w:rPr>
                          <w:color w:val="000000"/>
                        </w:rPr>
                        <w:t>*</w:t>
                      </w:r>
                    </w:p>
                    <w:p w14:paraId="3294D5BB" w14:textId="77777777" w:rsidR="006A033B" w:rsidRDefault="006A033B" w:rsidP="006A033B">
                      <w:pPr>
                        <w:pStyle w:val="Contenudecadre"/>
                        <w:jc w:val="center"/>
                      </w:pPr>
                      <w:r>
                        <w:rPr>
                          <w:color w:val="000000"/>
                        </w:rPr>
                        <w:t>**</w:t>
                      </w:r>
                    </w:p>
                  </w:txbxContent>
                </v:textbox>
              </v:rect>
            </w:pict>
          </mc:Fallback>
        </mc:AlternateContent>
      </w:r>
      <w:r>
        <w:rPr>
          <w:noProof/>
        </w:rPr>
        <mc:AlternateContent>
          <mc:Choice Requires="wps">
            <w:drawing>
              <wp:anchor distT="0" distB="0" distL="0" distR="0" simplePos="0" relativeHeight="251674624" behindDoc="0" locked="0" layoutInCell="1" allowOverlap="1" wp14:anchorId="567C55C9" wp14:editId="7AF3D549">
                <wp:simplePos x="0" y="0"/>
                <wp:positionH relativeFrom="column">
                  <wp:posOffset>4488180</wp:posOffset>
                </wp:positionH>
                <wp:positionV relativeFrom="paragraph">
                  <wp:posOffset>327025</wp:posOffset>
                </wp:positionV>
                <wp:extent cx="327660" cy="1520190"/>
                <wp:effectExtent l="0" t="0" r="0" b="0"/>
                <wp:wrapNone/>
                <wp:docPr id="15" name="Cadre3"/>
                <wp:cNvGraphicFramePr/>
                <a:graphic xmlns:a="http://schemas.openxmlformats.org/drawingml/2006/main">
                  <a:graphicData uri="http://schemas.microsoft.com/office/word/2010/wordprocessingShape">
                    <wps:wsp>
                      <wps:cNvSpPr/>
                      <wps:spPr>
                        <a:xfrm>
                          <a:off x="0" y="0"/>
                          <a:ext cx="326880" cy="1519560"/>
                        </a:xfrm>
                        <a:prstGeom prst="rect">
                          <a:avLst/>
                        </a:prstGeom>
                        <a:noFill/>
                        <a:ln>
                          <a:noFill/>
                        </a:ln>
                      </wps:spPr>
                      <wps:style>
                        <a:lnRef idx="0">
                          <a:scrgbClr r="0" g="0" b="0"/>
                        </a:lnRef>
                        <a:fillRef idx="0">
                          <a:scrgbClr r="0" g="0" b="0"/>
                        </a:fillRef>
                        <a:effectRef idx="0">
                          <a:scrgbClr r="0" g="0" b="0"/>
                        </a:effectRef>
                        <a:fontRef idx="minor"/>
                      </wps:style>
                      <wps:txbx>
                        <w:txbxContent>
                          <w:p w14:paraId="0AC439ED" w14:textId="77777777" w:rsidR="006A033B" w:rsidRDefault="006A033B" w:rsidP="006A033B">
                            <w:pPr>
                              <w:pStyle w:val="Contenudecadre"/>
                              <w:jc w:val="center"/>
                            </w:pPr>
                            <w:r>
                              <w:rPr>
                                <w:color w:val="000000"/>
                                <w:sz w:val="18"/>
                                <w:szCs w:val="18"/>
                                <w:u w:val="single"/>
                              </w:rPr>
                              <w:t>Minimum dimension 100 mm</w:t>
                            </w:r>
                          </w:p>
                        </w:txbxContent>
                      </wps:txbx>
                      <wps:bodyPr rot="16200000" vert="vert270">
                        <a:noAutofit/>
                      </wps:bodyPr>
                    </wps:wsp>
                  </a:graphicData>
                </a:graphic>
              </wp:anchor>
            </w:drawing>
          </mc:Choice>
          <mc:Fallback>
            <w:pict>
              <v:rect w14:anchorId="567C55C9" id="Cadre3" o:spid="_x0000_s1027" style="position:absolute;left:0;text-align:left;margin-left:353.4pt;margin-top:25.75pt;width:25.8pt;height:119.7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" filled="f" stroked="f">
                <v:textbox style="layout-flow:vertical;mso-layout-flow-alt:bottom-to-top;mso-rotate:270">
                  <w:txbxContent>
                    <w:p w14:paraId="0AC439ED" w14:textId="77777777" w:rsidR="006A033B" w:rsidRDefault="006A033B" w:rsidP="006A033B">
                      <w:pPr>
                        <w:pStyle w:val="Contenudecadre"/>
                        <w:jc w:val="center"/>
                      </w:pPr>
                      <w:r>
                        <w:rPr>
                          <w:color w:val="000000"/>
                          <w:sz w:val="18"/>
                          <w:szCs w:val="18"/>
                          <w:u w:val="single"/>
                        </w:rPr>
                        <w:t>Minimum dimension 100 mm</w:t>
                      </w:r>
                    </w:p>
                  </w:txbxContent>
                </v:textbox>
              </v:rect>
            </w:pict>
          </mc:Fallback>
        </mc:AlternateContent>
      </w:r>
    </w:p>
    <w:p w14:paraId="65A3C3E4" w14:textId="77777777" w:rsidR="006A033B" w:rsidRDefault="006A033B" w:rsidP="006A033B">
      <w:pPr>
        <w:pStyle w:val="SingleTxtG"/>
      </w:pPr>
      <w:r>
        <w:rPr>
          <w:noProof/>
        </w:rPr>
        <mc:AlternateContent>
          <mc:Choice Requires="wps">
            <w:drawing>
              <wp:anchor distT="0" distB="0" distL="114300" distR="114300" simplePos="0" relativeHeight="251663360" behindDoc="0" locked="0" layoutInCell="1" allowOverlap="1" wp14:anchorId="774A467B" wp14:editId="777ECB5A">
                <wp:simplePos x="0" y="0"/>
                <wp:positionH relativeFrom="column">
                  <wp:posOffset>2301240</wp:posOffset>
                </wp:positionH>
                <wp:positionV relativeFrom="paragraph">
                  <wp:posOffset>6985</wp:posOffset>
                </wp:positionV>
                <wp:extent cx="1578610" cy="270510"/>
                <wp:effectExtent l="1905" t="0" r="0" b="0"/>
                <wp:wrapNone/>
                <wp:docPr id="18" name="Text Box 242"/>
                <wp:cNvGraphicFramePr/>
                <a:graphic xmlns:a="http://schemas.openxmlformats.org/drawingml/2006/main">
                  <a:graphicData uri="http://schemas.microsoft.com/office/word/2010/wordprocessingShape">
                    <wps:wsp>
                      <wps:cNvSpPr/>
                      <wps:spPr>
                        <a:xfrm>
                          <a:off x="0" y="0"/>
                          <a:ext cx="1577880" cy="270000"/>
                        </a:xfrm>
                        <a:prstGeom prst="rect">
                          <a:avLst/>
                        </a:prstGeom>
                        <a:solidFill>
                          <a:srgbClr val="FFFFFF"/>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3FF61626" id="Text Box 242" o:spid="_x0000_s1026" style="position:absolute;margin-left:181.2pt;margin-top:.55pt;width:124.3pt;height:21.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" stroked="f"/>
            </w:pict>
          </mc:Fallback>
        </mc:AlternateContent>
      </w:r>
      <w:r>
        <w:rPr>
          <w:noProof/>
        </w:rPr>
        <mc:AlternateContent>
          <mc:Choice Requires="wps">
            <w:drawing>
              <wp:anchor distT="0" distB="0" distL="114300" distR="114300" simplePos="0" relativeHeight="251664384" behindDoc="0" locked="0" layoutInCell="1" allowOverlap="1" wp14:anchorId="564C2079" wp14:editId="4186A7A3">
                <wp:simplePos x="0" y="0"/>
                <wp:positionH relativeFrom="column">
                  <wp:posOffset>184466865</wp:posOffset>
                </wp:positionH>
                <wp:positionV relativeFrom="paragraph">
                  <wp:posOffset>273166205</wp:posOffset>
                </wp:positionV>
                <wp:extent cx="517525" cy="6350"/>
                <wp:effectExtent l="11430" t="52705" r="19685" b="61595"/>
                <wp:wrapNone/>
                <wp:docPr id="19" name="AutoShape 243"/>
                <wp:cNvGraphicFramePr/>
                <a:graphic xmlns:a="http://schemas.openxmlformats.org/drawingml/2006/main">
                  <a:graphicData uri="http://schemas.microsoft.com/office/word/2010/wordprocessingShape">
                    <wps:wsp>
                      <wps:cNvSpPr/>
                      <wps:spPr>
                        <a:xfrm>
                          <a:off x="0" y="0"/>
                          <a:ext cx="516960" cy="576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6641713C" id="AutoShape 243" o:spid="_x0000_s1026" style="position:absolute;margin-left:14524.95pt;margin-top:21509.15pt;width:40.75pt;height:.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" path="m,l21600,21600e" filled="f" stroked="f" strokeweight=".26mm">
                <v:path arrowok="t"/>
              </v:shape>
            </w:pict>
          </mc:Fallback>
        </mc:AlternateContent>
      </w:r>
      <w:r>
        <w:rPr>
          <w:noProof/>
        </w:rPr>
        <mc:AlternateContent>
          <mc:Choice Requires="wps">
            <w:drawing>
              <wp:anchor distT="0" distB="0" distL="114300" distR="114300" simplePos="0" relativeHeight="251665408" behindDoc="0" locked="0" layoutInCell="1" allowOverlap="1" wp14:anchorId="65D9DE59" wp14:editId="7233D6C5">
                <wp:simplePos x="0" y="0"/>
                <wp:positionH relativeFrom="column">
                  <wp:posOffset>151369395</wp:posOffset>
                </wp:positionH>
                <wp:positionV relativeFrom="paragraph">
                  <wp:posOffset>231162225</wp:posOffset>
                </wp:positionV>
                <wp:extent cx="685800" cy="6350"/>
                <wp:effectExtent l="18415" t="52705" r="6350" b="61595"/>
                <wp:wrapNone/>
                <wp:docPr id="20" name="AutoShape 244"/>
                <wp:cNvGraphicFramePr/>
                <a:graphic xmlns:a="http://schemas.openxmlformats.org/drawingml/2006/main">
                  <a:graphicData uri="http://schemas.microsoft.com/office/word/2010/wordprocessingShape">
                    <wps:wsp>
                      <wps:cNvSpPr/>
                      <wps:spPr>
                        <a:xfrm flipH="1">
                          <a:off x="0" y="0"/>
                          <a:ext cx="685080" cy="5760"/>
                        </a:xfrm>
                        <a:custGeom>
                          <a:avLst/>
                          <a:gdLst/>
                          <a:ahLst/>
                          <a:cxnLst/>
                          <a:rect l="l" t="t" r="r" b="b"/>
                          <a:pathLst>
                            <a:path w="21600" h="21600">
                              <a:moveTo>
                                <a:pt x="0" y="0"/>
                              </a:moveTo>
                              <a:lnTo>
                                <a:pt x="21600" y="21600"/>
                              </a:lnTo>
                            </a:path>
                          </a:pathLst>
                        </a:custGeom>
                        <a:noFill/>
                        <a:ln w="9360">
                          <a:no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80C588E" id="AutoShape 244" o:spid="_x0000_s1026" style="position:absolute;margin-left:11918.85pt;margin-top:18201.75pt;width:54pt;height:.5pt;flip:x;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" path="m,l21600,21600e" filled="f" stroked="f" strokeweight=".26mm">
                <v:path arrowok="t"/>
              </v:shape>
            </w:pict>
          </mc:Fallback>
        </mc:AlternateContent>
      </w:r>
      <w:r>
        <w:rPr>
          <w:noProof/>
        </w:rPr>
        <mc:AlternateContent>
          <mc:Choice Requires="wps">
            <w:drawing>
              <wp:anchor distT="0" distB="0" distL="0" distR="0" simplePos="0" relativeHeight="251672576" behindDoc="0" locked="0" layoutInCell="1" allowOverlap="1" wp14:anchorId="49C3269F" wp14:editId="5EAD80B2">
                <wp:simplePos x="0" y="0"/>
                <wp:positionH relativeFrom="column">
                  <wp:posOffset>2301240</wp:posOffset>
                </wp:positionH>
                <wp:positionV relativeFrom="paragraph">
                  <wp:posOffset>6985</wp:posOffset>
                </wp:positionV>
                <wp:extent cx="1578610" cy="270510"/>
                <wp:effectExtent l="0" t="0" r="0" b="0"/>
                <wp:wrapNone/>
                <wp:docPr id="21" name="Cadre4"/>
                <wp:cNvGraphicFramePr/>
                <a:graphic xmlns:a="http://schemas.openxmlformats.org/drawingml/2006/main">
                  <a:graphicData uri="http://schemas.microsoft.com/office/word/2010/wordprocessingShape">
                    <wps:wsp>
                      <wps:cNvSpPr/>
                      <wps:spPr>
                        <a:xfrm>
                          <a:off x="0" y="0"/>
                          <a:ext cx="1577880" cy="2700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4176244" id="Cadre4" o:spid="_x0000_s1026" style="position:absolute;margin-left:181.2pt;margin-top:.55pt;width:124.3pt;height:21.3pt;z-index:251672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" filled="f" stroked="f"/>
            </w:pict>
          </mc:Fallback>
        </mc:AlternateContent>
      </w:r>
      <w:r>
        <w:rPr>
          <w:noProof/>
        </w:rPr>
        <mc:AlternateContent>
          <mc:Choice Requires="wps">
            <w:drawing>
              <wp:anchor distT="0" distB="0" distL="0" distR="0" simplePos="0" relativeHeight="251675648" behindDoc="0" locked="0" layoutInCell="1" allowOverlap="1" wp14:anchorId="412F0BD3" wp14:editId="44E56B5A">
                <wp:simplePos x="0" y="0"/>
                <wp:positionH relativeFrom="column">
                  <wp:posOffset>2301240</wp:posOffset>
                </wp:positionH>
                <wp:positionV relativeFrom="paragraph">
                  <wp:posOffset>6985</wp:posOffset>
                </wp:positionV>
                <wp:extent cx="1578610" cy="270510"/>
                <wp:effectExtent l="0" t="0" r="0" b="0"/>
                <wp:wrapNone/>
                <wp:docPr id="22" name="Cadre4"/>
                <wp:cNvGraphicFramePr/>
                <a:graphic xmlns:a="http://schemas.openxmlformats.org/drawingml/2006/main">
                  <a:graphicData uri="http://schemas.microsoft.com/office/word/2010/wordprocessingShape">
                    <wps:wsp>
                      <wps:cNvSpPr/>
                      <wps:spPr>
                        <a:xfrm>
                          <a:off x="0" y="0"/>
                          <a:ext cx="1577880" cy="270000"/>
                        </a:xfrm>
                        <a:prstGeom prst="rect">
                          <a:avLst/>
                        </a:prstGeom>
                        <a:noFill/>
                        <a:ln>
                          <a:noFill/>
                        </a:ln>
                      </wps:spPr>
                      <wps:style>
                        <a:lnRef idx="0">
                          <a:scrgbClr r="0" g="0" b="0"/>
                        </a:lnRef>
                        <a:fillRef idx="0">
                          <a:scrgbClr r="0" g="0" b="0"/>
                        </a:fillRef>
                        <a:effectRef idx="0">
                          <a:scrgbClr r="0" g="0" b="0"/>
                        </a:effectRef>
                        <a:fontRef idx="minor"/>
                      </wps:style>
                      <wps:txbx>
                        <w:txbxContent>
                          <w:p w14:paraId="7FEA930F" w14:textId="77777777" w:rsidR="006A033B" w:rsidRDefault="006A033B" w:rsidP="006A033B">
                            <w:pPr>
                              <w:pStyle w:val="Contenudecadre"/>
                              <w:jc w:val="center"/>
                            </w:pPr>
                            <w:r>
                              <w:rPr>
                                <w:color w:val="000000"/>
                                <w:sz w:val="18"/>
                                <w:szCs w:val="18"/>
                                <w:u w:val="single"/>
                              </w:rPr>
                              <w:t>Minimum dimension 100 mm</w:t>
                            </w:r>
                          </w:p>
                        </w:txbxContent>
                      </wps:txbx>
                      <wps:bodyPr>
                        <a:noAutofit/>
                      </wps:bodyPr>
                    </wps:wsp>
                  </a:graphicData>
                </a:graphic>
              </wp:anchor>
            </w:drawing>
          </mc:Choice>
          <mc:Fallback>
            <w:pict>
              <v:rect w14:anchorId="412F0BD3" id="Cadre4" o:spid="_x0000_s1028" style="position:absolute;left:0;text-align:left;margin-left:181.2pt;margin-top:.55pt;width:124.3pt;height:21.3pt;z-index:2516756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" filled="f" stroked="f">
                <v:textbox>
                  <w:txbxContent>
                    <w:p w14:paraId="7FEA930F" w14:textId="77777777" w:rsidR="006A033B" w:rsidRDefault="006A033B" w:rsidP="006A033B">
                      <w:pPr>
                        <w:pStyle w:val="Contenudecadre"/>
                        <w:jc w:val="center"/>
                      </w:pPr>
                      <w:r>
                        <w:rPr>
                          <w:color w:val="000000"/>
                          <w:sz w:val="18"/>
                          <w:szCs w:val="18"/>
                          <w:u w:val="single"/>
                        </w:rPr>
                        <w:t>Minimum dimension 100 mm</w:t>
                      </w:r>
                    </w:p>
                  </w:txbxContent>
                </v:textbox>
              </v:rect>
            </w:pict>
          </mc:Fallback>
        </mc:AlternateContent>
      </w:r>
    </w:p>
    <w:p w14:paraId="569EFC7C" w14:textId="77777777" w:rsidR="006A033B" w:rsidRDefault="006A033B" w:rsidP="006A033B">
      <w:pPr>
        <w:pStyle w:val="SingleTxtG"/>
        <w:jc w:val="center"/>
      </w:pPr>
      <w:r>
        <w:t>Lithium</w:t>
      </w:r>
      <w:r>
        <w:rPr>
          <w:u w:val="single"/>
        </w:rPr>
        <w:t xml:space="preserve"> or sodium ion</w:t>
      </w:r>
      <w:r>
        <w:t xml:space="preserve"> battery mark</w:t>
      </w:r>
    </w:p>
    <w:p w14:paraId="2C490826" w14:textId="77777777" w:rsidR="006A033B" w:rsidRDefault="006A033B" w:rsidP="006A033B">
      <w:pPr>
        <w:pStyle w:val="SingleTxtG"/>
        <w:jc w:val="left"/>
      </w:pPr>
      <w:r>
        <w:t>*</w:t>
      </w:r>
      <w:r>
        <w:tab/>
      </w:r>
      <w:r>
        <w:rPr>
          <w:i/>
        </w:rPr>
        <w:t>Place for UN number(s)</w:t>
      </w:r>
    </w:p>
    <w:p w14:paraId="08CA7140" w14:textId="77777777" w:rsidR="006A033B" w:rsidRDefault="006A033B" w:rsidP="006A033B">
      <w:pPr>
        <w:pStyle w:val="SingleTxtG"/>
        <w:jc w:val="left"/>
      </w:pPr>
      <w:r>
        <w:t>**</w:t>
      </w:r>
      <w:r>
        <w:tab/>
      </w:r>
      <w:r>
        <w:rPr>
          <w:i/>
        </w:rPr>
        <w:t>Place for telephone number for additional information</w:t>
      </w:r>
    </w:p>
    <w:p w14:paraId="596756C0" w14:textId="77777777" w:rsidR="006A033B" w:rsidRDefault="006A033B" w:rsidP="006A033B">
      <w:pPr>
        <w:pStyle w:val="SingleTxtG"/>
      </w:pPr>
      <w:r>
        <w:tab/>
        <w:t>The mark shall be in the form of a rectangle or a square with hatched edging. The dimensions shall be a minimum of 100 mm wide × 100 mm high and the minimum width of the hatching shall be 5 mm. The symbol (group of batteries, one damaged and emitting flame, above the UN number</w:t>
      </w:r>
      <w:r>
        <w:rPr>
          <w:u w:val="single"/>
        </w:rPr>
        <w:t>(s)</w:t>
      </w:r>
      <w:r>
        <w:t xml:space="preserve"> </w:t>
      </w:r>
      <w:r>
        <w:rPr>
          <w:strike/>
        </w:rPr>
        <w:t>for lithium ion or lithium metal batteries or cells</w:t>
      </w:r>
      <w:r>
        <w:t>) shall be black on white or suitable contrasting background. The hatching shall be red. If the size of the package so requires, the dimensions may be reduced to not less than 100 mm wide × 70 mm high. Where dimensions are not specified, all features shall be in approximate proportion to those shown.”</w:t>
      </w:r>
    </w:p>
    <w:p w14:paraId="6C77EDEC" w14:textId="5512AE0B" w:rsidR="006A033B" w:rsidRDefault="006A033B" w:rsidP="006A033B">
      <w:pPr>
        <w:pStyle w:val="SingleTxtG"/>
      </w:pPr>
      <w:r>
        <w:t>“5.2.2.1.13.1</w:t>
      </w:r>
      <w:r>
        <w:tab/>
        <w:t xml:space="preserve">Packages containing articles or articles transported unpackaged shall bear labels according to 5.2.2.1.2 reflecting the hazards established according to 2.0.5. If the article contains one or more lithium </w:t>
      </w:r>
      <w:r>
        <w:rPr>
          <w:u w:val="single"/>
        </w:rPr>
        <w:t xml:space="preserve">or sodium ion </w:t>
      </w:r>
      <w:r w:rsidRPr="00217E27">
        <w:rPr>
          <w:highlight w:val="cyan"/>
          <w:u w:val="single"/>
        </w:rPr>
        <w:t>[using organic electrolyte]</w:t>
      </w:r>
      <w:r>
        <w:rPr>
          <w:u w:val="single"/>
        </w:rPr>
        <w:t xml:space="preserve"> </w:t>
      </w:r>
      <w:r>
        <w:t xml:space="preserve">batteries with, for lithium metal batteries, an aggregate lithium content of 2 g or less, and for lithium ion </w:t>
      </w:r>
      <w:r>
        <w:rPr>
          <w:u w:val="single"/>
        </w:rPr>
        <w:t xml:space="preserve">or sodium ion </w:t>
      </w:r>
      <w:r w:rsidRPr="00217E27">
        <w:rPr>
          <w:highlight w:val="cyan"/>
          <w:u w:val="single"/>
        </w:rPr>
        <w:t>[using organic electrolyte]</w:t>
      </w:r>
      <w:r>
        <w:rPr>
          <w:u w:val="single"/>
        </w:rPr>
        <w:t xml:space="preserve"> </w:t>
      </w:r>
      <w:r>
        <w:t>batteries, a Watt-hour rating of 100</w:t>
      </w:r>
      <w:r w:rsidR="00217E27">
        <w:rPr>
          <w:lang w:val="fr-CH"/>
        </w:rPr>
        <w:t xml:space="preserve"> </w:t>
      </w:r>
      <w:proofErr w:type="spellStart"/>
      <w:r>
        <w:t>Wh</w:t>
      </w:r>
      <w:proofErr w:type="spellEnd"/>
      <w:r>
        <w:t xml:space="preserve"> or less, the lithium </w:t>
      </w:r>
      <w:r>
        <w:rPr>
          <w:u w:val="single"/>
        </w:rPr>
        <w:t xml:space="preserve">or sodium ion </w:t>
      </w:r>
      <w:r>
        <w:t>battery mark (Figure 5.2.5) shall be affixed to the package or unpackaged article. If the article contains one or more lithium</w:t>
      </w:r>
      <w:r>
        <w:rPr>
          <w:u w:val="single"/>
        </w:rPr>
        <w:t xml:space="preserve"> or sodium ion </w:t>
      </w:r>
      <w:r w:rsidRPr="00217E27">
        <w:rPr>
          <w:highlight w:val="cyan"/>
          <w:u w:val="single"/>
        </w:rPr>
        <w:t>[using organic electrolyte]</w:t>
      </w:r>
      <w:r>
        <w:rPr>
          <w:u w:val="single"/>
        </w:rPr>
        <w:t xml:space="preserve"> </w:t>
      </w:r>
      <w:r>
        <w:t xml:space="preserve">batteries with, for lithium metal batteries, an aggregate lithium content of more than 2 g and for lithium ion </w:t>
      </w:r>
      <w:r>
        <w:rPr>
          <w:u w:val="single"/>
        </w:rPr>
        <w:t xml:space="preserve">or sodium ion </w:t>
      </w:r>
      <w:r w:rsidRPr="00217E27">
        <w:rPr>
          <w:highlight w:val="cyan"/>
          <w:u w:val="single"/>
        </w:rPr>
        <w:t>[using organic electrolyte]</w:t>
      </w:r>
      <w:r>
        <w:rPr>
          <w:u w:val="single"/>
        </w:rPr>
        <w:t xml:space="preserve"> </w:t>
      </w:r>
      <w:r>
        <w:t>batteries, a Watt-hour rating of more than 100 </w:t>
      </w:r>
      <w:proofErr w:type="spellStart"/>
      <w:r>
        <w:t>Wh</w:t>
      </w:r>
      <w:proofErr w:type="spellEnd"/>
      <w:r>
        <w:t xml:space="preserve">, the </w:t>
      </w:r>
      <w:r>
        <w:rPr>
          <w:strike/>
        </w:rPr>
        <w:t>lithium</w:t>
      </w:r>
      <w:r>
        <w:t xml:space="preserve"> battery label (5.2.2.</w:t>
      </w:r>
      <w:r>
        <w:rPr>
          <w:strike/>
        </w:rPr>
        <w:t>1</w:t>
      </w:r>
      <w:r>
        <w:rPr>
          <w:u w:val="single"/>
        </w:rPr>
        <w:t>.2.</w:t>
      </w:r>
      <w:r>
        <w:t>2 No. 9A) shall be affixed to the package or unpackaged articles.”</w:t>
      </w:r>
    </w:p>
    <w:p w14:paraId="4FEF5F55" w14:textId="77777777" w:rsidR="006A033B" w:rsidRDefault="006A033B" w:rsidP="006A033B">
      <w:pPr>
        <w:pStyle w:val="SingleTxtG"/>
      </w:pPr>
      <w:r>
        <w:rPr>
          <w:i/>
          <w:iCs/>
        </w:rPr>
        <w:t>COMMENT – reference to 5.2.2.1.N° 9A in  5.2.2.1.13.1 is probably a mistake and should be corrected although it is not directly related to the subject of sodium ion batteries.</w:t>
      </w:r>
    </w:p>
    <w:p w14:paraId="2D292F99" w14:textId="1160516D" w:rsidR="006A033B" w:rsidRDefault="002E3C8E" w:rsidP="002E3C8E">
      <w:pPr>
        <w:pStyle w:val="H1G"/>
      </w:pPr>
      <w:r>
        <w:tab/>
      </w:r>
      <w:r>
        <w:tab/>
      </w:r>
      <w:r w:rsidR="006A033B">
        <w:t>Proposal 5</w:t>
      </w:r>
    </w:p>
    <w:p w14:paraId="2013D3C1" w14:textId="77777777" w:rsidR="006A033B" w:rsidRDefault="006A033B" w:rsidP="006A033B">
      <w:pPr>
        <w:pStyle w:val="SingleTxtG"/>
      </w:pPr>
      <w:r>
        <w:t>32.</w:t>
      </w:r>
      <w:r>
        <w:tab/>
        <w:t>If the data allows to make a positive decision in relation to paragraphs 12 and 13 above, it is proposed to adopt a new special provision YYY under new entries XXXX and XXXY prescribing requirements for low energy batteries as follows:</w:t>
      </w:r>
    </w:p>
    <w:p w14:paraId="33AF5E6B" w14:textId="48ABC485" w:rsidR="006A033B" w:rsidRDefault="006A033B" w:rsidP="006A033B">
      <w:pPr>
        <w:pStyle w:val="SingleTxtG"/>
        <w:ind w:left="1701"/>
      </w:pPr>
      <w:r>
        <w:t xml:space="preserve">“YYY Sodium ion </w:t>
      </w:r>
      <w:r w:rsidRPr="00217E27">
        <w:rPr>
          <w:highlight w:val="cyan"/>
          <w:u w:val="single"/>
        </w:rPr>
        <w:t>[using organic electrolyte]</w:t>
      </w:r>
      <w:r>
        <w:t xml:space="preserve"> cells and batteries that have an energy density of [XX </w:t>
      </w:r>
      <w:proofErr w:type="spellStart"/>
      <w:r>
        <w:t>Wh</w:t>
      </w:r>
      <w:proofErr w:type="spellEnd"/>
      <w:r>
        <w:t>/kg]* or less and when protected against short circuit shall, if containing a dangerous good, be transported as articles under an appropriate entry for that dangerous good or if not containing any dangerous goods may be transported as not subject to these regulations. Equipment containing either of these types may be transported as not subject to these regulations provided installed batteries are protected against short circuit.”</w:t>
      </w:r>
    </w:p>
    <w:p w14:paraId="69C5F766" w14:textId="290D6F09" w:rsidR="006A033B" w:rsidRDefault="006A033B" w:rsidP="006A033B">
      <w:pPr>
        <w:pStyle w:val="SingleTxtG"/>
        <w:rPr>
          <w:rFonts w:eastAsiaTheme="minorEastAsia"/>
          <w:b/>
          <w:bCs/>
          <w:color w:val="000000"/>
        </w:rPr>
      </w:pPr>
      <w:r>
        <w:rPr>
          <w:noProof/>
        </w:rPr>
        <w:lastRenderedPageBreak/>
        <mc:AlternateContent>
          <mc:Choice Requires="wps">
            <w:drawing>
              <wp:anchor distT="45720" distB="45720" distL="114300" distR="114300" simplePos="0" relativeHeight="251676672" behindDoc="0" locked="0" layoutInCell="1" allowOverlap="1" wp14:anchorId="30544366" wp14:editId="2BAA6285">
                <wp:simplePos x="0" y="0"/>
                <wp:positionH relativeFrom="column">
                  <wp:posOffset>2435860</wp:posOffset>
                </wp:positionH>
                <wp:positionV relativeFrom="page">
                  <wp:posOffset>9874250</wp:posOffset>
                </wp:positionV>
                <wp:extent cx="2438400" cy="336550"/>
                <wp:effectExtent l="0" t="0" r="27940" b="13970"/>
                <wp:wrapSquare wrapText="bothSides"/>
                <wp:docPr id="24" name="Text Box 2"/>
                <wp:cNvGraphicFramePr/>
                <a:graphic xmlns:a="http://schemas.openxmlformats.org/drawingml/2006/main">
                  <a:graphicData uri="http://schemas.microsoft.com/office/word/2010/wordprocessingShape">
                    <wps:wsp>
                      <wps:cNvSpPr/>
                      <wps:spPr>
                        <a:xfrm>
                          <a:off x="0" y="0"/>
                          <a:ext cx="2437920" cy="335880"/>
                        </a:xfrm>
                        <a:prstGeom prst="rect">
                          <a:avLst/>
                        </a:prstGeom>
                        <a:solidFill>
                          <a:srgbClr val="FFFFFF"/>
                        </a:solidFill>
                        <a:ln w="9360">
                          <a:solidFill>
                            <a:schemeClr val="bg1"/>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34536EC" id="Text Box 2" o:spid="_x0000_s1026" style="position:absolute;margin-left:191.8pt;margin-top:777.5pt;width:192pt;height:26.5pt;z-index:251676672;visibility:visible;mso-wrap-style:square;mso-wrap-distance-left:9pt;mso-wrap-distance-top:3.6pt;mso-wrap-distance-right:9pt;mso-wrap-distance-bottom:3.6pt;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" strokecolor="white [3212]" strokeweight=".26mm">
                <w10:wrap type="square" anchory="page"/>
              </v:rect>
            </w:pict>
          </mc:Fallback>
        </mc:AlternateContent>
      </w:r>
      <w:r>
        <w:rPr>
          <w:rFonts w:eastAsiaTheme="minorEastAsia"/>
          <w:b/>
          <w:bCs/>
          <w:i/>
          <w:iCs/>
          <w:color w:val="000000"/>
          <w:lang w:val="en-US"/>
        </w:rPr>
        <w:t>* COMMENT - The value of the energy density must be precisely defined according to test data.</w:t>
      </w:r>
    </w:p>
    <w:p w14:paraId="3A934189" w14:textId="77777777" w:rsidR="00E82791" w:rsidRDefault="00E82791">
      <w:pPr>
        <w:suppressAutoHyphens w:val="0"/>
        <w:spacing w:line="240" w:lineRule="auto"/>
        <w:rPr>
          <w:rFonts w:eastAsiaTheme="minorEastAsia"/>
          <w:b/>
          <w:sz w:val="28"/>
          <w:lang w:val="x-none"/>
        </w:rPr>
      </w:pPr>
      <w:r>
        <w:rPr>
          <w:rFonts w:eastAsiaTheme="minorEastAsia"/>
        </w:rPr>
        <w:br w:type="page"/>
      </w:r>
    </w:p>
    <w:p w14:paraId="703317FE" w14:textId="62498C2B" w:rsidR="006A033B" w:rsidRDefault="006A033B" w:rsidP="00D556D8">
      <w:pPr>
        <w:pStyle w:val="HChG"/>
        <w:rPr>
          <w:rFonts w:eastAsiaTheme="minorEastAsia"/>
        </w:rPr>
      </w:pPr>
      <w:r>
        <w:rPr>
          <w:rFonts w:eastAsiaTheme="minorEastAsia"/>
        </w:rPr>
        <w:lastRenderedPageBreak/>
        <w:t>A</w:t>
      </w:r>
      <w:r w:rsidR="00D556D8">
        <w:rPr>
          <w:rFonts w:eastAsiaTheme="minorEastAsia"/>
          <w:lang w:val="fr-CH"/>
        </w:rPr>
        <w:t>nnex</w:t>
      </w:r>
      <w:r>
        <w:rPr>
          <w:rFonts w:eastAsiaTheme="minorEastAsia"/>
        </w:rPr>
        <w:t xml:space="preserve"> II</w:t>
      </w:r>
    </w:p>
    <w:p w14:paraId="732C5BBD" w14:textId="769145FA" w:rsidR="006A033B" w:rsidRDefault="00D556D8" w:rsidP="00D556D8">
      <w:pPr>
        <w:pStyle w:val="HChG"/>
        <w:rPr>
          <w:rFonts w:eastAsiaTheme="minorEastAsia"/>
        </w:rPr>
      </w:pPr>
      <w:r>
        <w:rPr>
          <w:rFonts w:eastAsiaTheme="minorEastAsia"/>
        </w:rPr>
        <w:tab/>
      </w:r>
      <w:r>
        <w:rPr>
          <w:rFonts w:eastAsiaTheme="minorEastAsia"/>
        </w:rPr>
        <w:tab/>
      </w:r>
      <w:r w:rsidR="006A033B">
        <w:rPr>
          <w:rFonts w:eastAsiaTheme="minorEastAsia"/>
        </w:rPr>
        <w:t>Energy density to the different battery technology</w:t>
      </w:r>
    </w:p>
    <w:p w14:paraId="07C8543B" w14:textId="77777777" w:rsidR="006A033B" w:rsidRDefault="006A033B" w:rsidP="006A033B">
      <w:pPr>
        <w:pStyle w:val="SingleTxtG"/>
        <w:jc w:val="center"/>
        <w:rPr>
          <w:b/>
        </w:rPr>
      </w:pPr>
      <w:r>
        <w:rPr>
          <w:rFonts w:eastAsiaTheme="minorEastAsia"/>
          <w:b/>
          <w:bCs/>
          <w:color w:val="000000"/>
          <w:lang w:val="en-US"/>
        </w:rPr>
        <w:t>(</w:t>
      </w:r>
      <w:r>
        <w:rPr>
          <w:rFonts w:ascii="Segoe UI;system-ui;Apple Color" w:hAnsi="Segoe UI;system-ui;Apple Color"/>
          <w:sz w:val="21"/>
          <w:lang w:val="en-US"/>
        </w:rPr>
        <w:t xml:space="preserve">Kubota </w:t>
      </w:r>
      <w:r>
        <w:rPr>
          <w:rFonts w:ascii="Segoe UI;system-ui;Apple Color" w:hAnsi="Segoe UI;system-ui;Apple Color"/>
          <w:i/>
          <w:sz w:val="21"/>
          <w:lang w:val="en-US"/>
        </w:rPr>
        <w:t>et al</w:t>
      </w:r>
      <w:r>
        <w:rPr>
          <w:rFonts w:ascii="Segoe UI;system-ui;Apple Color" w:hAnsi="Segoe UI;system-ui;Apple Color"/>
          <w:sz w:val="21"/>
          <w:lang w:val="en-US"/>
        </w:rPr>
        <w:t>., The chemical record, 2018)</w:t>
      </w:r>
    </w:p>
    <w:p w14:paraId="24B831E8" w14:textId="77777777" w:rsidR="006A033B" w:rsidRDefault="006A033B" w:rsidP="006A033B">
      <w:pPr>
        <w:pStyle w:val="SingleTxtG"/>
        <w:rPr>
          <w:lang w:val="en-US"/>
        </w:rPr>
      </w:pPr>
    </w:p>
    <w:p w14:paraId="495F522B" w14:textId="77777777" w:rsidR="006A033B" w:rsidRDefault="006A033B" w:rsidP="006A033B">
      <w:pPr>
        <w:pStyle w:val="SingleTxtG"/>
        <w:rPr>
          <w:lang w:val="en-US"/>
        </w:rPr>
      </w:pPr>
      <w:r>
        <w:rPr>
          <w:noProof/>
          <w:lang w:val="en-US"/>
        </w:rPr>
        <w:drawing>
          <wp:anchor distT="0" distB="0" distL="0" distR="0" simplePos="0" relativeHeight="251678720" behindDoc="0" locked="0" layoutInCell="1" allowOverlap="1" wp14:anchorId="0E79C5D0" wp14:editId="70A67A87">
            <wp:simplePos x="0" y="0"/>
            <wp:positionH relativeFrom="column">
              <wp:align>center</wp:align>
            </wp:positionH>
            <wp:positionV relativeFrom="paragraph">
              <wp:posOffset>635</wp:posOffset>
            </wp:positionV>
            <wp:extent cx="3914775" cy="5172075"/>
            <wp:effectExtent l="0" t="0" r="0" b="0"/>
            <wp:wrapSquare wrapText="largest"/>
            <wp:docPr id="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
                    <pic:cNvPicPr>
                      <a:picLocks noChangeAspect="1" noChangeArrowheads="1"/>
                    </pic:cNvPicPr>
                  </pic:nvPicPr>
                  <pic:blipFill>
                    <a:blip r:embed="rId12"/>
                    <a:stretch>
                      <a:fillRect/>
                    </a:stretch>
                  </pic:blipFill>
                  <pic:spPr bwMode="auto">
                    <a:xfrm>
                      <a:off x="0" y="0"/>
                      <a:ext cx="3914775" cy="5172075"/>
                    </a:xfrm>
                    <a:prstGeom prst="rect">
                      <a:avLst/>
                    </a:prstGeom>
                  </pic:spPr>
                </pic:pic>
              </a:graphicData>
            </a:graphic>
          </wp:anchor>
        </w:drawing>
      </w:r>
    </w:p>
    <w:p w14:paraId="68E020FF" w14:textId="77777777" w:rsidR="006A033B" w:rsidRDefault="006A033B" w:rsidP="006A033B">
      <w:pPr>
        <w:pStyle w:val="SingleTxtG"/>
        <w:rPr>
          <w:lang w:val="en-US"/>
        </w:rPr>
      </w:pPr>
    </w:p>
    <w:p w14:paraId="795ECD9F" w14:textId="77777777" w:rsidR="006A033B" w:rsidRDefault="006A033B" w:rsidP="006A033B">
      <w:pPr>
        <w:pStyle w:val="SingleTxtG"/>
        <w:rPr>
          <w:lang w:val="en-US"/>
        </w:rPr>
      </w:pPr>
    </w:p>
    <w:p w14:paraId="450337AF" w14:textId="77777777" w:rsidR="006A033B" w:rsidRDefault="006A033B" w:rsidP="006A033B">
      <w:pPr>
        <w:pStyle w:val="SingleTxtG"/>
        <w:rPr>
          <w:lang w:val="en-US"/>
        </w:rPr>
      </w:pPr>
    </w:p>
    <w:p w14:paraId="277C1635" w14:textId="77777777" w:rsidR="006A033B" w:rsidRDefault="006A033B" w:rsidP="006A033B">
      <w:pPr>
        <w:pStyle w:val="SingleTxtG"/>
        <w:rPr>
          <w:lang w:val="en-US"/>
        </w:rPr>
      </w:pPr>
    </w:p>
    <w:p w14:paraId="5E6CBCBA" w14:textId="77777777" w:rsidR="006A033B" w:rsidRDefault="006A033B" w:rsidP="006A033B">
      <w:pPr>
        <w:pStyle w:val="SingleTxtG"/>
        <w:rPr>
          <w:lang w:val="en-US"/>
        </w:rPr>
      </w:pPr>
    </w:p>
    <w:p w14:paraId="0C9124BC" w14:textId="77777777" w:rsidR="006A033B" w:rsidRDefault="006A033B" w:rsidP="006A033B">
      <w:pPr>
        <w:pStyle w:val="SingleTxtG"/>
        <w:rPr>
          <w:lang w:val="en-US"/>
        </w:rPr>
      </w:pPr>
    </w:p>
    <w:p w14:paraId="373AE8C2" w14:textId="77777777" w:rsidR="006A033B" w:rsidRDefault="006A033B" w:rsidP="006A033B">
      <w:pPr>
        <w:pStyle w:val="SingleTxtG"/>
        <w:rPr>
          <w:lang w:val="en-US"/>
        </w:rPr>
      </w:pPr>
    </w:p>
    <w:p w14:paraId="6A00379C" w14:textId="77777777" w:rsidR="006A033B" w:rsidRDefault="006A033B" w:rsidP="006A033B">
      <w:pPr>
        <w:pStyle w:val="SingleTxtG"/>
        <w:rPr>
          <w:lang w:val="en-US"/>
        </w:rPr>
      </w:pPr>
    </w:p>
    <w:p w14:paraId="25625369" w14:textId="77777777" w:rsidR="006A033B" w:rsidRDefault="006A033B" w:rsidP="006A033B">
      <w:pPr>
        <w:pStyle w:val="SingleTxtG"/>
        <w:rPr>
          <w:lang w:val="en-US"/>
        </w:rPr>
      </w:pPr>
    </w:p>
    <w:p w14:paraId="4826A0A9" w14:textId="77777777" w:rsidR="006A033B" w:rsidRDefault="006A033B" w:rsidP="006A033B">
      <w:pPr>
        <w:pStyle w:val="SingleTxtG"/>
        <w:rPr>
          <w:lang w:val="en-US"/>
        </w:rPr>
      </w:pPr>
    </w:p>
    <w:p w14:paraId="0CEE521B" w14:textId="77777777" w:rsidR="006A033B" w:rsidRDefault="006A033B" w:rsidP="006A033B">
      <w:pPr>
        <w:pStyle w:val="SingleTxtG"/>
      </w:pPr>
    </w:p>
    <w:p w14:paraId="2DD0A010" w14:textId="77777777" w:rsidR="006A033B" w:rsidRDefault="006A033B" w:rsidP="006A033B">
      <w:pPr>
        <w:pStyle w:val="SingleTxtG"/>
      </w:pPr>
    </w:p>
    <w:p w14:paraId="37995FE1" w14:textId="77777777" w:rsidR="006A033B" w:rsidRDefault="006A033B" w:rsidP="006A033B">
      <w:pPr>
        <w:pStyle w:val="SingleTxtG"/>
      </w:pPr>
    </w:p>
    <w:p w14:paraId="11FFFAF4" w14:textId="77777777" w:rsidR="006A033B" w:rsidRDefault="006A033B" w:rsidP="006A033B">
      <w:pPr>
        <w:pStyle w:val="SingleTxtG"/>
      </w:pPr>
    </w:p>
    <w:p w14:paraId="244B2FAB" w14:textId="77777777" w:rsidR="006A033B" w:rsidRDefault="006A033B" w:rsidP="006A033B">
      <w:pPr>
        <w:pStyle w:val="SingleTxtG"/>
      </w:pPr>
    </w:p>
    <w:p w14:paraId="73708278" w14:textId="77777777" w:rsidR="006A033B" w:rsidRDefault="006A033B" w:rsidP="006A033B">
      <w:pPr>
        <w:pStyle w:val="SingleTxtG"/>
      </w:pPr>
    </w:p>
    <w:p w14:paraId="3E4A1D25" w14:textId="77777777" w:rsidR="006A033B" w:rsidRDefault="006A033B" w:rsidP="006A033B">
      <w:pPr>
        <w:pStyle w:val="SingleTxtG"/>
      </w:pPr>
    </w:p>
    <w:p w14:paraId="3C4CEF7B" w14:textId="77777777" w:rsidR="006A033B" w:rsidRDefault="006A033B" w:rsidP="006A033B">
      <w:pPr>
        <w:pStyle w:val="SingleTxtG"/>
      </w:pPr>
    </w:p>
    <w:p w14:paraId="6E8C0FC2" w14:textId="77777777" w:rsidR="006A033B" w:rsidRDefault="006A033B" w:rsidP="006A033B">
      <w:pPr>
        <w:pStyle w:val="SingleTxtG"/>
      </w:pPr>
    </w:p>
    <w:p w14:paraId="0E4569A9" w14:textId="77777777" w:rsidR="006A033B" w:rsidRDefault="006A033B" w:rsidP="006A033B">
      <w:pPr>
        <w:pStyle w:val="SingleTxtG"/>
      </w:pPr>
    </w:p>
    <w:p w14:paraId="17F32654" w14:textId="77777777" w:rsidR="006A033B" w:rsidRDefault="006A033B" w:rsidP="006A033B">
      <w:pPr>
        <w:pStyle w:val="SingleTxtG"/>
      </w:pPr>
    </w:p>
    <w:p w14:paraId="66122540" w14:textId="77777777" w:rsidR="006A033B" w:rsidRDefault="006A033B" w:rsidP="006A033B">
      <w:pPr>
        <w:pStyle w:val="SingleTxtG"/>
      </w:pPr>
    </w:p>
    <w:p w14:paraId="27DFF53D" w14:textId="77777777" w:rsidR="0009305D" w:rsidRDefault="0009305D">
      <w:pPr>
        <w:suppressAutoHyphens w:val="0"/>
        <w:spacing w:line="240" w:lineRule="auto"/>
        <w:rPr>
          <w:b/>
          <w:sz w:val="28"/>
          <w:lang w:val="x-none"/>
        </w:rPr>
      </w:pPr>
      <w:r>
        <w:br w:type="page"/>
      </w:r>
    </w:p>
    <w:p w14:paraId="65776816" w14:textId="694219AD" w:rsidR="006A033B" w:rsidRDefault="006A033B" w:rsidP="00D556D8">
      <w:pPr>
        <w:pStyle w:val="HChG"/>
      </w:pPr>
      <w:r>
        <w:lastRenderedPageBreak/>
        <w:t>A</w:t>
      </w:r>
      <w:r w:rsidR="00D556D8">
        <w:rPr>
          <w:lang w:val="fr-CH"/>
        </w:rPr>
        <w:t>nnex</w:t>
      </w:r>
      <w:r>
        <w:t xml:space="preserve"> III</w:t>
      </w:r>
    </w:p>
    <w:p w14:paraId="30E0F434" w14:textId="0E9B6701" w:rsidR="006A033B" w:rsidRDefault="00D556D8" w:rsidP="00D556D8">
      <w:pPr>
        <w:pStyle w:val="HChG"/>
      </w:pPr>
      <w:r>
        <w:tab/>
      </w:r>
      <w:r>
        <w:tab/>
      </w:r>
      <w:r w:rsidR="006A033B">
        <w:t>Propagation test on a sodium ion battery</w:t>
      </w:r>
    </w:p>
    <w:p w14:paraId="7E51B2D1" w14:textId="77777777" w:rsidR="006A033B" w:rsidRDefault="006A033B" w:rsidP="006A033B">
      <w:pPr>
        <w:pStyle w:val="SingleTxtG"/>
        <w:numPr>
          <w:ilvl w:val="0"/>
          <w:numId w:val="18"/>
        </w:numPr>
        <w:snapToGrid w:val="0"/>
        <w:ind w:left="1134" w:right="0" w:hanging="340"/>
      </w:pPr>
      <w:r>
        <w:rPr>
          <w:lang w:val="en-US"/>
        </w:rPr>
        <w:t xml:space="preserve">In complement of doc. ST/SG/AC.10/C.3/2020/45, that proposes the creation of a new UN number for Na-ion batteries and consequential transport conditions. This document provides useful test result on 18650 Na-ion cells. The test protocol used is </w:t>
      </w:r>
      <w:proofErr w:type="gramStart"/>
      <w:r>
        <w:rPr>
          <w:lang w:val="en-US"/>
        </w:rPr>
        <w:t>similar to</w:t>
      </w:r>
      <w:proofErr w:type="gramEnd"/>
      <w:r>
        <w:rPr>
          <w:lang w:val="en-US"/>
        </w:rPr>
        <w:t xml:space="preserve"> the one proposed in the informal working group for hazard-based classification of Li-ion batteries. The cell tested has an energy density of 90Wh/kg.</w:t>
      </w:r>
    </w:p>
    <w:p w14:paraId="1F45E9FF" w14:textId="77777777" w:rsidR="006A033B" w:rsidRDefault="006A033B" w:rsidP="006A033B">
      <w:pPr>
        <w:pStyle w:val="HChG"/>
        <w:ind w:firstLine="0"/>
      </w:pPr>
      <w:r>
        <w:rPr>
          <w:lang w:val="en-US"/>
        </w:rPr>
        <w:t>Test protocol (from IWG)</w:t>
      </w:r>
    </w:p>
    <w:p w14:paraId="582EAF08" w14:textId="77777777" w:rsidR="006A033B" w:rsidRDefault="006A033B" w:rsidP="006A033B">
      <w:pPr>
        <w:pStyle w:val="SingleTxtG"/>
        <w:numPr>
          <w:ilvl w:val="0"/>
          <w:numId w:val="18"/>
        </w:numPr>
        <w:snapToGrid w:val="0"/>
      </w:pPr>
      <w:r>
        <w:rPr>
          <w:lang w:val="en-US"/>
        </w:rPr>
        <w:t>The test plan is described as below</w:t>
      </w:r>
    </w:p>
    <w:p w14:paraId="11FDA61E" w14:textId="77777777" w:rsidR="006A033B" w:rsidRDefault="006A033B" w:rsidP="006A033B">
      <w:pPr>
        <w:pStyle w:val="SingleTxtG"/>
      </w:pPr>
      <w:r>
        <w:rPr>
          <w:u w:val="single"/>
          <w:lang w:val="en-US"/>
        </w:rPr>
        <w:t>Experimental Setup</w:t>
      </w:r>
      <w:r>
        <w:rPr>
          <w:lang w:val="en-US"/>
        </w:rPr>
        <w:t>:</w:t>
      </w:r>
    </w:p>
    <w:p w14:paraId="4ADA8911" w14:textId="77777777" w:rsidR="006A033B" w:rsidRDefault="006A033B" w:rsidP="006A033B">
      <w:pPr>
        <w:pStyle w:val="SingleTxtG"/>
        <w:ind w:firstLine="567"/>
      </w:pPr>
      <w:r>
        <w:rPr>
          <w:lang w:val="en-US"/>
        </w:rPr>
        <w:t>Six (6) 18650 cells, 100% SoC</w:t>
      </w:r>
    </w:p>
    <w:p w14:paraId="3CC9258C" w14:textId="77777777" w:rsidR="006A033B" w:rsidRDefault="006A033B" w:rsidP="006A033B">
      <w:pPr>
        <w:pStyle w:val="SingleTxtG"/>
        <w:ind w:firstLine="567"/>
      </w:pPr>
      <w:r>
        <w:rPr>
          <w:lang w:val="en-US"/>
        </w:rPr>
        <w:t>Parallel configuration (not electrically connected)</w:t>
      </w:r>
    </w:p>
    <w:p w14:paraId="0BB23392" w14:textId="77777777" w:rsidR="006A033B" w:rsidRDefault="006A033B" w:rsidP="006A033B">
      <w:pPr>
        <w:pStyle w:val="SingleTxtG"/>
        <w:ind w:firstLine="567"/>
      </w:pPr>
      <w:r>
        <w:rPr>
          <w:lang w:val="en-US"/>
        </w:rPr>
        <w:t>1 T/C on first cell, 1 T/C on each remaining cell</w:t>
      </w:r>
    </w:p>
    <w:p w14:paraId="4E7114FF" w14:textId="77777777" w:rsidR="006A033B" w:rsidRDefault="006A033B" w:rsidP="006A033B">
      <w:pPr>
        <w:pStyle w:val="SingleTxtG"/>
        <w:ind w:firstLine="567"/>
      </w:pPr>
      <w:r>
        <w:rPr>
          <w:lang w:val="en-US"/>
        </w:rPr>
        <w:t>Insulation on all sides</w:t>
      </w:r>
    </w:p>
    <w:p w14:paraId="633F53E0" w14:textId="77777777" w:rsidR="006A033B" w:rsidRDefault="006A033B" w:rsidP="006A033B">
      <w:pPr>
        <w:pStyle w:val="SingleTxtG"/>
      </w:pPr>
      <w:r>
        <w:rPr>
          <w:u w:val="single"/>
          <w:lang w:val="en-US"/>
        </w:rPr>
        <w:t>Experimental Procedure:</w:t>
      </w:r>
    </w:p>
    <w:p w14:paraId="0F819F08" w14:textId="77777777" w:rsidR="006A033B" w:rsidRDefault="006A033B" w:rsidP="006A033B">
      <w:pPr>
        <w:pStyle w:val="SingleTxtG"/>
        <w:ind w:firstLine="567"/>
      </w:pPr>
      <w:r>
        <w:rPr>
          <w:lang w:val="en-US"/>
        </w:rPr>
        <w:t>Cells are touching each other</w:t>
      </w:r>
    </w:p>
    <w:p w14:paraId="7ABEA389" w14:textId="77777777" w:rsidR="006A033B" w:rsidRDefault="006A033B" w:rsidP="006A033B">
      <w:pPr>
        <w:pStyle w:val="SingleTxtG"/>
        <w:ind w:firstLine="567"/>
      </w:pPr>
      <w:r>
        <w:rPr>
          <w:lang w:val="en-US"/>
        </w:rPr>
        <w:t>Heat 1st cell at defined heating rate (here 9°C/min)</w:t>
      </w:r>
    </w:p>
    <w:p w14:paraId="7E94B05B" w14:textId="77777777" w:rsidR="006A033B" w:rsidRDefault="006A033B" w:rsidP="006A033B">
      <w:pPr>
        <w:pStyle w:val="SingleTxtG"/>
        <w:ind w:firstLine="567"/>
      </w:pPr>
      <w:r>
        <w:rPr>
          <w:lang w:val="en-US"/>
        </w:rPr>
        <w:t>Turn heater off when first cell goes into thermal runaway (temperature jump above 200C)</w:t>
      </w:r>
    </w:p>
    <w:p w14:paraId="293EA159" w14:textId="77777777" w:rsidR="006A033B" w:rsidRDefault="006A033B" w:rsidP="006A033B">
      <w:pPr>
        <w:pStyle w:val="SingleTxtG"/>
        <w:keepNext/>
        <w:ind w:firstLine="567"/>
      </w:pPr>
      <w:r>
        <w:rPr>
          <w:noProof/>
        </w:rPr>
        <w:drawing>
          <wp:inline distT="0" distB="0" distL="0" distR="0" wp14:anchorId="3DB76F33" wp14:editId="4131CF91">
            <wp:extent cx="3952875" cy="3038475"/>
            <wp:effectExtent l="0" t="0" r="0" b="0"/>
            <wp:docPr id="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
                    <pic:cNvPicPr>
                      <a:picLocks noChangeAspect="1" noChangeArrowheads="1"/>
                    </pic:cNvPicPr>
                  </pic:nvPicPr>
                  <pic:blipFill>
                    <a:blip r:embed="rId13"/>
                    <a:stretch>
                      <a:fillRect/>
                    </a:stretch>
                  </pic:blipFill>
                  <pic:spPr bwMode="auto">
                    <a:xfrm>
                      <a:off x="0" y="0"/>
                      <a:ext cx="3952875" cy="3038475"/>
                    </a:xfrm>
                    <a:prstGeom prst="rect">
                      <a:avLst/>
                    </a:prstGeom>
                  </pic:spPr>
                </pic:pic>
              </a:graphicData>
            </a:graphic>
          </wp:inline>
        </w:drawing>
      </w:r>
    </w:p>
    <w:p w14:paraId="62C0AAC6" w14:textId="6ECC09AB" w:rsidR="006A033B" w:rsidRDefault="006A033B" w:rsidP="006A033B">
      <w:pPr>
        <w:pStyle w:val="Lgende"/>
      </w:pPr>
      <w:r>
        <w:rPr>
          <w:color w:val="00000A"/>
          <w:lang w:val="en-US"/>
        </w:rPr>
        <w:t xml:space="preserve">Figure </w:t>
      </w:r>
      <w:r>
        <w:fldChar w:fldCharType="begin"/>
      </w:r>
      <w:r>
        <w:instrText>SEQ Figure \* ARABIC</w:instrText>
      </w:r>
      <w:r>
        <w:fldChar w:fldCharType="separate"/>
      </w:r>
      <w:r w:rsidR="00130A1F">
        <w:rPr>
          <w:noProof/>
        </w:rPr>
        <w:t>1</w:t>
      </w:r>
      <w:r>
        <w:fldChar w:fldCharType="end"/>
      </w:r>
      <w:r>
        <w:rPr>
          <w:color w:val="00000A"/>
          <w:lang w:val="en-US"/>
        </w:rPr>
        <w:t>: propagation test set-up</w:t>
      </w:r>
    </w:p>
    <w:p w14:paraId="65FCC3EB" w14:textId="77777777" w:rsidR="006A033B" w:rsidRDefault="006A033B" w:rsidP="006A033B">
      <w:pPr>
        <w:pStyle w:val="HChG"/>
        <w:ind w:firstLine="0"/>
      </w:pPr>
      <w:r>
        <w:rPr>
          <w:lang w:val="fr-FR"/>
        </w:rPr>
        <w:t xml:space="preserve">Test </w:t>
      </w:r>
      <w:proofErr w:type="spellStart"/>
      <w:r>
        <w:rPr>
          <w:lang w:val="fr-FR"/>
        </w:rPr>
        <w:t>results</w:t>
      </w:r>
      <w:proofErr w:type="spellEnd"/>
      <w:r>
        <w:rPr>
          <w:lang w:val="fr-FR"/>
        </w:rPr>
        <w:t xml:space="preserve"> </w:t>
      </w:r>
    </w:p>
    <w:p w14:paraId="2CF4F6F9" w14:textId="77777777" w:rsidR="006A033B" w:rsidRDefault="006A033B" w:rsidP="006A033B">
      <w:pPr>
        <w:pStyle w:val="SingleTxtG"/>
        <w:numPr>
          <w:ilvl w:val="0"/>
          <w:numId w:val="18"/>
        </w:numPr>
        <w:snapToGrid w:val="0"/>
        <w:ind w:left="1191" w:right="0" w:hanging="340"/>
      </w:pPr>
      <w:r>
        <w:rPr>
          <w:lang w:val="en-US"/>
        </w:rPr>
        <w:t xml:space="preserve">The figure 2 shows extract of the video of the test. The thermally abused cell reacted, partially ejected its jelly roll and fumes were emitted. No flame was observed. The other cells did not react and kept their 4.11 V voltage after the test. </w:t>
      </w:r>
    </w:p>
    <w:p w14:paraId="4CB377D0" w14:textId="77777777" w:rsidR="006A033B" w:rsidRDefault="006A033B" w:rsidP="006A033B">
      <w:pPr>
        <w:rPr>
          <w:lang w:val="en-US"/>
        </w:rPr>
      </w:pPr>
    </w:p>
    <w:p w14:paraId="1C0839BC" w14:textId="77777777" w:rsidR="006A033B" w:rsidRDefault="006A033B" w:rsidP="006A033B">
      <w:pPr>
        <w:keepNext/>
        <w:jc w:val="center"/>
      </w:pPr>
      <w:r>
        <w:rPr>
          <w:noProof/>
        </w:rPr>
        <w:lastRenderedPageBreak/>
        <w:drawing>
          <wp:inline distT="0" distB="0" distL="0" distR="0" wp14:anchorId="2EF4D7ED" wp14:editId="020C684F">
            <wp:extent cx="4932045" cy="2876550"/>
            <wp:effectExtent l="0" t="0" r="0" b="0"/>
            <wp:docPr id="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9"/>
                    <pic:cNvPicPr>
                      <a:picLocks noChangeAspect="1" noChangeArrowheads="1"/>
                    </pic:cNvPicPr>
                  </pic:nvPicPr>
                  <pic:blipFill>
                    <a:blip r:embed="rId14"/>
                    <a:stretch>
                      <a:fillRect/>
                    </a:stretch>
                  </pic:blipFill>
                  <pic:spPr bwMode="auto">
                    <a:xfrm>
                      <a:off x="0" y="0"/>
                      <a:ext cx="4932045" cy="2876550"/>
                    </a:xfrm>
                    <a:prstGeom prst="rect">
                      <a:avLst/>
                    </a:prstGeom>
                  </pic:spPr>
                </pic:pic>
              </a:graphicData>
            </a:graphic>
          </wp:inline>
        </w:drawing>
      </w:r>
    </w:p>
    <w:p w14:paraId="029BAC9B" w14:textId="28E40030" w:rsidR="006A033B" w:rsidRDefault="006A033B" w:rsidP="006A033B">
      <w:pPr>
        <w:pStyle w:val="Lgende"/>
      </w:pPr>
      <w:r>
        <w:rPr>
          <w:color w:val="00000A"/>
        </w:rPr>
        <w:t xml:space="preserve">Figure </w:t>
      </w:r>
      <w:r>
        <w:fldChar w:fldCharType="begin"/>
      </w:r>
      <w:r>
        <w:instrText>SEQ Figure \* ARABIC</w:instrText>
      </w:r>
      <w:r>
        <w:fldChar w:fldCharType="separate"/>
      </w:r>
      <w:r w:rsidR="00130A1F">
        <w:rPr>
          <w:noProof/>
        </w:rPr>
        <w:t>2</w:t>
      </w:r>
      <w:r>
        <w:fldChar w:fldCharType="end"/>
      </w:r>
      <w:r>
        <w:rPr>
          <w:color w:val="00000A"/>
        </w:rPr>
        <w:t>: extracts from the test video and set-up after the test</w:t>
      </w:r>
    </w:p>
    <w:p w14:paraId="2939587A" w14:textId="77777777" w:rsidR="006A033B" w:rsidRDefault="006A033B" w:rsidP="006A033B">
      <w:pPr>
        <w:pStyle w:val="SingleTxtG"/>
        <w:numPr>
          <w:ilvl w:val="0"/>
          <w:numId w:val="18"/>
        </w:numPr>
        <w:snapToGrid w:val="0"/>
        <w:ind w:left="907" w:right="0" w:hanging="340"/>
      </w:pPr>
      <w:r>
        <w:rPr>
          <w:lang w:val="en-US"/>
        </w:rPr>
        <w:t xml:space="preserve">The figure 3 presents the temperature recorded during the test. The cell reaction occurs when the cell reaches 155°C and the maximal temperature recorded is 183°C. The temperature recorded on the other cells stay below 75°C confirming that the thermal runaway did not propagate. </w:t>
      </w:r>
    </w:p>
    <w:p w14:paraId="18041392" w14:textId="77777777" w:rsidR="006A033B" w:rsidRDefault="006A033B" w:rsidP="006A033B">
      <w:pPr>
        <w:pStyle w:val="SingleTxtG"/>
        <w:rPr>
          <w:lang w:val="en-US"/>
        </w:rPr>
      </w:pPr>
    </w:p>
    <w:p w14:paraId="6F6F8AF3" w14:textId="77777777" w:rsidR="006A033B" w:rsidRDefault="006A033B" w:rsidP="006A033B">
      <w:pPr>
        <w:keepNext/>
        <w:jc w:val="center"/>
      </w:pPr>
      <w:r>
        <w:rPr>
          <w:noProof/>
        </w:rPr>
        <w:drawing>
          <wp:inline distT="0" distB="0" distL="0" distR="0" wp14:anchorId="310A3D92" wp14:editId="70E8DD95">
            <wp:extent cx="5736590" cy="3714750"/>
            <wp:effectExtent l="0" t="0" r="0" b="0"/>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
                    <pic:cNvPicPr>
                      <a:picLocks noChangeAspect="1" noChangeArrowheads="1"/>
                    </pic:cNvPicPr>
                  </pic:nvPicPr>
                  <pic:blipFill>
                    <a:blip r:embed="rId15"/>
                    <a:stretch>
                      <a:fillRect/>
                    </a:stretch>
                  </pic:blipFill>
                  <pic:spPr bwMode="auto">
                    <a:xfrm>
                      <a:off x="0" y="0"/>
                      <a:ext cx="5736590" cy="3714750"/>
                    </a:xfrm>
                    <a:prstGeom prst="rect">
                      <a:avLst/>
                    </a:prstGeom>
                  </pic:spPr>
                </pic:pic>
              </a:graphicData>
            </a:graphic>
          </wp:inline>
        </w:drawing>
      </w:r>
    </w:p>
    <w:p w14:paraId="25326DFC" w14:textId="4CD9A571" w:rsidR="006A033B" w:rsidRDefault="006A033B" w:rsidP="006A033B">
      <w:pPr>
        <w:pStyle w:val="Lgende"/>
      </w:pPr>
      <w:r>
        <w:rPr>
          <w:color w:val="00000A"/>
        </w:rPr>
        <w:t xml:space="preserve">Figure </w:t>
      </w:r>
      <w:r>
        <w:fldChar w:fldCharType="begin"/>
      </w:r>
      <w:r>
        <w:instrText>SEQ Figure \* ARABIC</w:instrText>
      </w:r>
      <w:r>
        <w:fldChar w:fldCharType="separate"/>
      </w:r>
      <w:r w:rsidR="00130A1F">
        <w:rPr>
          <w:noProof/>
        </w:rPr>
        <w:t>3</w:t>
      </w:r>
      <w:r>
        <w:fldChar w:fldCharType="end"/>
      </w:r>
      <w:r>
        <w:rPr>
          <w:color w:val="00000A"/>
        </w:rPr>
        <w:t xml:space="preserve"> : temperature recording during the propagation test on Na-ion batteries</w:t>
      </w:r>
    </w:p>
    <w:p w14:paraId="1AB230FE" w14:textId="77777777" w:rsidR="006A033B" w:rsidRDefault="006A033B" w:rsidP="006A033B">
      <w:pPr>
        <w:pStyle w:val="SingleTxtG"/>
        <w:numPr>
          <w:ilvl w:val="0"/>
          <w:numId w:val="18"/>
        </w:numPr>
        <w:snapToGrid w:val="0"/>
        <w:ind w:left="340" w:right="0" w:hanging="340"/>
      </w:pPr>
      <w:r>
        <w:rPr>
          <w:lang w:val="en-US"/>
        </w:rPr>
        <w:t xml:space="preserve">The figure 4 presents the gas analysis result performed by on-line FTIR measurement. Around 1 L of gas has been quantified. Since no inflammation were observed, the major component of the gas mixture </w:t>
      </w:r>
      <w:proofErr w:type="gramStart"/>
      <w:r>
        <w:rPr>
          <w:lang w:val="en-US"/>
        </w:rPr>
        <w:t>are</w:t>
      </w:r>
      <w:proofErr w:type="gramEnd"/>
      <w:r>
        <w:rPr>
          <w:lang w:val="en-US"/>
        </w:rPr>
        <w:t xml:space="preserve"> the solvent from the electrolyte. </w:t>
      </w:r>
    </w:p>
    <w:p w14:paraId="410E4EF3" w14:textId="77777777" w:rsidR="006A033B" w:rsidRDefault="006A033B" w:rsidP="006A033B">
      <w:pPr>
        <w:keepNext/>
        <w:jc w:val="center"/>
      </w:pPr>
      <w:r>
        <w:rPr>
          <w:noProof/>
        </w:rPr>
        <w:lastRenderedPageBreak/>
        <w:drawing>
          <wp:inline distT="0" distB="0" distL="0" distR="0" wp14:anchorId="3089A247" wp14:editId="2B234F17">
            <wp:extent cx="5761990" cy="2882900"/>
            <wp:effectExtent l="0" t="0" r="0"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10"/>
                    <pic:cNvPicPr>
                      <a:picLocks noChangeAspect="1" noChangeArrowheads="1"/>
                    </pic:cNvPicPr>
                  </pic:nvPicPr>
                  <pic:blipFill>
                    <a:blip r:embed="rId16"/>
                    <a:stretch>
                      <a:fillRect/>
                    </a:stretch>
                  </pic:blipFill>
                  <pic:spPr bwMode="auto">
                    <a:xfrm>
                      <a:off x="0" y="0"/>
                      <a:ext cx="5761990" cy="2882900"/>
                    </a:xfrm>
                    <a:prstGeom prst="rect">
                      <a:avLst/>
                    </a:prstGeom>
                  </pic:spPr>
                </pic:pic>
              </a:graphicData>
            </a:graphic>
          </wp:inline>
        </w:drawing>
      </w:r>
    </w:p>
    <w:p w14:paraId="1341CD92" w14:textId="2F610CA4" w:rsidR="009C52CC" w:rsidRPr="00D556D8" w:rsidRDefault="00D556D8" w:rsidP="00D556D8">
      <w:pPr>
        <w:spacing w:before="240"/>
        <w:jc w:val="center"/>
        <w:rPr>
          <w:u w:val="single"/>
          <w:lang w:val="fr-CH"/>
        </w:rPr>
      </w:pPr>
      <w:bookmarkStart w:id="4" w:name="_GoBack"/>
      <w:bookmarkEnd w:id="4"/>
      <w:r>
        <w:rPr>
          <w:u w:val="single"/>
          <w:lang w:val="fr-CH"/>
        </w:rPr>
        <w:tab/>
      </w:r>
      <w:r>
        <w:rPr>
          <w:u w:val="single"/>
          <w:lang w:val="fr-CH"/>
        </w:rPr>
        <w:tab/>
      </w:r>
      <w:r>
        <w:rPr>
          <w:u w:val="single"/>
          <w:lang w:val="fr-CH"/>
        </w:rPr>
        <w:tab/>
      </w:r>
    </w:p>
    <w:sectPr w:rsidR="009C52CC" w:rsidRPr="00D556D8" w:rsidSect="00E03CFB">
      <w:headerReference w:type="even" r:id="rId17"/>
      <w:headerReference w:type="default" r:id="rId18"/>
      <w:footerReference w:type="even" r:id="rId19"/>
      <w:footerReference w:type="default" r:id="rId20"/>
      <w:headerReference w:type="first" r:id="rId21"/>
      <w:type w:val="continuous"/>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DE6DD" w14:textId="77777777" w:rsidR="00C64841" w:rsidRDefault="00C64841"/>
  </w:endnote>
  <w:endnote w:type="continuationSeparator" w:id="0">
    <w:p w14:paraId="337A9E80" w14:textId="77777777" w:rsidR="00C64841" w:rsidRDefault="00C64841"/>
  </w:endnote>
  <w:endnote w:type="continuationNotice" w:id="1">
    <w:p w14:paraId="079A16A8" w14:textId="77777777" w:rsidR="00C64841" w:rsidRDefault="00C648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iberation Serif;Times New Roma">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system-ui;Apple Color">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E48B" w14:textId="77777777" w:rsidR="005E5C40" w:rsidRPr="00F257D1" w:rsidRDefault="005E5C40" w:rsidP="00F257D1">
    <w:pPr>
      <w:pStyle w:val="Pieddepage"/>
      <w:jc w:val="right"/>
      <w:rPr>
        <w:rStyle w:val="Numrodepage"/>
        <w:noProof/>
        <w:sz w:val="20"/>
        <w:szCs w:val="22"/>
      </w:rPr>
    </w:pPr>
    <w:r w:rsidRPr="0059131E">
      <w:rPr>
        <w:rStyle w:val="Numrodepage"/>
        <w:noProof/>
        <w:sz w:val="20"/>
        <w:szCs w:val="22"/>
      </w:rPr>
      <w:fldChar w:fldCharType="begin"/>
    </w:r>
    <w:r w:rsidRPr="0059131E">
      <w:rPr>
        <w:rStyle w:val="Numrodepage"/>
        <w:noProof/>
        <w:sz w:val="20"/>
        <w:szCs w:val="22"/>
      </w:rPr>
      <w:instrText xml:space="preserve"> PAGE  \* MERGEFORMAT </w:instrText>
    </w:r>
    <w:r w:rsidRPr="0059131E">
      <w:rPr>
        <w:rStyle w:val="Numrodepage"/>
        <w:noProof/>
        <w:sz w:val="20"/>
        <w:szCs w:val="22"/>
      </w:rPr>
      <w:fldChar w:fldCharType="separate"/>
    </w:r>
    <w:r>
      <w:rPr>
        <w:rStyle w:val="Numrodepage"/>
        <w:noProof/>
        <w:sz w:val="20"/>
        <w:szCs w:val="22"/>
      </w:rPr>
      <w:t>2</w:t>
    </w:r>
    <w:r w:rsidRPr="0059131E">
      <w:rPr>
        <w:rStyle w:val="Numrodepage"/>
        <w:noProof/>
        <w:sz w:val="20"/>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63028" w14:textId="77777777" w:rsidR="005E5C40" w:rsidRPr="000216CC" w:rsidRDefault="005E5C40" w:rsidP="000216CC">
    <w:pPr>
      <w:pStyle w:val="Pieddepage"/>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97</w:t>
    </w:r>
    <w:r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9D99F" w14:textId="77777777" w:rsidR="00C64841" w:rsidRPr="000B175B" w:rsidRDefault="00C64841" w:rsidP="000B175B">
      <w:pPr>
        <w:tabs>
          <w:tab w:val="right" w:pos="2155"/>
        </w:tabs>
        <w:spacing w:after="80"/>
        <w:ind w:left="680"/>
        <w:rPr>
          <w:u w:val="single"/>
        </w:rPr>
      </w:pPr>
      <w:r>
        <w:rPr>
          <w:u w:val="single"/>
        </w:rPr>
        <w:tab/>
      </w:r>
    </w:p>
  </w:footnote>
  <w:footnote w:type="continuationSeparator" w:id="0">
    <w:p w14:paraId="393477BB" w14:textId="77777777" w:rsidR="00C64841" w:rsidRPr="00FC68B7" w:rsidRDefault="00C64841" w:rsidP="00FC68B7">
      <w:pPr>
        <w:tabs>
          <w:tab w:val="left" w:pos="2155"/>
        </w:tabs>
        <w:spacing w:after="80"/>
        <w:ind w:left="680"/>
        <w:rPr>
          <w:u w:val="single"/>
        </w:rPr>
      </w:pPr>
      <w:r>
        <w:rPr>
          <w:u w:val="single"/>
        </w:rPr>
        <w:tab/>
      </w:r>
    </w:p>
  </w:footnote>
  <w:footnote w:type="continuationNotice" w:id="1">
    <w:p w14:paraId="75EB34F9" w14:textId="77777777" w:rsidR="00C64841" w:rsidRDefault="00C648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F6E0B" w14:textId="25FFDFB6" w:rsidR="005E5C40" w:rsidRPr="00B5392B" w:rsidRDefault="005E5C40">
    <w:pPr>
      <w:pStyle w:val="En-tte"/>
      <w:rPr>
        <w:lang w:val="nl-NL"/>
      </w:rPr>
    </w:pPr>
    <w:r w:rsidRPr="00460B22">
      <w:rPr>
        <w:lang w:val="nl-NL"/>
      </w:rPr>
      <w:t>UN/SCE</w:t>
    </w:r>
    <w:r>
      <w:rPr>
        <w:lang w:val="nl-NL"/>
      </w:rPr>
      <w:t>TDG</w:t>
    </w:r>
    <w:r w:rsidRPr="00460B22">
      <w:rPr>
        <w:lang w:val="nl-NL"/>
      </w:rPr>
      <w:t>/</w:t>
    </w:r>
    <w:r>
      <w:rPr>
        <w:lang w:val="nl-NL"/>
      </w:rPr>
      <w:t>5</w:t>
    </w:r>
    <w:r w:rsidR="00566FF9">
      <w:rPr>
        <w:lang w:val="nl-NL"/>
      </w:rPr>
      <w:t>7</w:t>
    </w:r>
    <w:r w:rsidRPr="00460B22">
      <w:rPr>
        <w:lang w:val="nl-NL"/>
      </w:rPr>
      <w:t>/INF.</w:t>
    </w:r>
    <w:r w:rsidR="00566FF9">
      <w:rPr>
        <w:lang w:val="nl-NL"/>
      </w:rPr>
      <w:t>50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8C5C7" w14:textId="6225FE7A" w:rsidR="005E5C40" w:rsidRPr="000216CC" w:rsidRDefault="005E5C40" w:rsidP="000216CC">
    <w:pPr>
      <w:pStyle w:val="En-tte"/>
      <w:jc w:val="right"/>
    </w:pPr>
    <w:r w:rsidRPr="0059131E">
      <w:t>UN/SCETDG/5</w:t>
    </w:r>
    <w:r w:rsidR="002E3C8E">
      <w:t>7</w:t>
    </w:r>
    <w:r w:rsidRPr="0059131E">
      <w:t>/INF.5</w:t>
    </w:r>
    <w:r w:rsidR="002E3C8E">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4E66E" w14:textId="77777777" w:rsidR="00566FF9" w:rsidRDefault="00566FF9" w:rsidP="00566FF9">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BE28C0"/>
    <w:multiLevelType w:val="multilevel"/>
    <w:tmpl w:val="0DA49E40"/>
    <w:lvl w:ilvl="0">
      <w:start w:val="1"/>
      <w:numFmt w:val="bullet"/>
      <w:lvlText w:val="•"/>
      <w:lvlJc w:val="left"/>
      <w:pPr>
        <w:ind w:left="2847" w:hanging="360"/>
      </w:pPr>
      <w:rPr>
        <w:rFonts w:ascii="Times New Roman" w:hAnsi="Times New Roman" w:cs="Times New Roman" w:hint="default"/>
      </w:rPr>
    </w:lvl>
    <w:lvl w:ilvl="1">
      <w:start w:val="1"/>
      <w:numFmt w:val="bullet"/>
      <w:lvlText w:val="o"/>
      <w:lvlJc w:val="left"/>
      <w:pPr>
        <w:ind w:left="3567" w:hanging="360"/>
      </w:pPr>
      <w:rPr>
        <w:rFonts w:ascii="Courier New" w:hAnsi="Courier New" w:cs="Courier New" w:hint="default"/>
      </w:rPr>
    </w:lvl>
    <w:lvl w:ilvl="2">
      <w:start w:val="1"/>
      <w:numFmt w:val="bullet"/>
      <w:lvlText w:val=""/>
      <w:lvlJc w:val="left"/>
      <w:pPr>
        <w:ind w:left="4287" w:hanging="360"/>
      </w:pPr>
      <w:rPr>
        <w:rFonts w:ascii="Wingdings" w:hAnsi="Wingdings" w:cs="Wingdings" w:hint="default"/>
      </w:rPr>
    </w:lvl>
    <w:lvl w:ilvl="3">
      <w:start w:val="1"/>
      <w:numFmt w:val="bullet"/>
      <w:lvlText w:val=""/>
      <w:lvlJc w:val="left"/>
      <w:pPr>
        <w:ind w:left="5007" w:hanging="360"/>
      </w:pPr>
      <w:rPr>
        <w:rFonts w:ascii="Symbol" w:hAnsi="Symbol" w:cs="Symbol" w:hint="default"/>
      </w:rPr>
    </w:lvl>
    <w:lvl w:ilvl="4">
      <w:start w:val="1"/>
      <w:numFmt w:val="bullet"/>
      <w:lvlText w:val="o"/>
      <w:lvlJc w:val="left"/>
      <w:pPr>
        <w:ind w:left="5727" w:hanging="360"/>
      </w:pPr>
      <w:rPr>
        <w:rFonts w:ascii="Courier New" w:hAnsi="Courier New" w:cs="Courier New" w:hint="default"/>
      </w:rPr>
    </w:lvl>
    <w:lvl w:ilvl="5">
      <w:start w:val="1"/>
      <w:numFmt w:val="bullet"/>
      <w:lvlText w:val=""/>
      <w:lvlJc w:val="left"/>
      <w:pPr>
        <w:ind w:left="6447" w:hanging="360"/>
      </w:pPr>
      <w:rPr>
        <w:rFonts w:ascii="Wingdings" w:hAnsi="Wingdings" w:cs="Wingdings" w:hint="default"/>
      </w:rPr>
    </w:lvl>
    <w:lvl w:ilvl="6">
      <w:start w:val="1"/>
      <w:numFmt w:val="bullet"/>
      <w:lvlText w:val=""/>
      <w:lvlJc w:val="left"/>
      <w:pPr>
        <w:ind w:left="7167" w:hanging="360"/>
      </w:pPr>
      <w:rPr>
        <w:rFonts w:ascii="Symbol" w:hAnsi="Symbol" w:cs="Symbol" w:hint="default"/>
      </w:rPr>
    </w:lvl>
    <w:lvl w:ilvl="7">
      <w:start w:val="1"/>
      <w:numFmt w:val="bullet"/>
      <w:lvlText w:val="o"/>
      <w:lvlJc w:val="left"/>
      <w:pPr>
        <w:ind w:left="7887" w:hanging="360"/>
      </w:pPr>
      <w:rPr>
        <w:rFonts w:ascii="Courier New" w:hAnsi="Courier New" w:cs="Courier New" w:hint="default"/>
      </w:rPr>
    </w:lvl>
    <w:lvl w:ilvl="8">
      <w:start w:val="1"/>
      <w:numFmt w:val="bullet"/>
      <w:lvlText w:val=""/>
      <w:lvlJc w:val="left"/>
      <w:pPr>
        <w:ind w:left="8607" w:hanging="360"/>
      </w:pPr>
      <w:rPr>
        <w:rFonts w:ascii="Wingdings" w:hAnsi="Wingdings" w:cs="Wingdings" w:hint="default"/>
      </w:rPr>
    </w:lvl>
  </w:abstractNum>
  <w:abstractNum w:abstractNumId="13" w15:restartNumberingAfterBreak="0">
    <w:nsid w:val="5531056F"/>
    <w:multiLevelType w:val="hybridMultilevel"/>
    <w:tmpl w:val="BC385B34"/>
    <w:lvl w:ilvl="0" w:tplc="FA2E5D2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14603"/>
    <w:multiLevelType w:val="hybridMultilevel"/>
    <w:tmpl w:val="69A0AE52"/>
    <w:lvl w:ilvl="0" w:tplc="A4EEA9E6">
      <w:start w:val="1"/>
      <w:numFmt w:val="decimal"/>
      <w:lvlText w:val="%1."/>
      <w:lvlJc w:val="left"/>
      <w:pPr>
        <w:ind w:left="1710" w:hanging="576"/>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1"/>
  </w:num>
  <w:num w:numId="13">
    <w:abstractNumId w:val="10"/>
  </w:num>
  <w:num w:numId="14">
    <w:abstractNumId w:val="15"/>
  </w:num>
  <w:num w:numId="15">
    <w:abstractNumId w:val="17"/>
  </w:num>
  <w:num w:numId="16">
    <w:abstractNumId w:val="16"/>
  </w:num>
  <w:num w:numId="17">
    <w:abstractNumId w:val="13"/>
  </w:num>
  <w:num w:numId="1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19B8"/>
    <w:rsid w:val="00006FAE"/>
    <w:rsid w:val="00012EB6"/>
    <w:rsid w:val="000133C5"/>
    <w:rsid w:val="00017D24"/>
    <w:rsid w:val="000216CC"/>
    <w:rsid w:val="0003375D"/>
    <w:rsid w:val="00043180"/>
    <w:rsid w:val="00045655"/>
    <w:rsid w:val="00045E3B"/>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5CAB"/>
    <w:rsid w:val="00087152"/>
    <w:rsid w:val="00091046"/>
    <w:rsid w:val="00091419"/>
    <w:rsid w:val="00091CB3"/>
    <w:rsid w:val="0009305D"/>
    <w:rsid w:val="000931C0"/>
    <w:rsid w:val="000A2236"/>
    <w:rsid w:val="000A35F2"/>
    <w:rsid w:val="000A3A48"/>
    <w:rsid w:val="000A4C38"/>
    <w:rsid w:val="000B175B"/>
    <w:rsid w:val="000B3A0F"/>
    <w:rsid w:val="000B4919"/>
    <w:rsid w:val="000B6AD1"/>
    <w:rsid w:val="000B7AF2"/>
    <w:rsid w:val="000C1ED8"/>
    <w:rsid w:val="000C5D4B"/>
    <w:rsid w:val="000C717F"/>
    <w:rsid w:val="000D0B8F"/>
    <w:rsid w:val="000D481F"/>
    <w:rsid w:val="000D6D97"/>
    <w:rsid w:val="000D7830"/>
    <w:rsid w:val="000E0415"/>
    <w:rsid w:val="000F0347"/>
    <w:rsid w:val="000F52D6"/>
    <w:rsid w:val="000F6A20"/>
    <w:rsid w:val="0010461A"/>
    <w:rsid w:val="00115303"/>
    <w:rsid w:val="00117787"/>
    <w:rsid w:val="00117D0D"/>
    <w:rsid w:val="00121EB7"/>
    <w:rsid w:val="0012326F"/>
    <w:rsid w:val="00130A1F"/>
    <w:rsid w:val="00131B10"/>
    <w:rsid w:val="00131D42"/>
    <w:rsid w:val="00133C50"/>
    <w:rsid w:val="00136550"/>
    <w:rsid w:val="00140684"/>
    <w:rsid w:val="001406F4"/>
    <w:rsid w:val="00140F48"/>
    <w:rsid w:val="001633FB"/>
    <w:rsid w:val="00163A1B"/>
    <w:rsid w:val="00165735"/>
    <w:rsid w:val="00167786"/>
    <w:rsid w:val="001728EF"/>
    <w:rsid w:val="00180633"/>
    <w:rsid w:val="00181019"/>
    <w:rsid w:val="0018168F"/>
    <w:rsid w:val="001835BF"/>
    <w:rsid w:val="00184B86"/>
    <w:rsid w:val="00195229"/>
    <w:rsid w:val="001A02A4"/>
    <w:rsid w:val="001A650A"/>
    <w:rsid w:val="001A7113"/>
    <w:rsid w:val="001B35EE"/>
    <w:rsid w:val="001B4B04"/>
    <w:rsid w:val="001B6B72"/>
    <w:rsid w:val="001C429D"/>
    <w:rsid w:val="001C6663"/>
    <w:rsid w:val="001C7895"/>
    <w:rsid w:val="001D26DF"/>
    <w:rsid w:val="001D2B6E"/>
    <w:rsid w:val="001D2FDC"/>
    <w:rsid w:val="001D3123"/>
    <w:rsid w:val="001D3A88"/>
    <w:rsid w:val="001D49F7"/>
    <w:rsid w:val="001D4B2D"/>
    <w:rsid w:val="001D4D44"/>
    <w:rsid w:val="001D4E70"/>
    <w:rsid w:val="001E3621"/>
    <w:rsid w:val="001E797C"/>
    <w:rsid w:val="002062DE"/>
    <w:rsid w:val="00211A08"/>
    <w:rsid w:val="00211B12"/>
    <w:rsid w:val="00211E0B"/>
    <w:rsid w:val="0021481D"/>
    <w:rsid w:val="002168DF"/>
    <w:rsid w:val="00217E27"/>
    <w:rsid w:val="00221589"/>
    <w:rsid w:val="00221AC2"/>
    <w:rsid w:val="00224CD9"/>
    <w:rsid w:val="002309A7"/>
    <w:rsid w:val="00235381"/>
    <w:rsid w:val="00237785"/>
    <w:rsid w:val="00241178"/>
    <w:rsid w:val="00241466"/>
    <w:rsid w:val="002440E7"/>
    <w:rsid w:val="00247570"/>
    <w:rsid w:val="00257C1E"/>
    <w:rsid w:val="00261B71"/>
    <w:rsid w:val="002621F5"/>
    <w:rsid w:val="002622A9"/>
    <w:rsid w:val="002708B5"/>
    <w:rsid w:val="002725CA"/>
    <w:rsid w:val="00273A92"/>
    <w:rsid w:val="00277896"/>
    <w:rsid w:val="00280EB7"/>
    <w:rsid w:val="00281CF8"/>
    <w:rsid w:val="002922DC"/>
    <w:rsid w:val="00295C28"/>
    <w:rsid w:val="002976CF"/>
    <w:rsid w:val="002A0BD2"/>
    <w:rsid w:val="002A2974"/>
    <w:rsid w:val="002A5B17"/>
    <w:rsid w:val="002B067A"/>
    <w:rsid w:val="002B1514"/>
    <w:rsid w:val="002B1CDA"/>
    <w:rsid w:val="002C7F25"/>
    <w:rsid w:val="002D5A85"/>
    <w:rsid w:val="002D5C7D"/>
    <w:rsid w:val="002E35BB"/>
    <w:rsid w:val="002E3C8E"/>
    <w:rsid w:val="002F68FD"/>
    <w:rsid w:val="003107FA"/>
    <w:rsid w:val="00313AC2"/>
    <w:rsid w:val="00315D73"/>
    <w:rsid w:val="00316FF9"/>
    <w:rsid w:val="00321716"/>
    <w:rsid w:val="003229D8"/>
    <w:rsid w:val="003244D9"/>
    <w:rsid w:val="00327D0A"/>
    <w:rsid w:val="003517C3"/>
    <w:rsid w:val="00355502"/>
    <w:rsid w:val="00356BC7"/>
    <w:rsid w:val="00357A20"/>
    <w:rsid w:val="003611DB"/>
    <w:rsid w:val="00372F06"/>
    <w:rsid w:val="00377175"/>
    <w:rsid w:val="00377CED"/>
    <w:rsid w:val="00390360"/>
    <w:rsid w:val="0039147D"/>
    <w:rsid w:val="00391647"/>
    <w:rsid w:val="00391950"/>
    <w:rsid w:val="0039260F"/>
    <w:rsid w:val="0039277A"/>
    <w:rsid w:val="00393B99"/>
    <w:rsid w:val="00396F6A"/>
    <w:rsid w:val="003972E0"/>
    <w:rsid w:val="003A1EC2"/>
    <w:rsid w:val="003A52D7"/>
    <w:rsid w:val="003A5A16"/>
    <w:rsid w:val="003C0657"/>
    <w:rsid w:val="003C18C9"/>
    <w:rsid w:val="003C2CC4"/>
    <w:rsid w:val="003C655D"/>
    <w:rsid w:val="003D3BC3"/>
    <w:rsid w:val="003D4B23"/>
    <w:rsid w:val="003E4122"/>
    <w:rsid w:val="003F23A4"/>
    <w:rsid w:val="003F54D8"/>
    <w:rsid w:val="003F5B52"/>
    <w:rsid w:val="00400408"/>
    <w:rsid w:val="00403EC6"/>
    <w:rsid w:val="00406CD4"/>
    <w:rsid w:val="00414776"/>
    <w:rsid w:val="00430086"/>
    <w:rsid w:val="00430918"/>
    <w:rsid w:val="004317D1"/>
    <w:rsid w:val="004325CB"/>
    <w:rsid w:val="00437F3F"/>
    <w:rsid w:val="00446DE4"/>
    <w:rsid w:val="004526E8"/>
    <w:rsid w:val="00452D10"/>
    <w:rsid w:val="00454036"/>
    <w:rsid w:val="004562AA"/>
    <w:rsid w:val="0046065B"/>
    <w:rsid w:val="00460B22"/>
    <w:rsid w:val="0046443A"/>
    <w:rsid w:val="004653B3"/>
    <w:rsid w:val="004654C4"/>
    <w:rsid w:val="0046668F"/>
    <w:rsid w:val="0046773D"/>
    <w:rsid w:val="0046788D"/>
    <w:rsid w:val="0048304D"/>
    <w:rsid w:val="00484916"/>
    <w:rsid w:val="00484A9B"/>
    <w:rsid w:val="0049211A"/>
    <w:rsid w:val="00492AF9"/>
    <w:rsid w:val="00494C77"/>
    <w:rsid w:val="00497291"/>
    <w:rsid w:val="00497711"/>
    <w:rsid w:val="004A64D7"/>
    <w:rsid w:val="004B25F8"/>
    <w:rsid w:val="004B2C9D"/>
    <w:rsid w:val="004B5939"/>
    <w:rsid w:val="004B73D6"/>
    <w:rsid w:val="004C39D0"/>
    <w:rsid w:val="004C4F1A"/>
    <w:rsid w:val="004C6D6D"/>
    <w:rsid w:val="004E0C5D"/>
    <w:rsid w:val="004F4240"/>
    <w:rsid w:val="004F6DF4"/>
    <w:rsid w:val="004F77CD"/>
    <w:rsid w:val="0050463E"/>
    <w:rsid w:val="00507CF1"/>
    <w:rsid w:val="00515074"/>
    <w:rsid w:val="00522177"/>
    <w:rsid w:val="0052456E"/>
    <w:rsid w:val="00526AFD"/>
    <w:rsid w:val="00527910"/>
    <w:rsid w:val="005420F2"/>
    <w:rsid w:val="00542505"/>
    <w:rsid w:val="005475D4"/>
    <w:rsid w:val="00555CDB"/>
    <w:rsid w:val="00560BE9"/>
    <w:rsid w:val="00561B6D"/>
    <w:rsid w:val="00562D45"/>
    <w:rsid w:val="0056615B"/>
    <w:rsid w:val="00566FF9"/>
    <w:rsid w:val="00567DFB"/>
    <w:rsid w:val="00571DAA"/>
    <w:rsid w:val="0058129D"/>
    <w:rsid w:val="00590144"/>
    <w:rsid w:val="0059131E"/>
    <w:rsid w:val="0059682C"/>
    <w:rsid w:val="005A3F48"/>
    <w:rsid w:val="005A64DD"/>
    <w:rsid w:val="005B09F0"/>
    <w:rsid w:val="005B0CED"/>
    <w:rsid w:val="005B3DB3"/>
    <w:rsid w:val="005B528A"/>
    <w:rsid w:val="005B6088"/>
    <w:rsid w:val="005C3490"/>
    <w:rsid w:val="005C4CB5"/>
    <w:rsid w:val="005D0C6C"/>
    <w:rsid w:val="005D1BB4"/>
    <w:rsid w:val="005E010D"/>
    <w:rsid w:val="005E3563"/>
    <w:rsid w:val="005E37A1"/>
    <w:rsid w:val="005E3AAD"/>
    <w:rsid w:val="005E5946"/>
    <w:rsid w:val="005E5C40"/>
    <w:rsid w:val="005F3A39"/>
    <w:rsid w:val="005F5C2F"/>
    <w:rsid w:val="005F7BB1"/>
    <w:rsid w:val="00602490"/>
    <w:rsid w:val="00603E3C"/>
    <w:rsid w:val="0060673A"/>
    <w:rsid w:val="00611FC4"/>
    <w:rsid w:val="00612812"/>
    <w:rsid w:val="00613A96"/>
    <w:rsid w:val="006176FB"/>
    <w:rsid w:val="006216A1"/>
    <w:rsid w:val="006220DA"/>
    <w:rsid w:val="00626B06"/>
    <w:rsid w:val="006279AC"/>
    <w:rsid w:val="006322F4"/>
    <w:rsid w:val="0063419C"/>
    <w:rsid w:val="00635381"/>
    <w:rsid w:val="00636986"/>
    <w:rsid w:val="00637542"/>
    <w:rsid w:val="00640B26"/>
    <w:rsid w:val="00641194"/>
    <w:rsid w:val="00645A0B"/>
    <w:rsid w:val="006500BA"/>
    <w:rsid w:val="006506DB"/>
    <w:rsid w:val="00660CE1"/>
    <w:rsid w:val="00662121"/>
    <w:rsid w:val="00662E09"/>
    <w:rsid w:val="00670CF0"/>
    <w:rsid w:val="00675F87"/>
    <w:rsid w:val="00690CD6"/>
    <w:rsid w:val="006A033B"/>
    <w:rsid w:val="006A3932"/>
    <w:rsid w:val="006A53DC"/>
    <w:rsid w:val="006A5D7B"/>
    <w:rsid w:val="006A63E3"/>
    <w:rsid w:val="006A7392"/>
    <w:rsid w:val="006B1148"/>
    <w:rsid w:val="006B1C55"/>
    <w:rsid w:val="006C0D34"/>
    <w:rsid w:val="006C251B"/>
    <w:rsid w:val="006C2F7E"/>
    <w:rsid w:val="006D3560"/>
    <w:rsid w:val="006E3B65"/>
    <w:rsid w:val="006E564B"/>
    <w:rsid w:val="006E6974"/>
    <w:rsid w:val="007025C0"/>
    <w:rsid w:val="00707F04"/>
    <w:rsid w:val="00711637"/>
    <w:rsid w:val="00714F4F"/>
    <w:rsid w:val="0072632A"/>
    <w:rsid w:val="00731E73"/>
    <w:rsid w:val="00734F20"/>
    <w:rsid w:val="00736E6A"/>
    <w:rsid w:val="00741F59"/>
    <w:rsid w:val="0074697D"/>
    <w:rsid w:val="00751DDC"/>
    <w:rsid w:val="00755EBE"/>
    <w:rsid w:val="00761619"/>
    <w:rsid w:val="0076177C"/>
    <w:rsid w:val="00763C33"/>
    <w:rsid w:val="00766322"/>
    <w:rsid w:val="00770BCD"/>
    <w:rsid w:val="00771904"/>
    <w:rsid w:val="00773353"/>
    <w:rsid w:val="00774129"/>
    <w:rsid w:val="0077467D"/>
    <w:rsid w:val="00774E8F"/>
    <w:rsid w:val="00774EAA"/>
    <w:rsid w:val="0078123B"/>
    <w:rsid w:val="00781B57"/>
    <w:rsid w:val="00786434"/>
    <w:rsid w:val="00790791"/>
    <w:rsid w:val="0079545A"/>
    <w:rsid w:val="00796F36"/>
    <w:rsid w:val="007A2CDB"/>
    <w:rsid w:val="007A334C"/>
    <w:rsid w:val="007A62EC"/>
    <w:rsid w:val="007B1A7E"/>
    <w:rsid w:val="007B2BA8"/>
    <w:rsid w:val="007B6BA5"/>
    <w:rsid w:val="007C0290"/>
    <w:rsid w:val="007C2C0D"/>
    <w:rsid w:val="007C3162"/>
    <w:rsid w:val="007C3390"/>
    <w:rsid w:val="007C4F4B"/>
    <w:rsid w:val="007C644D"/>
    <w:rsid w:val="007D1CBC"/>
    <w:rsid w:val="007D2AC1"/>
    <w:rsid w:val="007D384C"/>
    <w:rsid w:val="007D7BC6"/>
    <w:rsid w:val="007E4BD3"/>
    <w:rsid w:val="007E5D7C"/>
    <w:rsid w:val="007F2A54"/>
    <w:rsid w:val="007F5104"/>
    <w:rsid w:val="007F6611"/>
    <w:rsid w:val="00800024"/>
    <w:rsid w:val="008037A2"/>
    <w:rsid w:val="00816582"/>
    <w:rsid w:val="008175E9"/>
    <w:rsid w:val="00820A2D"/>
    <w:rsid w:val="008242D7"/>
    <w:rsid w:val="00826C09"/>
    <w:rsid w:val="0083043E"/>
    <w:rsid w:val="0083069A"/>
    <w:rsid w:val="00832A1D"/>
    <w:rsid w:val="00834479"/>
    <w:rsid w:val="00843AB2"/>
    <w:rsid w:val="00846809"/>
    <w:rsid w:val="008476FA"/>
    <w:rsid w:val="00857789"/>
    <w:rsid w:val="0086107D"/>
    <w:rsid w:val="00864251"/>
    <w:rsid w:val="00871FD5"/>
    <w:rsid w:val="00881213"/>
    <w:rsid w:val="008830CC"/>
    <w:rsid w:val="008908B7"/>
    <w:rsid w:val="008979B1"/>
    <w:rsid w:val="008A0B75"/>
    <w:rsid w:val="008A1542"/>
    <w:rsid w:val="008A6B25"/>
    <w:rsid w:val="008A6C4F"/>
    <w:rsid w:val="008A72CF"/>
    <w:rsid w:val="008A7679"/>
    <w:rsid w:val="008A7AB3"/>
    <w:rsid w:val="008A7E0F"/>
    <w:rsid w:val="008B4CE1"/>
    <w:rsid w:val="008B57F6"/>
    <w:rsid w:val="008B65FB"/>
    <w:rsid w:val="008C3B3C"/>
    <w:rsid w:val="008C4283"/>
    <w:rsid w:val="008C74C3"/>
    <w:rsid w:val="008C7BF7"/>
    <w:rsid w:val="008D134F"/>
    <w:rsid w:val="008D3C75"/>
    <w:rsid w:val="008D6942"/>
    <w:rsid w:val="008D69E9"/>
    <w:rsid w:val="008E0E46"/>
    <w:rsid w:val="008E1DAE"/>
    <w:rsid w:val="008E295A"/>
    <w:rsid w:val="008F2D9A"/>
    <w:rsid w:val="008F44B8"/>
    <w:rsid w:val="008F504A"/>
    <w:rsid w:val="0090092A"/>
    <w:rsid w:val="009017A5"/>
    <w:rsid w:val="009045EE"/>
    <w:rsid w:val="00904EBC"/>
    <w:rsid w:val="00905B30"/>
    <w:rsid w:val="00906C3D"/>
    <w:rsid w:val="00907A7F"/>
    <w:rsid w:val="00913894"/>
    <w:rsid w:val="00923019"/>
    <w:rsid w:val="00924B63"/>
    <w:rsid w:val="009363B6"/>
    <w:rsid w:val="00940F46"/>
    <w:rsid w:val="00941ECC"/>
    <w:rsid w:val="00945A5D"/>
    <w:rsid w:val="00946A0D"/>
    <w:rsid w:val="00955109"/>
    <w:rsid w:val="00956AD7"/>
    <w:rsid w:val="00960E26"/>
    <w:rsid w:val="00963B67"/>
    <w:rsid w:val="00963CBA"/>
    <w:rsid w:val="00964682"/>
    <w:rsid w:val="00965CBC"/>
    <w:rsid w:val="009701ED"/>
    <w:rsid w:val="00972A01"/>
    <w:rsid w:val="00984471"/>
    <w:rsid w:val="00985F37"/>
    <w:rsid w:val="009879EA"/>
    <w:rsid w:val="009908A5"/>
    <w:rsid w:val="0099124E"/>
    <w:rsid w:val="00991261"/>
    <w:rsid w:val="00991CC2"/>
    <w:rsid w:val="009953D5"/>
    <w:rsid w:val="009A1D29"/>
    <w:rsid w:val="009C52CC"/>
    <w:rsid w:val="009C6394"/>
    <w:rsid w:val="009C730D"/>
    <w:rsid w:val="009D0E2A"/>
    <w:rsid w:val="009D0F0E"/>
    <w:rsid w:val="009D1AAE"/>
    <w:rsid w:val="009D634E"/>
    <w:rsid w:val="009E1560"/>
    <w:rsid w:val="009F0F06"/>
    <w:rsid w:val="009F1220"/>
    <w:rsid w:val="009F4FC5"/>
    <w:rsid w:val="00A0152E"/>
    <w:rsid w:val="00A12B58"/>
    <w:rsid w:val="00A1427D"/>
    <w:rsid w:val="00A235F1"/>
    <w:rsid w:val="00A23F62"/>
    <w:rsid w:val="00A34B00"/>
    <w:rsid w:val="00A3777A"/>
    <w:rsid w:val="00A50077"/>
    <w:rsid w:val="00A54CA8"/>
    <w:rsid w:val="00A60196"/>
    <w:rsid w:val="00A6199C"/>
    <w:rsid w:val="00A622AF"/>
    <w:rsid w:val="00A65F4A"/>
    <w:rsid w:val="00A66636"/>
    <w:rsid w:val="00A72F22"/>
    <w:rsid w:val="00A744D7"/>
    <w:rsid w:val="00A748A6"/>
    <w:rsid w:val="00A74A46"/>
    <w:rsid w:val="00A75EC9"/>
    <w:rsid w:val="00A810D4"/>
    <w:rsid w:val="00A83451"/>
    <w:rsid w:val="00A83538"/>
    <w:rsid w:val="00A8523D"/>
    <w:rsid w:val="00A864F0"/>
    <w:rsid w:val="00A879A4"/>
    <w:rsid w:val="00AA1D9A"/>
    <w:rsid w:val="00AA32EB"/>
    <w:rsid w:val="00AB1DA6"/>
    <w:rsid w:val="00AB2A97"/>
    <w:rsid w:val="00AB382F"/>
    <w:rsid w:val="00AB4CF1"/>
    <w:rsid w:val="00AD1151"/>
    <w:rsid w:val="00AD34EE"/>
    <w:rsid w:val="00AD7C88"/>
    <w:rsid w:val="00AE45DE"/>
    <w:rsid w:val="00AF0878"/>
    <w:rsid w:val="00AF2F9D"/>
    <w:rsid w:val="00AF6710"/>
    <w:rsid w:val="00B013E6"/>
    <w:rsid w:val="00B04D66"/>
    <w:rsid w:val="00B10C19"/>
    <w:rsid w:val="00B1157C"/>
    <w:rsid w:val="00B1501F"/>
    <w:rsid w:val="00B22971"/>
    <w:rsid w:val="00B26710"/>
    <w:rsid w:val="00B26B3C"/>
    <w:rsid w:val="00B30179"/>
    <w:rsid w:val="00B304E1"/>
    <w:rsid w:val="00B30D49"/>
    <w:rsid w:val="00B3317B"/>
    <w:rsid w:val="00B41384"/>
    <w:rsid w:val="00B4398E"/>
    <w:rsid w:val="00B5392B"/>
    <w:rsid w:val="00B666B2"/>
    <w:rsid w:val="00B677C2"/>
    <w:rsid w:val="00B71E2B"/>
    <w:rsid w:val="00B73C08"/>
    <w:rsid w:val="00B73DA8"/>
    <w:rsid w:val="00B74F7C"/>
    <w:rsid w:val="00B75E05"/>
    <w:rsid w:val="00B81E12"/>
    <w:rsid w:val="00B84AAC"/>
    <w:rsid w:val="00B90F54"/>
    <w:rsid w:val="00B91CC3"/>
    <w:rsid w:val="00B92A0C"/>
    <w:rsid w:val="00B93068"/>
    <w:rsid w:val="00B9531A"/>
    <w:rsid w:val="00BA34EF"/>
    <w:rsid w:val="00BB176D"/>
    <w:rsid w:val="00BB3B28"/>
    <w:rsid w:val="00BC74E9"/>
    <w:rsid w:val="00BD2077"/>
    <w:rsid w:val="00BE1FF8"/>
    <w:rsid w:val="00BE382C"/>
    <w:rsid w:val="00BE50CA"/>
    <w:rsid w:val="00BE618E"/>
    <w:rsid w:val="00C0263F"/>
    <w:rsid w:val="00C03B44"/>
    <w:rsid w:val="00C05987"/>
    <w:rsid w:val="00C13A85"/>
    <w:rsid w:val="00C17563"/>
    <w:rsid w:val="00C218A4"/>
    <w:rsid w:val="00C27244"/>
    <w:rsid w:val="00C31519"/>
    <w:rsid w:val="00C36D37"/>
    <w:rsid w:val="00C463DD"/>
    <w:rsid w:val="00C46D5B"/>
    <w:rsid w:val="00C527BF"/>
    <w:rsid w:val="00C537D5"/>
    <w:rsid w:val="00C62933"/>
    <w:rsid w:val="00C62F76"/>
    <w:rsid w:val="00C64841"/>
    <w:rsid w:val="00C66D78"/>
    <w:rsid w:val="00C737DA"/>
    <w:rsid w:val="00C745C3"/>
    <w:rsid w:val="00C81212"/>
    <w:rsid w:val="00C84FF1"/>
    <w:rsid w:val="00C91180"/>
    <w:rsid w:val="00C93C11"/>
    <w:rsid w:val="00C971F6"/>
    <w:rsid w:val="00CA049C"/>
    <w:rsid w:val="00CA381C"/>
    <w:rsid w:val="00CA74D3"/>
    <w:rsid w:val="00CB2158"/>
    <w:rsid w:val="00CB3CEA"/>
    <w:rsid w:val="00CB6380"/>
    <w:rsid w:val="00CC4CA6"/>
    <w:rsid w:val="00CD0009"/>
    <w:rsid w:val="00CD08E8"/>
    <w:rsid w:val="00CD2CE2"/>
    <w:rsid w:val="00CD30EE"/>
    <w:rsid w:val="00CD3225"/>
    <w:rsid w:val="00CD35E8"/>
    <w:rsid w:val="00CE1E1B"/>
    <w:rsid w:val="00CE4083"/>
    <w:rsid w:val="00CE46BA"/>
    <w:rsid w:val="00CE4A8F"/>
    <w:rsid w:val="00CE74ED"/>
    <w:rsid w:val="00CF4FE1"/>
    <w:rsid w:val="00CF6F32"/>
    <w:rsid w:val="00CF778D"/>
    <w:rsid w:val="00D0631B"/>
    <w:rsid w:val="00D06C3A"/>
    <w:rsid w:val="00D164BA"/>
    <w:rsid w:val="00D2031B"/>
    <w:rsid w:val="00D25E8C"/>
    <w:rsid w:val="00D25FE2"/>
    <w:rsid w:val="00D27E89"/>
    <w:rsid w:val="00D37E80"/>
    <w:rsid w:val="00D43252"/>
    <w:rsid w:val="00D46231"/>
    <w:rsid w:val="00D477C4"/>
    <w:rsid w:val="00D50DF8"/>
    <w:rsid w:val="00D5409C"/>
    <w:rsid w:val="00D556D8"/>
    <w:rsid w:val="00D57C13"/>
    <w:rsid w:val="00D57FD9"/>
    <w:rsid w:val="00D610C1"/>
    <w:rsid w:val="00D658FA"/>
    <w:rsid w:val="00D730E3"/>
    <w:rsid w:val="00D73803"/>
    <w:rsid w:val="00D753D8"/>
    <w:rsid w:val="00D9274F"/>
    <w:rsid w:val="00D96248"/>
    <w:rsid w:val="00D96CC5"/>
    <w:rsid w:val="00D978C6"/>
    <w:rsid w:val="00D97B77"/>
    <w:rsid w:val="00DA5949"/>
    <w:rsid w:val="00DA6620"/>
    <w:rsid w:val="00DA67AD"/>
    <w:rsid w:val="00DC3121"/>
    <w:rsid w:val="00DC7265"/>
    <w:rsid w:val="00DD42A0"/>
    <w:rsid w:val="00DE236F"/>
    <w:rsid w:val="00DE3ECB"/>
    <w:rsid w:val="00DE4785"/>
    <w:rsid w:val="00DE7267"/>
    <w:rsid w:val="00DF0A4D"/>
    <w:rsid w:val="00DF3039"/>
    <w:rsid w:val="00DF3A04"/>
    <w:rsid w:val="00DF4518"/>
    <w:rsid w:val="00DF69A6"/>
    <w:rsid w:val="00E03CFB"/>
    <w:rsid w:val="00E130AB"/>
    <w:rsid w:val="00E1679E"/>
    <w:rsid w:val="00E239A0"/>
    <w:rsid w:val="00E275F7"/>
    <w:rsid w:val="00E3141C"/>
    <w:rsid w:val="00E34E58"/>
    <w:rsid w:val="00E36838"/>
    <w:rsid w:val="00E36C10"/>
    <w:rsid w:val="00E40B76"/>
    <w:rsid w:val="00E40D7C"/>
    <w:rsid w:val="00E42461"/>
    <w:rsid w:val="00E4443D"/>
    <w:rsid w:val="00E52EB0"/>
    <w:rsid w:val="00E54352"/>
    <w:rsid w:val="00E5644E"/>
    <w:rsid w:val="00E5691C"/>
    <w:rsid w:val="00E56B35"/>
    <w:rsid w:val="00E60903"/>
    <w:rsid w:val="00E631BA"/>
    <w:rsid w:val="00E63481"/>
    <w:rsid w:val="00E63DE8"/>
    <w:rsid w:val="00E6613A"/>
    <w:rsid w:val="00E7260F"/>
    <w:rsid w:val="00E730D8"/>
    <w:rsid w:val="00E74873"/>
    <w:rsid w:val="00E81230"/>
    <w:rsid w:val="00E82791"/>
    <w:rsid w:val="00E8535A"/>
    <w:rsid w:val="00E864BE"/>
    <w:rsid w:val="00E90647"/>
    <w:rsid w:val="00E94F06"/>
    <w:rsid w:val="00E96630"/>
    <w:rsid w:val="00EA0364"/>
    <w:rsid w:val="00EA48C4"/>
    <w:rsid w:val="00EA772F"/>
    <w:rsid w:val="00EB2AE3"/>
    <w:rsid w:val="00EB4C06"/>
    <w:rsid w:val="00EB51D5"/>
    <w:rsid w:val="00EB65EF"/>
    <w:rsid w:val="00EB6832"/>
    <w:rsid w:val="00EB71BA"/>
    <w:rsid w:val="00EB798F"/>
    <w:rsid w:val="00EC14E9"/>
    <w:rsid w:val="00EC1F27"/>
    <w:rsid w:val="00EC271A"/>
    <w:rsid w:val="00EC6BFD"/>
    <w:rsid w:val="00EC755A"/>
    <w:rsid w:val="00ED3508"/>
    <w:rsid w:val="00ED3F6F"/>
    <w:rsid w:val="00ED769C"/>
    <w:rsid w:val="00ED7A2A"/>
    <w:rsid w:val="00EE4D59"/>
    <w:rsid w:val="00EE73C3"/>
    <w:rsid w:val="00EF1D7F"/>
    <w:rsid w:val="00EF319D"/>
    <w:rsid w:val="00EF4AAC"/>
    <w:rsid w:val="00F01C57"/>
    <w:rsid w:val="00F03FA2"/>
    <w:rsid w:val="00F05283"/>
    <w:rsid w:val="00F07537"/>
    <w:rsid w:val="00F07E12"/>
    <w:rsid w:val="00F1200D"/>
    <w:rsid w:val="00F21A22"/>
    <w:rsid w:val="00F257D1"/>
    <w:rsid w:val="00F30A8A"/>
    <w:rsid w:val="00F31260"/>
    <w:rsid w:val="00F34267"/>
    <w:rsid w:val="00F352E7"/>
    <w:rsid w:val="00F3574D"/>
    <w:rsid w:val="00F35BA4"/>
    <w:rsid w:val="00F40295"/>
    <w:rsid w:val="00F40E75"/>
    <w:rsid w:val="00F412D3"/>
    <w:rsid w:val="00F41B1D"/>
    <w:rsid w:val="00F444E3"/>
    <w:rsid w:val="00F5087E"/>
    <w:rsid w:val="00F51BAB"/>
    <w:rsid w:val="00F535BE"/>
    <w:rsid w:val="00F54674"/>
    <w:rsid w:val="00F636E6"/>
    <w:rsid w:val="00F645BA"/>
    <w:rsid w:val="00F64C95"/>
    <w:rsid w:val="00F75E96"/>
    <w:rsid w:val="00F8518D"/>
    <w:rsid w:val="00F9016C"/>
    <w:rsid w:val="00FA00A0"/>
    <w:rsid w:val="00FA032F"/>
    <w:rsid w:val="00FA3FB7"/>
    <w:rsid w:val="00FB1A7C"/>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A9BAB"/>
  <w15:docId w15:val="{003AA85F-5C3C-4185-A8C3-F213E366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rPr>
      <w:lang w:val="en-GB"/>
    </w:rPr>
  </w:style>
  <w:style w:type="paragraph" w:styleId="Titre1">
    <w:name w:val="heading 1"/>
    <w:aliases w:val="Table_G"/>
    <w:basedOn w:val="SingleTxtG"/>
    <w:next w:val="SingleTxtG"/>
    <w:qFormat/>
    <w:rsid w:val="00A8523D"/>
    <w:pPr>
      <w:spacing w:after="0" w:line="240" w:lineRule="auto"/>
      <w:ind w:right="0"/>
      <w:jc w:val="left"/>
      <w:outlineLvl w:val="0"/>
    </w:pPr>
  </w:style>
  <w:style w:type="paragraph" w:styleId="Titre2">
    <w:name w:val="heading 2"/>
    <w:basedOn w:val="Normal"/>
    <w:next w:val="Normal"/>
    <w:qFormat/>
    <w:rsid w:val="00A8523D"/>
    <w:pPr>
      <w:spacing w:line="240" w:lineRule="auto"/>
      <w:outlineLvl w:val="1"/>
    </w:pPr>
  </w:style>
  <w:style w:type="paragraph" w:styleId="Titre3">
    <w:name w:val="heading 3"/>
    <w:basedOn w:val="Normal"/>
    <w:next w:val="Normal"/>
    <w:link w:val="Titre3Car"/>
    <w:qFormat/>
    <w:rsid w:val="00A8523D"/>
    <w:pPr>
      <w:spacing w:line="240" w:lineRule="auto"/>
      <w:outlineLvl w:val="2"/>
    </w:pPr>
  </w:style>
  <w:style w:type="paragraph" w:styleId="Titre4">
    <w:name w:val="heading 4"/>
    <w:basedOn w:val="Normal"/>
    <w:next w:val="Normal"/>
    <w:qFormat/>
    <w:rsid w:val="00A8523D"/>
    <w:pPr>
      <w:spacing w:line="240" w:lineRule="auto"/>
      <w:outlineLvl w:val="3"/>
    </w:pPr>
  </w:style>
  <w:style w:type="paragraph" w:styleId="Titre5">
    <w:name w:val="heading 5"/>
    <w:basedOn w:val="Normal"/>
    <w:next w:val="Normal"/>
    <w:link w:val="Titre5Car"/>
    <w:qFormat/>
    <w:rsid w:val="00A8523D"/>
    <w:pPr>
      <w:spacing w:line="240" w:lineRule="auto"/>
      <w:outlineLvl w:val="4"/>
    </w:pPr>
  </w:style>
  <w:style w:type="paragraph" w:styleId="Titre6">
    <w:name w:val="heading 6"/>
    <w:basedOn w:val="Normal"/>
    <w:next w:val="Normal"/>
    <w:qFormat/>
    <w:rsid w:val="00A8523D"/>
    <w:pPr>
      <w:spacing w:line="240" w:lineRule="auto"/>
      <w:outlineLvl w:val="5"/>
    </w:pPr>
  </w:style>
  <w:style w:type="paragraph" w:styleId="Titre7">
    <w:name w:val="heading 7"/>
    <w:basedOn w:val="Normal"/>
    <w:next w:val="Normal"/>
    <w:qFormat/>
    <w:rsid w:val="00A8523D"/>
    <w:pPr>
      <w:spacing w:line="240" w:lineRule="auto"/>
      <w:outlineLvl w:val="6"/>
    </w:pPr>
  </w:style>
  <w:style w:type="paragraph" w:styleId="Titre8">
    <w:name w:val="heading 8"/>
    <w:basedOn w:val="Normal"/>
    <w:next w:val="Normal"/>
    <w:qFormat/>
    <w:rsid w:val="00A8523D"/>
    <w:pPr>
      <w:spacing w:line="240" w:lineRule="auto"/>
      <w:outlineLvl w:val="7"/>
    </w:pPr>
  </w:style>
  <w:style w:type="paragraph" w:styleId="Titre9">
    <w:name w:val="heading 9"/>
    <w:basedOn w:val="Normal"/>
    <w:next w:val="Normal"/>
    <w:qFormat/>
    <w:rsid w:val="00A8523D"/>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Numrodepage">
    <w:name w:val="page number"/>
    <w:aliases w:val="7_G"/>
    <w:rsid w:val="00A8523D"/>
    <w:rPr>
      <w:rFonts w:ascii="Times New Roman" w:hAnsi="Times New Roman"/>
      <w:b/>
      <w:sz w:val="18"/>
    </w:rPr>
  </w:style>
  <w:style w:type="paragraph" w:styleId="Textebrut">
    <w:name w:val="Plain Text"/>
    <w:basedOn w:val="Normal"/>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Appeldenotedefin">
    <w:name w:val="endnote reference"/>
    <w:aliases w:val="1_G"/>
    <w:rsid w:val="00A8523D"/>
    <w:rPr>
      <w:rFonts w:ascii="Times New Roman" w:hAnsi="Times New Roman"/>
      <w:sz w:val="18"/>
      <w:vertAlign w:val="superscript"/>
    </w:rPr>
  </w:style>
  <w:style w:type="character" w:styleId="Appelnotedebasdep">
    <w:name w:val="footnote reference"/>
    <w:aliases w:val="4_G,Footnote Reference/"/>
    <w:rsid w:val="00A8523D"/>
    <w:rPr>
      <w:rFonts w:ascii="Times New Roman" w:hAnsi="Times New Roman"/>
      <w:sz w:val="18"/>
      <w:vertAlign w:val="superscript"/>
    </w:rPr>
  </w:style>
  <w:style w:type="paragraph" w:styleId="Notedebasdepage">
    <w:name w:val="footnote text"/>
    <w:aliases w:val="5_G"/>
    <w:basedOn w:val="Normal"/>
    <w:link w:val="NotedebasdepageC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Notedefin">
    <w:name w:val="endnote text"/>
    <w:aliases w:val="2_G"/>
    <w:basedOn w:val="Notedebasdepage"/>
    <w:link w:val="NotedefinCar"/>
    <w:rsid w:val="00A8523D"/>
  </w:style>
  <w:style w:type="character" w:styleId="Marquedecommentaire">
    <w:name w:val="annotation reference"/>
    <w:rPr>
      <w:sz w:val="6"/>
    </w:rPr>
  </w:style>
  <w:style w:type="paragraph" w:styleId="Commentaire">
    <w:name w:val="annotation text"/>
    <w:basedOn w:val="Normal"/>
    <w:link w:val="CommentaireCar"/>
    <w:rPr>
      <w:lang w:eastAsia="x-none"/>
    </w:rPr>
  </w:style>
  <w:style w:type="character" w:styleId="Numrodeligne">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semiHidden/>
    <w:rsid w:val="008A6C4F"/>
    <w:pPr>
      <w:spacing w:after="120"/>
    </w:pPr>
    <w:rPr>
      <w:sz w:val="16"/>
      <w:szCs w:val="16"/>
    </w:rPr>
  </w:style>
  <w:style w:type="paragraph" w:styleId="Retrait1religne">
    <w:name w:val="Body Text First Indent"/>
    <w:basedOn w:val="Corpsdetexte"/>
    <w:semiHidden/>
    <w:rsid w:val="008A6C4F"/>
    <w:pPr>
      <w:spacing w:after="120"/>
      <w:ind w:firstLine="210"/>
    </w:pPr>
  </w:style>
  <w:style w:type="paragraph" w:styleId="Retraitcorpset1relig">
    <w:name w:val="Body Text First Indent 2"/>
    <w:basedOn w:val="Retraitcorpsdetexte"/>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semiHidden/>
    <w:rsid w:val="008A6C4F"/>
    <w:pPr>
      <w:ind w:left="4252"/>
    </w:pPr>
  </w:style>
  <w:style w:type="paragraph" w:styleId="Date">
    <w:name w:val="Date"/>
    <w:basedOn w:val="Normal"/>
    <w:next w:val="Normal"/>
    <w:semiHidden/>
    <w:rsid w:val="008A6C4F"/>
  </w:style>
  <w:style w:type="paragraph" w:styleId="Signaturelectronique">
    <w:name w:val="E-mail Signature"/>
    <w:basedOn w:val="Normal"/>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rsid w:val="00A8523D"/>
    <w:rPr>
      <w:color w:val="auto"/>
      <w:u w:val="none"/>
    </w:rPr>
  </w:style>
  <w:style w:type="character" w:styleId="AcronymeHTML">
    <w:name w:val="HTML Acronym"/>
    <w:basedOn w:val="Policepardfaut"/>
    <w:semiHidden/>
    <w:rsid w:val="008A6C4F"/>
  </w:style>
  <w:style w:type="paragraph" w:styleId="AdresseHTML">
    <w:name w:val="HTML Address"/>
    <w:basedOn w:val="Normal"/>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uiPriority w:val="99"/>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semiHidden/>
    <w:rsid w:val="00A8523D"/>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semiHidden/>
    <w:rsid w:val="008A6C4F"/>
  </w:style>
  <w:style w:type="paragraph" w:styleId="Salutations">
    <w:name w:val="Salutation"/>
    <w:basedOn w:val="Normal"/>
    <w:next w:val="Normal"/>
    <w:semiHidden/>
    <w:rsid w:val="008A6C4F"/>
  </w:style>
  <w:style w:type="paragraph" w:styleId="Signature">
    <w:name w:val="Signature"/>
    <w:basedOn w:val="Normal"/>
    <w:semiHidden/>
    <w:rsid w:val="008A6C4F"/>
    <w:pPr>
      <w:ind w:left="4252"/>
    </w:pPr>
  </w:style>
  <w:style w:type="character" w:styleId="lev">
    <w:name w:val="Strong"/>
    <w:qFormat/>
    <w:rsid w:val="008A6C4F"/>
    <w:rPr>
      <w:b/>
      <w:bCs/>
    </w:rPr>
  </w:style>
  <w:style w:type="paragraph" w:styleId="Sous-titre">
    <w:name w:val="Subtitle"/>
    <w:basedOn w:val="Normal"/>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rsid w:val="00A8523D"/>
    <w:pPr>
      <w:spacing w:line="240" w:lineRule="auto"/>
    </w:pPr>
    <w:rPr>
      <w:sz w:val="16"/>
    </w:rPr>
  </w:style>
  <w:style w:type="paragraph" w:styleId="En-tte">
    <w:name w:val="header"/>
    <w:aliases w:val="6_G"/>
    <w:basedOn w:val="Normal"/>
    <w:link w:val="En-tteCar"/>
    <w:rsid w:val="00A8523D"/>
    <w:pPr>
      <w:pBdr>
        <w:bottom w:val="single" w:sz="4" w:space="4" w:color="auto"/>
      </w:pBdr>
      <w:spacing w:line="240" w:lineRule="auto"/>
    </w:pPr>
    <w:rPr>
      <w:b/>
      <w:sz w:val="18"/>
    </w:rPr>
  </w:style>
  <w:style w:type="paragraph" w:styleId="Textedebulles">
    <w:name w:val="Balloon Text"/>
    <w:basedOn w:val="Normal"/>
    <w:link w:val="TextedebullesCar"/>
    <w:rsid w:val="000216CC"/>
    <w:pPr>
      <w:spacing w:line="240" w:lineRule="auto"/>
    </w:pPr>
    <w:rPr>
      <w:rFonts w:ascii="Tahoma" w:hAnsi="Tahoma"/>
      <w:sz w:val="16"/>
      <w:szCs w:val="16"/>
      <w:lang w:val="x-none"/>
    </w:rPr>
  </w:style>
  <w:style w:type="character" w:customStyle="1" w:styleId="TextedebullesCar">
    <w:name w:val="Texte de bulles Car"/>
    <w:link w:val="Textedebulles"/>
    <w:rsid w:val="000216CC"/>
    <w:rPr>
      <w:rFonts w:ascii="Tahoma" w:hAnsi="Tahoma" w:cs="Tahoma"/>
      <w:sz w:val="16"/>
      <w:szCs w:val="16"/>
      <w:lang w:eastAsia="en-US"/>
    </w:rPr>
  </w:style>
  <w:style w:type="character" w:customStyle="1" w:styleId="HChGChar">
    <w:name w:val="_ H _Ch_G Char"/>
    <w:link w:val="HChG"/>
    <w:qFormat/>
    <w:rsid w:val="006B1C55"/>
    <w:rPr>
      <w:b/>
      <w:sz w:val="28"/>
      <w:lang w:eastAsia="en-US"/>
    </w:rPr>
  </w:style>
  <w:style w:type="paragraph" w:styleId="Paragraphedeliste">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NotedebasdepageCar">
    <w:name w:val="Note de bas de page Car"/>
    <w:aliases w:val="5_G Car"/>
    <w:link w:val="Notedebasdepage"/>
    <w:rsid w:val="00E34E58"/>
    <w:rPr>
      <w:sz w:val="18"/>
      <w:lang w:eastAsia="en-US"/>
    </w:rPr>
  </w:style>
  <w:style w:type="paragraph" w:styleId="Objetducommentaire">
    <w:name w:val="annotation subject"/>
    <w:basedOn w:val="Commentaire"/>
    <w:next w:val="Commentaire"/>
    <w:link w:val="ObjetducommentaireCar"/>
    <w:rsid w:val="00115303"/>
    <w:rPr>
      <w:b/>
      <w:bCs/>
    </w:rPr>
  </w:style>
  <w:style w:type="character" w:customStyle="1" w:styleId="CommentaireCar">
    <w:name w:val="Commentaire Car"/>
    <w:link w:val="Commentaire"/>
    <w:rsid w:val="00115303"/>
    <w:rPr>
      <w:lang w:val="en-GB"/>
    </w:rPr>
  </w:style>
  <w:style w:type="character" w:customStyle="1" w:styleId="ObjetducommentaireCar">
    <w:name w:val="Objet du commentaire Car"/>
    <w:link w:val="Objetducommentaire"/>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Titre3Car">
    <w:name w:val="Titre 3 Car"/>
    <w:link w:val="Titre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uiPriority w:val="99"/>
    <w:qFormat/>
    <w:rsid w:val="00A83451"/>
    <w:rPr>
      <w:b/>
      <w:sz w:val="24"/>
      <w:lang w:eastAsia="en-US"/>
    </w:rPr>
  </w:style>
  <w:style w:type="paragraph" w:customStyle="1" w:styleId="ManualBodyText">
    <w:name w:val="Manual Body Text"/>
    <w:basedOn w:val="Corpsdetexte"/>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PrformatHTMLCar">
    <w:name w:val="Préformaté HTML Car"/>
    <w:link w:val="PrformatHTML"/>
    <w:uiPriority w:val="99"/>
    <w:rsid w:val="00EC1F27"/>
    <w:rPr>
      <w:rFonts w:ascii="Courier New" w:hAnsi="Courier New" w:cs="Courier New"/>
      <w:lang w:eastAsia="en-US"/>
    </w:rPr>
  </w:style>
  <w:style w:type="character" w:customStyle="1" w:styleId="PieddepageCar">
    <w:name w:val="Pied de page Car"/>
    <w:aliases w:val="3_G Car"/>
    <w:link w:val="Pieddepage"/>
    <w:uiPriority w:val="99"/>
    <w:rsid w:val="00EC1F27"/>
    <w:rPr>
      <w:sz w:val="16"/>
      <w:lang w:eastAsia="en-US"/>
    </w:rPr>
  </w:style>
  <w:style w:type="character" w:customStyle="1" w:styleId="RetraitcorpsdetexteCar">
    <w:name w:val="Retrait corps de texte Car"/>
    <w:link w:val="Retraitcorpsdetexte"/>
    <w:semiHidden/>
    <w:rsid w:val="00EC1F27"/>
    <w:rPr>
      <w:lang w:eastAsia="en-US"/>
    </w:rPr>
  </w:style>
  <w:style w:type="character" w:customStyle="1" w:styleId="Retraitcorpsdetexte2Car">
    <w:name w:val="Retrait corps de texte 2 Car"/>
    <w:link w:val="Retraitcorpsdetexte2"/>
    <w:semiHidden/>
    <w:rsid w:val="00EC1F27"/>
    <w:rPr>
      <w:lang w:eastAsia="en-US"/>
    </w:rPr>
  </w:style>
  <w:style w:type="character" w:customStyle="1" w:styleId="CorpsdetexteCar">
    <w:name w:val="Corps de texte Car"/>
    <w:link w:val="Corpsdetexte"/>
    <w:semiHidden/>
    <w:rsid w:val="00EC1F27"/>
    <w:rPr>
      <w:lang w:eastAsia="en-US"/>
    </w:rPr>
  </w:style>
  <w:style w:type="character" w:customStyle="1" w:styleId="En-tteCar">
    <w:name w:val="En-tête Car"/>
    <w:aliases w:val="6_G Car"/>
    <w:link w:val="En-tte"/>
    <w:rsid w:val="00EC1F27"/>
    <w:rPr>
      <w:b/>
      <w:sz w:val="18"/>
      <w:lang w:eastAsia="en-US"/>
    </w:rPr>
  </w:style>
  <w:style w:type="character" w:customStyle="1" w:styleId="Retraitcorpsdetexte3Car">
    <w:name w:val="Retrait corps de texte 3 Car"/>
    <w:link w:val="Retraitcorpsdetexte3"/>
    <w:semiHidden/>
    <w:rsid w:val="00EC1F27"/>
    <w:rPr>
      <w:sz w:val="16"/>
      <w:szCs w:val="16"/>
      <w:lang w:eastAsia="en-US"/>
    </w:rPr>
  </w:style>
  <w:style w:type="character" w:customStyle="1" w:styleId="TitreCar">
    <w:name w:val="Titre Car"/>
    <w:link w:val="Titre"/>
    <w:rsid w:val="00EC1F27"/>
    <w:rPr>
      <w:rFonts w:ascii="Arial" w:hAnsi="Arial" w:cs="Arial"/>
      <w:b/>
      <w:bCs/>
      <w:kern w:val="28"/>
      <w:sz w:val="32"/>
      <w:szCs w:val="32"/>
      <w:lang w:eastAsia="en-US"/>
    </w:rPr>
  </w:style>
  <w:style w:type="character" w:customStyle="1" w:styleId="Titre5Car">
    <w:name w:val="Titre 5 Car"/>
    <w:link w:val="Titre5"/>
    <w:rsid w:val="00EC1F27"/>
    <w:rPr>
      <w:lang w:eastAsia="en-US"/>
    </w:rPr>
  </w:style>
  <w:style w:type="character" w:customStyle="1" w:styleId="NotedefinCar">
    <w:name w:val="Note de fin Car"/>
    <w:aliases w:val="2_G Car"/>
    <w:link w:val="Notedefin"/>
    <w:rsid w:val="00EC1F27"/>
    <w:rPr>
      <w:sz w:val="18"/>
      <w:lang w:val="x-none" w:eastAsia="en-US"/>
    </w:rPr>
  </w:style>
  <w:style w:type="paragraph" w:customStyle="1" w:styleId="a">
    <w:name w:val="–"/>
    <w:semiHidden/>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Corpsdetexte"/>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Corpsdetexte2Car">
    <w:name w:val="Corps de texte 2 Car"/>
    <w:link w:val="Corpsdetexte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Textedelespacerserv">
    <w:name w:val="Placeholder Text"/>
    <w:uiPriority w:val="99"/>
    <w:semiHidden/>
    <w:rsid w:val="00EC1F27"/>
    <w:rPr>
      <w:color w:val="808080"/>
    </w:rPr>
  </w:style>
  <w:style w:type="paragraph" w:styleId="Lgende">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vision">
    <w:name w:val="Revision"/>
    <w:hidden/>
    <w:uiPriority w:val="99"/>
    <w:semiHidden/>
    <w:rsid w:val="00EC1F27"/>
    <w:rPr>
      <w:lang w:val="fr-FR" w:eastAsia="fr-FR"/>
    </w:rPr>
  </w:style>
  <w:style w:type="character" w:customStyle="1" w:styleId="UnresolvedMention1">
    <w:name w:val="Unresolved Mention1"/>
    <w:basedOn w:val="Policepardfaut"/>
    <w:uiPriority w:val="99"/>
    <w:semiHidden/>
    <w:unhideWhenUsed/>
    <w:rsid w:val="00E3141C"/>
    <w:rPr>
      <w:color w:val="808080"/>
      <w:shd w:val="clear" w:color="auto" w:fill="E6E6E6"/>
    </w:rPr>
  </w:style>
  <w:style w:type="paragraph" w:customStyle="1" w:styleId="MBodyTxt">
    <w:name w:val="MBodyTxt"/>
    <w:basedOn w:val="Normal"/>
    <w:qFormat/>
    <w:rsid w:val="006A033B"/>
    <w:pPr>
      <w:tabs>
        <w:tab w:val="left" w:pos="1418"/>
      </w:tabs>
      <w:spacing w:after="240" w:line="240" w:lineRule="auto"/>
      <w:jc w:val="both"/>
    </w:pPr>
    <w:rPr>
      <w:rFonts w:ascii="Liberation Serif;Times New Roma" w:eastAsia="NSimSun" w:hAnsi="Liberation Serif;Times New Roma"/>
      <w:lang w:eastAsia="fr-FR"/>
    </w:rPr>
  </w:style>
  <w:style w:type="paragraph" w:customStyle="1" w:styleId="MTabHead">
    <w:name w:val="MTabHead"/>
    <w:basedOn w:val="MBodyTxt"/>
    <w:qFormat/>
    <w:rsid w:val="006A033B"/>
    <w:pPr>
      <w:keepNext/>
      <w:jc w:val="center"/>
    </w:pPr>
    <w:rPr>
      <w:b/>
      <w:bCs/>
    </w:rPr>
  </w:style>
  <w:style w:type="paragraph" w:customStyle="1" w:styleId="Standard">
    <w:name w:val="Standard"/>
    <w:qFormat/>
    <w:rsid w:val="006A033B"/>
    <w:pPr>
      <w:suppressAutoHyphens/>
      <w:textAlignment w:val="baseline"/>
    </w:pPr>
    <w:rPr>
      <w:rFonts w:ascii="Liberation Serif;Times New Roma" w:eastAsia="NSimSun" w:hAnsi="Liberation Serif;Times New Roma" w:cs="Liberation Serif;Times New Roma"/>
      <w:sz w:val="24"/>
      <w:szCs w:val="24"/>
      <w:lang w:val="fr-FR" w:eastAsia="zh-CN" w:bidi="hi-IN"/>
    </w:rPr>
  </w:style>
  <w:style w:type="paragraph" w:customStyle="1" w:styleId="Contenudecadre">
    <w:name w:val="Contenu de cadre"/>
    <w:basedOn w:val="Normal"/>
    <w:qFormat/>
    <w:rsid w:val="006A033B"/>
    <w:pPr>
      <w:snapToGrid w:val="0"/>
    </w:pPr>
    <w:rPr>
      <w:rFonts w:eastAsia="SimSun"/>
      <w:lang w:eastAsia="zh-CN"/>
    </w:rPr>
  </w:style>
  <w:style w:type="paragraph" w:customStyle="1" w:styleId="AlphIbody">
    <w:name w:val="AlphI_body"/>
    <w:basedOn w:val="Normal"/>
    <w:qFormat/>
    <w:rsid w:val="006A033B"/>
    <w:pPr>
      <w:snapToGrid w:val="0"/>
      <w:spacing w:line="240" w:lineRule="auto"/>
    </w:pPr>
    <w:rPr>
      <w:rFonts w:eastAsia="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64723-A859-4A05-A244-01F5018D9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BB70E9-9746-4FFC-A5DE-E5E19997A887}">
  <ds:schemaRefs>
    <ds:schemaRef ds:uri="http://schemas.microsoft.com/sharepoint/v3/contenttype/forms"/>
  </ds:schemaRefs>
</ds:datastoreItem>
</file>

<file path=customXml/itemProps3.xml><?xml version="1.0" encoding="utf-8"?>
<ds:datastoreItem xmlns:ds="http://schemas.openxmlformats.org/officeDocument/2006/customXml" ds:itemID="{44420A0E-ECD7-4E21-A5B3-2A3E1C6527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2970DC-CD5E-4360-82D4-EFD1DC2CA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94</TotalTime>
  <Pages>18</Pages>
  <Words>6040</Words>
  <Characters>34433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40393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Romain Hubert</cp:lastModifiedBy>
  <cp:revision>63</cp:revision>
  <cp:lastPrinted>2020-11-27T15:35:00Z</cp:lastPrinted>
  <dcterms:created xsi:type="dcterms:W3CDTF">2020-11-27T15:47:00Z</dcterms:created>
  <dcterms:modified xsi:type="dcterms:W3CDTF">2020-11-27T19:09:00Z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ies>
</file>