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277"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17"/>
        <w:gridCol w:w="2236"/>
        <w:gridCol w:w="6286"/>
      </w:tblGrid>
      <w:tr w:rsidR="00AD155F" w:rsidRPr="00C57C69" w14:paraId="2E193F21" w14:textId="77777777" w:rsidTr="005300EF">
        <w:trPr>
          <w:trHeight w:val="851"/>
        </w:trPr>
        <w:tc>
          <w:tcPr>
            <w:tcW w:w="1117" w:type="dxa"/>
            <w:tcBorders>
              <w:top w:val="nil"/>
              <w:left w:val="nil"/>
              <w:bottom w:val="single" w:sz="4" w:space="0" w:color="auto"/>
              <w:right w:val="nil"/>
            </w:tcBorders>
            <w:shd w:val="clear" w:color="auto" w:fill="auto"/>
          </w:tcPr>
          <w:p w14:paraId="63CFA8CC" w14:textId="3A4F3E96" w:rsidR="00EA44DB" w:rsidRPr="00E44D34" w:rsidRDefault="00EA44DB" w:rsidP="005300EF">
            <w:pPr>
              <w:spacing w:after="80" w:line="340" w:lineRule="exact"/>
            </w:pPr>
            <w:bookmarkStart w:id="0" w:name="_GoBack"/>
            <w:bookmarkEnd w:id="0"/>
          </w:p>
        </w:tc>
        <w:tc>
          <w:tcPr>
            <w:tcW w:w="2236" w:type="dxa"/>
            <w:tcBorders>
              <w:top w:val="nil"/>
              <w:left w:val="nil"/>
              <w:bottom w:val="single" w:sz="4" w:space="0" w:color="auto"/>
              <w:right w:val="nil"/>
            </w:tcBorders>
            <w:shd w:val="clear" w:color="auto" w:fill="auto"/>
            <w:vAlign w:val="bottom"/>
          </w:tcPr>
          <w:p w14:paraId="308B76CC" w14:textId="77777777" w:rsidR="00AD155F" w:rsidRPr="00E44D34" w:rsidRDefault="00AD155F" w:rsidP="005300EF">
            <w:pPr>
              <w:spacing w:after="80" w:line="340" w:lineRule="exact"/>
              <w:rPr>
                <w:sz w:val="28"/>
                <w:szCs w:val="28"/>
              </w:rPr>
            </w:pPr>
          </w:p>
        </w:tc>
        <w:tc>
          <w:tcPr>
            <w:tcW w:w="6286" w:type="dxa"/>
            <w:tcBorders>
              <w:top w:val="nil"/>
              <w:left w:val="nil"/>
              <w:bottom w:val="single" w:sz="4" w:space="0" w:color="auto"/>
              <w:right w:val="nil"/>
            </w:tcBorders>
            <w:shd w:val="clear" w:color="auto" w:fill="auto"/>
            <w:vAlign w:val="bottom"/>
          </w:tcPr>
          <w:p w14:paraId="3950424F" w14:textId="7F22CCA9" w:rsidR="00640E2E" w:rsidRPr="00E86F4E" w:rsidRDefault="00640E2E" w:rsidP="00640E2E">
            <w:pPr>
              <w:jc w:val="right"/>
              <w:rPr>
                <w:b/>
                <w:sz w:val="40"/>
                <w:szCs w:val="40"/>
              </w:rPr>
            </w:pPr>
            <w:r w:rsidRPr="00E86F4E">
              <w:rPr>
                <w:b/>
                <w:sz w:val="40"/>
                <w:szCs w:val="40"/>
              </w:rPr>
              <w:t>UN/SCETDG/57/INF.</w:t>
            </w:r>
            <w:r>
              <w:rPr>
                <w:b/>
                <w:sz w:val="40"/>
                <w:szCs w:val="40"/>
              </w:rPr>
              <w:t>39</w:t>
            </w:r>
          </w:p>
          <w:p w14:paraId="07ADB584" w14:textId="77777777" w:rsidR="00AD155F" w:rsidRPr="00C57C69" w:rsidRDefault="00AD155F" w:rsidP="005300EF">
            <w:pPr>
              <w:jc w:val="right"/>
              <w:rPr>
                <w:highlight w:val="yellow"/>
              </w:rPr>
            </w:pPr>
          </w:p>
        </w:tc>
      </w:tr>
    </w:tbl>
    <w:tbl>
      <w:tblPr>
        <w:tblW w:w="9645" w:type="dxa"/>
        <w:tblInd w:w="108" w:type="dxa"/>
        <w:tblLayout w:type="fixed"/>
        <w:tblLook w:val="04A0" w:firstRow="1" w:lastRow="0" w:firstColumn="1" w:lastColumn="0" w:noHBand="0" w:noVBand="1"/>
      </w:tblPr>
      <w:tblGrid>
        <w:gridCol w:w="4652"/>
        <w:gridCol w:w="4993"/>
      </w:tblGrid>
      <w:tr w:rsidR="00AD155F" w:rsidRPr="00B762C5" w14:paraId="6146A10C" w14:textId="77777777" w:rsidTr="00676595">
        <w:tc>
          <w:tcPr>
            <w:tcW w:w="9645" w:type="dxa"/>
            <w:gridSpan w:val="2"/>
            <w:tcMar>
              <w:top w:w="142" w:type="dxa"/>
              <w:left w:w="108" w:type="dxa"/>
              <w:bottom w:w="142" w:type="dxa"/>
              <w:right w:w="108" w:type="dxa"/>
            </w:tcMar>
          </w:tcPr>
          <w:p w14:paraId="673B194E" w14:textId="19812AA7" w:rsidR="00AD155F" w:rsidRPr="00B762C5" w:rsidRDefault="00AD155F" w:rsidP="00AD155F">
            <w:pPr>
              <w:tabs>
                <w:tab w:val="right" w:pos="9214"/>
              </w:tabs>
            </w:pPr>
            <w:r w:rsidRPr="00B762C5">
              <w:rPr>
                <w:b/>
                <w:sz w:val="24"/>
                <w:szCs w:val="24"/>
              </w:rPr>
              <w:t>Committee of Experts on the Transport of Dangerous Goods</w:t>
            </w:r>
            <w:r w:rsidRPr="00B762C5">
              <w:rPr>
                <w:b/>
                <w:sz w:val="24"/>
                <w:szCs w:val="24"/>
              </w:rPr>
              <w:tab/>
            </w:r>
            <w:r w:rsidRPr="00B762C5">
              <w:rPr>
                <w:b/>
                <w:sz w:val="24"/>
                <w:szCs w:val="24"/>
              </w:rPr>
              <w:br/>
              <w:t>and on the Globally Harmonized System of Classification</w:t>
            </w:r>
            <w:r w:rsidRPr="00B762C5">
              <w:rPr>
                <w:b/>
                <w:sz w:val="24"/>
                <w:szCs w:val="24"/>
              </w:rPr>
              <w:br/>
              <w:t>and Labelling of Chemicals</w:t>
            </w:r>
            <w:r w:rsidRPr="00B762C5">
              <w:rPr>
                <w:b/>
              </w:rPr>
              <w:tab/>
            </w:r>
            <w:r w:rsidR="005300EF" w:rsidRPr="00F819BD">
              <w:rPr>
                <w:b/>
              </w:rPr>
              <w:t>1</w:t>
            </w:r>
            <w:r w:rsidR="00676595">
              <w:rPr>
                <w:b/>
              </w:rPr>
              <w:t>9</w:t>
            </w:r>
            <w:r w:rsidR="00F819BD">
              <w:rPr>
                <w:b/>
              </w:rPr>
              <w:t xml:space="preserve"> No</w:t>
            </w:r>
            <w:r w:rsidR="00F666D9">
              <w:rPr>
                <w:b/>
              </w:rPr>
              <w:t>vember</w:t>
            </w:r>
            <w:r w:rsidRPr="00F819BD">
              <w:rPr>
                <w:b/>
              </w:rPr>
              <w:t xml:space="preserve"> 2020</w:t>
            </w:r>
          </w:p>
        </w:tc>
      </w:tr>
      <w:tr w:rsidR="00AD155F" w:rsidRPr="00B762C5" w14:paraId="0974548D" w14:textId="77777777" w:rsidTr="00676595">
        <w:tc>
          <w:tcPr>
            <w:tcW w:w="4652" w:type="dxa"/>
            <w:tcMar>
              <w:top w:w="57" w:type="dxa"/>
              <w:left w:w="108" w:type="dxa"/>
              <w:bottom w:w="0" w:type="dxa"/>
              <w:right w:w="108" w:type="dxa"/>
            </w:tcMar>
            <w:vAlign w:val="center"/>
          </w:tcPr>
          <w:p w14:paraId="6D9D2FC9" w14:textId="77777777" w:rsidR="00AD155F" w:rsidRPr="00B762C5" w:rsidRDefault="00AD155F" w:rsidP="00AD155F">
            <w:pPr>
              <w:spacing w:before="40"/>
              <w:rPr>
                <w:b/>
              </w:rPr>
            </w:pPr>
            <w:r w:rsidRPr="00B762C5">
              <w:rPr>
                <w:b/>
              </w:rPr>
              <w:t xml:space="preserve">Sub-Committee of Experts on the Transport of Dangerous Goods </w:t>
            </w:r>
          </w:p>
        </w:tc>
        <w:tc>
          <w:tcPr>
            <w:tcW w:w="4993" w:type="dxa"/>
            <w:tcMar>
              <w:top w:w="57" w:type="dxa"/>
              <w:left w:w="108" w:type="dxa"/>
              <w:bottom w:w="0" w:type="dxa"/>
              <w:right w:w="108" w:type="dxa"/>
            </w:tcMar>
            <w:vAlign w:val="center"/>
          </w:tcPr>
          <w:p w14:paraId="423F1779" w14:textId="77777777" w:rsidR="00AD155F" w:rsidRPr="00B762C5" w:rsidRDefault="00AD155F" w:rsidP="00AD155F">
            <w:pPr>
              <w:spacing w:before="120"/>
              <w:rPr>
                <w:b/>
              </w:rPr>
            </w:pPr>
          </w:p>
        </w:tc>
      </w:tr>
      <w:tr w:rsidR="00AD155F" w:rsidRPr="00B762C5" w14:paraId="2074E781" w14:textId="77777777" w:rsidTr="00676595">
        <w:trPr>
          <w:trHeight w:val="201"/>
        </w:trPr>
        <w:tc>
          <w:tcPr>
            <w:tcW w:w="4652" w:type="dxa"/>
            <w:tcMar>
              <w:top w:w="57" w:type="dxa"/>
              <w:left w:w="108" w:type="dxa"/>
              <w:bottom w:w="0" w:type="dxa"/>
              <w:right w:w="108" w:type="dxa"/>
            </w:tcMar>
          </w:tcPr>
          <w:p w14:paraId="4EDC65A9" w14:textId="77777777" w:rsidR="00AD155F" w:rsidRPr="00B762C5" w:rsidRDefault="00AD155F" w:rsidP="00AD155F">
            <w:pPr>
              <w:spacing w:before="120" w:line="240" w:lineRule="auto"/>
              <w:ind w:left="34" w:hanging="34"/>
              <w:rPr>
                <w:b/>
              </w:rPr>
            </w:pPr>
            <w:r w:rsidRPr="00B762C5">
              <w:rPr>
                <w:b/>
              </w:rPr>
              <w:t>Fifty-seventh session</w:t>
            </w:r>
          </w:p>
        </w:tc>
        <w:tc>
          <w:tcPr>
            <w:tcW w:w="4993" w:type="dxa"/>
            <w:tcMar>
              <w:top w:w="57" w:type="dxa"/>
              <w:left w:w="108" w:type="dxa"/>
              <w:bottom w:w="0" w:type="dxa"/>
              <w:right w:w="108" w:type="dxa"/>
            </w:tcMar>
          </w:tcPr>
          <w:p w14:paraId="7834E653" w14:textId="77777777" w:rsidR="00AD155F" w:rsidRPr="00B762C5" w:rsidRDefault="00AD155F" w:rsidP="00AD155F">
            <w:pPr>
              <w:spacing w:line="240" w:lineRule="auto"/>
              <w:ind w:left="34" w:hanging="34"/>
              <w:rPr>
                <w:b/>
              </w:rPr>
            </w:pPr>
          </w:p>
        </w:tc>
      </w:tr>
      <w:tr w:rsidR="00AD155F" w:rsidRPr="00B762C5" w14:paraId="0F7A8CCA" w14:textId="77777777" w:rsidTr="00676595">
        <w:trPr>
          <w:trHeight w:val="1146"/>
        </w:trPr>
        <w:tc>
          <w:tcPr>
            <w:tcW w:w="4652" w:type="dxa"/>
            <w:shd w:val="clear" w:color="auto" w:fill="auto"/>
            <w:tcMar>
              <w:top w:w="28" w:type="dxa"/>
              <w:left w:w="108" w:type="dxa"/>
              <w:bottom w:w="0" w:type="dxa"/>
              <w:right w:w="108" w:type="dxa"/>
            </w:tcMar>
          </w:tcPr>
          <w:p w14:paraId="3FE2022D" w14:textId="44E3F460" w:rsidR="00AD155F" w:rsidRPr="00B762C5" w:rsidRDefault="00AD155F" w:rsidP="00AD155F">
            <w:pPr>
              <w:tabs>
                <w:tab w:val="left" w:pos="6361"/>
                <w:tab w:val="left" w:pos="6939"/>
              </w:tabs>
              <w:spacing w:before="40"/>
              <w:outlineLvl w:val="0"/>
              <w:rPr>
                <w:bCs/>
              </w:rPr>
            </w:pPr>
            <w:r w:rsidRPr="00B762C5">
              <w:t>Geneva, 30 November</w:t>
            </w:r>
            <w:r w:rsidR="000A2D90" w:rsidRPr="00B762C5">
              <w:t>-</w:t>
            </w:r>
            <w:r w:rsidRPr="00B762C5">
              <w:t>8 December 2020</w:t>
            </w:r>
          </w:p>
          <w:p w14:paraId="048D542A" w14:textId="51F29DBC" w:rsidR="00AD155F" w:rsidRPr="00B762C5" w:rsidRDefault="00F85E46" w:rsidP="00AD155F">
            <w:r>
              <w:t>Item 4</w:t>
            </w:r>
            <w:r w:rsidR="00AD155F" w:rsidRPr="00B762C5">
              <w:t xml:space="preserve"> (e) of the provisional agenda </w:t>
            </w:r>
          </w:p>
          <w:p w14:paraId="5A42BD88" w14:textId="6ECE4A3C" w:rsidR="00AD155F" w:rsidRPr="00B762C5" w:rsidRDefault="00AD155F" w:rsidP="00EB4710">
            <w:pPr>
              <w:rPr>
                <w:b/>
                <w:bCs/>
              </w:rPr>
            </w:pPr>
            <w:r w:rsidRPr="00B762C5">
              <w:rPr>
                <w:b/>
                <w:bCs/>
              </w:rPr>
              <w:t xml:space="preserve">Miscellaneous proposals for amendments to the Model Regulations on the Transport of Dangerous Goods: </w:t>
            </w:r>
            <w:r w:rsidR="000A2D90" w:rsidRPr="00B762C5">
              <w:rPr>
                <w:b/>
                <w:bCs/>
              </w:rPr>
              <w:t>o</w:t>
            </w:r>
            <w:r w:rsidRPr="00B762C5">
              <w:rPr>
                <w:b/>
                <w:bCs/>
              </w:rPr>
              <w:t>ther miscellaneous proposals</w:t>
            </w:r>
          </w:p>
        </w:tc>
        <w:tc>
          <w:tcPr>
            <w:tcW w:w="4993" w:type="dxa"/>
            <w:shd w:val="clear" w:color="auto" w:fill="auto"/>
            <w:tcMar>
              <w:top w:w="28" w:type="dxa"/>
              <w:left w:w="108" w:type="dxa"/>
              <w:bottom w:w="0" w:type="dxa"/>
              <w:right w:w="108" w:type="dxa"/>
            </w:tcMar>
          </w:tcPr>
          <w:p w14:paraId="4D6DFC72" w14:textId="77777777" w:rsidR="00AD155F" w:rsidRPr="00B762C5" w:rsidRDefault="00AD155F" w:rsidP="00AD155F">
            <w:pPr>
              <w:spacing w:before="40"/>
              <w:rPr>
                <w:b/>
                <w:bCs/>
              </w:rPr>
            </w:pPr>
          </w:p>
        </w:tc>
      </w:tr>
    </w:tbl>
    <w:p w14:paraId="6598F0BD" w14:textId="0F98DF63" w:rsidR="00AB4A89" w:rsidRPr="00B762C5" w:rsidRDefault="00AB4A89" w:rsidP="009750CC">
      <w:pPr>
        <w:pStyle w:val="HChG"/>
      </w:pPr>
      <w:r w:rsidRPr="00B762C5">
        <w:tab/>
      </w:r>
      <w:r w:rsidRPr="00B762C5">
        <w:tab/>
      </w:r>
      <w:r w:rsidR="00F85E46">
        <w:t>Comment on ST</w:t>
      </w:r>
      <w:r w:rsidR="00F85E46" w:rsidRPr="00F1623E">
        <w:t>/SG/AC.10/C.3/2020/45/Rev.1</w:t>
      </w:r>
      <w:r w:rsidR="00FE415F">
        <w:t xml:space="preserve"> </w:t>
      </w:r>
      <w:r w:rsidR="00F85E46">
        <w:t xml:space="preserve">- editorial improvements </w:t>
      </w:r>
    </w:p>
    <w:p w14:paraId="37586D49" w14:textId="1E1A547E" w:rsidR="00AB4A89" w:rsidRPr="00B762C5" w:rsidRDefault="000A2D90" w:rsidP="000A2D90">
      <w:pPr>
        <w:pStyle w:val="H1G"/>
        <w:rPr>
          <w:lang w:val="en-GB"/>
        </w:rPr>
      </w:pPr>
      <w:r w:rsidRPr="00B762C5">
        <w:rPr>
          <w:lang w:val="en-GB"/>
        </w:rPr>
        <w:tab/>
      </w:r>
      <w:r w:rsidRPr="00B762C5">
        <w:rPr>
          <w:lang w:val="en-GB"/>
        </w:rPr>
        <w:tab/>
      </w:r>
      <w:r w:rsidR="00AB4A89" w:rsidRPr="00B762C5">
        <w:rPr>
          <w:lang w:val="en-GB"/>
        </w:rPr>
        <w:t xml:space="preserve">Transmitted by the expert from </w:t>
      </w:r>
      <w:r w:rsidR="00F85E46">
        <w:rPr>
          <w:lang w:val="en-GB"/>
        </w:rPr>
        <w:t>France</w:t>
      </w:r>
    </w:p>
    <w:p w14:paraId="0B9D1F58" w14:textId="649892BE" w:rsidR="00F85E46" w:rsidRPr="00431788" w:rsidRDefault="00AB4A89" w:rsidP="00431788">
      <w:pPr>
        <w:pStyle w:val="HChG"/>
      </w:pPr>
      <w:r w:rsidRPr="00431788">
        <w:tab/>
      </w:r>
      <w:r w:rsidRPr="00431788">
        <w:tab/>
      </w:r>
      <w:r w:rsidRPr="00F666D9">
        <w:rPr>
          <w:rFonts w:eastAsiaTheme="minorEastAsia"/>
          <w:lang w:val="en-US"/>
        </w:rPr>
        <w:t>Introduction</w:t>
      </w:r>
      <w:r w:rsidRPr="00431788">
        <w:t xml:space="preserve"> </w:t>
      </w:r>
    </w:p>
    <w:p w14:paraId="2A96FA17" w14:textId="6E5A33D6" w:rsidR="001E3963" w:rsidRDefault="00431788" w:rsidP="00F666D9">
      <w:pPr>
        <w:pStyle w:val="SingleTxtG"/>
      </w:pPr>
      <w:r>
        <w:t>1.</w:t>
      </w:r>
      <w:r>
        <w:tab/>
      </w:r>
      <w:r w:rsidR="00F85E46">
        <w:t>Concerning the drafting of the proposal contained in ST</w:t>
      </w:r>
      <w:r w:rsidR="00F85E46" w:rsidRPr="00F1623E">
        <w:t>/SG/AC.10/C.3/2020/45/Rev.1</w:t>
      </w:r>
      <w:r w:rsidR="00F85E46">
        <w:t xml:space="preserve">, in particular the amendments proposed to the text in the manual of test and criteria 38.3, the secretariat has rightly pointed out to us that, by adding a </w:t>
      </w:r>
      <w:r w:rsidR="0081169B">
        <w:t xml:space="preserve">heading </w:t>
      </w:r>
      <w:r w:rsidR="00F85E46">
        <w:t>for 38.3.3 and introducing t</w:t>
      </w:r>
      <w:r>
        <w:t>w</w:t>
      </w:r>
      <w:r w:rsidR="00F85E46">
        <w:t xml:space="preserve">o sub paragraphs, one for lithium batteries and cells and one for the new sodium ions batteries the proposal would be more user friendly. Currently </w:t>
      </w:r>
      <w:r w:rsidR="001E3963">
        <w:t>38.3.3 has no title but it doesn’t harm much because it only concerns lithium batteries.</w:t>
      </w:r>
    </w:p>
    <w:p w14:paraId="503BE9E9" w14:textId="2BF4667C" w:rsidR="001E3963" w:rsidRDefault="00431788" w:rsidP="00F666D9">
      <w:pPr>
        <w:pStyle w:val="SingleTxtG"/>
      </w:pPr>
      <w:r>
        <w:t>2.</w:t>
      </w:r>
      <w:r>
        <w:tab/>
      </w:r>
      <w:r w:rsidR="001E3963">
        <w:t>We agree with the secretariat</w:t>
      </w:r>
      <w:r>
        <w:t>’</w:t>
      </w:r>
      <w:r w:rsidR="001E3963">
        <w:t xml:space="preserve">s proposal and therefore would like to propose an editorially modified text to replace the proposal concerning 38.3 of the </w:t>
      </w:r>
      <w:r>
        <w:t>M</w:t>
      </w:r>
      <w:r w:rsidR="001E3963">
        <w:t>anual as proposed in point 29 of the initial proposal in ST</w:t>
      </w:r>
      <w:r w:rsidR="001E3963" w:rsidRPr="00F1623E">
        <w:t>/SG/AC.10/C.3/2020/45/Rev.1</w:t>
      </w:r>
      <w:r w:rsidR="001E3963">
        <w:t>.</w:t>
      </w:r>
    </w:p>
    <w:p w14:paraId="42BB12D5" w14:textId="0F922C4F" w:rsidR="001E3963" w:rsidRPr="001E3963" w:rsidRDefault="00431788" w:rsidP="00F666D9">
      <w:pPr>
        <w:pStyle w:val="SingleTxtG"/>
      </w:pPr>
      <w:r>
        <w:t>3.</w:t>
      </w:r>
      <w:r>
        <w:tab/>
      </w:r>
      <w:r w:rsidR="001E3963">
        <w:t>The new text introduce</w:t>
      </w:r>
      <w:r>
        <w:t>s</w:t>
      </w:r>
      <w:r w:rsidR="001E3963">
        <w:t xml:space="preserve"> a new </w:t>
      </w:r>
      <w:r w:rsidR="0081169B">
        <w:t>heading</w:t>
      </w:r>
      <w:r w:rsidR="001E3963">
        <w:t xml:space="preserve"> for 38.3.3: “</w:t>
      </w:r>
      <w:r w:rsidR="001E3963">
        <w:rPr>
          <w:b/>
          <w:u w:val="single"/>
        </w:rPr>
        <w:t>Number and condition of cells and batteries to be tested</w:t>
      </w:r>
      <w:r w:rsidRPr="00F666D9">
        <w:rPr>
          <w:bCs/>
        </w:rPr>
        <w:t>”</w:t>
      </w:r>
      <w:r w:rsidR="001E3963" w:rsidRPr="00F666D9">
        <w:rPr>
          <w:bCs/>
        </w:rPr>
        <w:t xml:space="preserve"> </w:t>
      </w:r>
      <w:r w:rsidR="001E3963">
        <w:t>and adds two sub paragrap</w:t>
      </w:r>
      <w:r w:rsidR="001E3963" w:rsidRPr="001E3963">
        <w:t>hs to it</w:t>
      </w:r>
      <w:r w:rsidR="001E3963" w:rsidRPr="001E3963">
        <w:rPr>
          <w:b/>
        </w:rPr>
        <w:t xml:space="preserve"> </w:t>
      </w:r>
      <w:r w:rsidR="001E3963" w:rsidRPr="001E3963">
        <w:t>for each type of</w:t>
      </w:r>
      <w:r w:rsidR="001E3963" w:rsidRPr="001E3963">
        <w:rPr>
          <w:b/>
        </w:rPr>
        <w:t xml:space="preserve"> </w:t>
      </w:r>
      <w:r w:rsidR="001E3963">
        <w:t>batteries (lithium ion and sodium ion).</w:t>
      </w:r>
    </w:p>
    <w:p w14:paraId="2E0F32AB" w14:textId="2881B85D" w:rsidR="001E3963" w:rsidRDefault="00431788" w:rsidP="00F666D9">
      <w:pPr>
        <w:pStyle w:val="SingleTxtG"/>
      </w:pPr>
      <w:r>
        <w:t>4.</w:t>
      </w:r>
      <w:r>
        <w:tab/>
      </w:r>
      <w:r w:rsidR="001E3963">
        <w:t>These amendment</w:t>
      </w:r>
      <w:r>
        <w:t>s</w:t>
      </w:r>
      <w:r w:rsidR="001E3963">
        <w:t xml:space="preserve"> do not change the substance of the proposal but improve its user-friendliness.</w:t>
      </w:r>
    </w:p>
    <w:p w14:paraId="10714D68" w14:textId="46A52223" w:rsidR="003264C8" w:rsidRPr="003264C8" w:rsidRDefault="00431788" w:rsidP="00F666D9">
      <w:pPr>
        <w:pStyle w:val="HChG"/>
      </w:pPr>
      <w:r>
        <w:tab/>
      </w:r>
      <w:r>
        <w:tab/>
      </w:r>
      <w:r w:rsidR="001E3963" w:rsidRPr="001E3963">
        <w:t>New proposal for the amendment concerning 38.3</w:t>
      </w:r>
      <w:r w:rsidR="001E3963">
        <w:t>:</w:t>
      </w:r>
    </w:p>
    <w:p w14:paraId="5935B9A5" w14:textId="2C4FE474" w:rsidR="00F85E46" w:rsidRDefault="00F85E46" w:rsidP="00F85E46">
      <w:pPr>
        <w:pStyle w:val="SingleTxtG"/>
      </w:pPr>
      <w:r>
        <w:rPr>
          <w:b/>
          <w:bCs/>
        </w:rPr>
        <w:t>“38.3</w:t>
      </w:r>
      <w:r>
        <w:rPr>
          <w:b/>
          <w:bCs/>
        </w:rPr>
        <w:tab/>
        <w:t>Lithium metal</w:t>
      </w:r>
      <w:r>
        <w:rPr>
          <w:rFonts w:cs="Lucida Sans"/>
          <w:b/>
          <w:bCs/>
          <w:u w:val="single"/>
        </w:rPr>
        <w:t>,</w:t>
      </w:r>
      <w:r>
        <w:rPr>
          <w:b/>
          <w:bCs/>
        </w:rPr>
        <w:t xml:space="preserve"> </w:t>
      </w:r>
      <w:r>
        <w:rPr>
          <w:b/>
          <w:bCs/>
          <w:strike/>
        </w:rPr>
        <w:t>and</w:t>
      </w:r>
      <w:r>
        <w:rPr>
          <w:b/>
          <w:bCs/>
        </w:rPr>
        <w:t xml:space="preserve"> lithium ion </w:t>
      </w:r>
      <w:r>
        <w:rPr>
          <w:b/>
          <w:bCs/>
          <w:u w:val="single"/>
        </w:rPr>
        <w:t>and sodium ion</w:t>
      </w:r>
      <w:r>
        <w:rPr>
          <w:b/>
          <w:bCs/>
        </w:rPr>
        <w:t xml:space="preserve"> batteries</w:t>
      </w:r>
    </w:p>
    <w:p w14:paraId="7D1FE014" w14:textId="0D680BF2" w:rsidR="00F85E46" w:rsidRDefault="00F85E46" w:rsidP="00F85E46">
      <w:pPr>
        <w:pStyle w:val="H23G"/>
        <w:tabs>
          <w:tab w:val="right" w:pos="3119"/>
        </w:tabs>
      </w:pPr>
      <w:r>
        <w:rPr>
          <w:rFonts w:cs="Lucida Sans"/>
          <w:i/>
          <w:iCs/>
        </w:rPr>
        <w:tab/>
      </w:r>
      <w:r>
        <w:rPr>
          <w:rFonts w:cs="Lucida Sans"/>
          <w:i/>
          <w:iCs/>
        </w:rPr>
        <w:tab/>
      </w:r>
      <w:r>
        <w:rPr>
          <w:i/>
          <w:iCs/>
        </w:rPr>
        <w:t>38.3.1</w:t>
      </w:r>
      <w:r>
        <w:rPr>
          <w:i/>
          <w:iCs/>
        </w:rPr>
        <w:tab/>
        <w:t>Purpose</w:t>
      </w:r>
    </w:p>
    <w:p w14:paraId="4AE46A1B" w14:textId="77777777" w:rsidR="00F85E46" w:rsidRDefault="00F85E46" w:rsidP="00F85E46">
      <w:pPr>
        <w:pStyle w:val="SingleTxtG"/>
      </w:pPr>
      <w:r>
        <w:rPr>
          <w:rFonts w:cs="Lucida Sans"/>
          <w:b/>
          <w:i/>
        </w:rPr>
        <w:tab/>
      </w:r>
      <w:r>
        <w:t>This section presents the procedures to be followed for the classification of lithium metal</w:t>
      </w:r>
      <w:r>
        <w:rPr>
          <w:rFonts w:cs="Lucida Sans"/>
          <w:u w:val="single"/>
        </w:rPr>
        <w:t>,</w:t>
      </w:r>
      <w:r>
        <w:t xml:space="preserve"> </w:t>
      </w:r>
      <w:r>
        <w:rPr>
          <w:strike/>
        </w:rPr>
        <w:t>and</w:t>
      </w:r>
      <w:r>
        <w:t xml:space="preserve"> lithium ion </w:t>
      </w:r>
      <w:r>
        <w:rPr>
          <w:u w:val="single"/>
        </w:rPr>
        <w:t>and sodium ion</w:t>
      </w:r>
      <w:r>
        <w:t xml:space="preserve"> cells and batteries (see UN Nos. 3090, 3091, 3480</w:t>
      </w:r>
      <w:r>
        <w:rPr>
          <w:u w:val="single"/>
        </w:rPr>
        <w:t xml:space="preserve">, </w:t>
      </w:r>
      <w:r>
        <w:rPr>
          <w:strike/>
        </w:rPr>
        <w:t>and</w:t>
      </w:r>
      <w:r>
        <w:t>3481</w:t>
      </w:r>
      <w:r>
        <w:rPr>
          <w:u w:val="single"/>
        </w:rPr>
        <w:t>, XXXX and XXXY</w:t>
      </w:r>
      <w:r>
        <w:t>, and the applicable special provisions of Chapter 3.3 of the Model Regulations).</w:t>
      </w:r>
    </w:p>
    <w:p w14:paraId="37C77DFA" w14:textId="77777777" w:rsidR="00F85E46" w:rsidRDefault="00F85E46" w:rsidP="00F85E46">
      <w:pPr>
        <w:pStyle w:val="SingleTxtG"/>
      </w:pPr>
      <w:r>
        <w:rPr>
          <w:b/>
          <w:bCs/>
          <w:i/>
          <w:iCs/>
          <w:u w:val="single"/>
        </w:rPr>
        <w:t>NOTE</w:t>
      </w:r>
      <w:r>
        <w:rPr>
          <w:i/>
          <w:iCs/>
          <w:u w:val="single"/>
        </w:rPr>
        <w:t>: In this section the words ‘sodium ion cells or batteries’ refer to sodium ion using organic electrolyte cells or batteries</w:t>
      </w:r>
      <w:r>
        <w:rPr>
          <w:u w:val="single"/>
        </w:rPr>
        <w:t>.”</w:t>
      </w:r>
    </w:p>
    <w:p w14:paraId="7B38B66F" w14:textId="77777777" w:rsidR="00F85E46" w:rsidRDefault="00F85E46" w:rsidP="00F85E46">
      <w:pPr>
        <w:pStyle w:val="H23G"/>
        <w:tabs>
          <w:tab w:val="right" w:pos="3119"/>
        </w:tabs>
      </w:pPr>
      <w:r>
        <w:rPr>
          <w:rFonts w:cs="Lucida Sans"/>
          <w:i/>
          <w:iCs/>
        </w:rPr>
        <w:tab/>
      </w:r>
      <w:r>
        <w:rPr>
          <w:rFonts w:cs="Lucida Sans"/>
          <w:i/>
          <w:iCs/>
        </w:rPr>
        <w:tab/>
      </w:r>
      <w:r>
        <w:rPr>
          <w:i/>
          <w:iCs/>
        </w:rPr>
        <w:t>“38.3.2</w:t>
      </w:r>
      <w:r>
        <w:rPr>
          <w:i/>
          <w:iCs/>
        </w:rPr>
        <w:tab/>
        <w:t>Scope</w:t>
      </w:r>
    </w:p>
    <w:p w14:paraId="49BBBFA1" w14:textId="77777777" w:rsidR="00F85E46" w:rsidRDefault="00F85E46" w:rsidP="00F85E46">
      <w:pPr>
        <w:pStyle w:val="SingleTxtG"/>
      </w:pPr>
      <w:r>
        <w:t>38.3.2.1</w:t>
      </w:r>
      <w:r>
        <w:tab/>
        <w:t xml:space="preserve">All </w:t>
      </w:r>
      <w:r>
        <w:rPr>
          <w:u w:val="single"/>
        </w:rPr>
        <w:t xml:space="preserve">lithium </w:t>
      </w:r>
      <w:r>
        <w:t xml:space="preserve">cell types shall be subjected to tests T.1 to T.6 and T.8. All non-rechargeable </w:t>
      </w:r>
      <w:r>
        <w:rPr>
          <w:u w:val="single"/>
        </w:rPr>
        <w:t>lithium</w:t>
      </w:r>
      <w:r>
        <w:t xml:space="preserve"> battery types, including those composed of previously tested cells, shall be subjected to tests T.1 to T.5. All rechargeable </w:t>
      </w:r>
      <w:r>
        <w:rPr>
          <w:u w:val="single"/>
        </w:rPr>
        <w:t xml:space="preserve">lithium </w:t>
      </w:r>
      <w:r>
        <w:t xml:space="preserve">battery types, including those composed of previously tested cells, shall be subjected to tests T.1 to T.5 and T.7. In addition, rechargeable single cell </w:t>
      </w:r>
      <w:r>
        <w:rPr>
          <w:u w:val="single"/>
        </w:rPr>
        <w:t>lithium</w:t>
      </w:r>
      <w:r>
        <w:t xml:space="preserve"> batteries with overcharge protection shall be subjected to test T.7. A component </w:t>
      </w:r>
      <w:r>
        <w:rPr>
          <w:u w:val="single"/>
        </w:rPr>
        <w:t xml:space="preserve">lithium </w:t>
      </w:r>
      <w:r>
        <w:t xml:space="preserve">cell that is not transported separately from the battery it is part of needs only to be tested according to tests T.6 and T.8. </w:t>
      </w:r>
      <w:r>
        <w:rPr>
          <w:rFonts w:eastAsia="Calibri"/>
        </w:rPr>
        <w:t xml:space="preserve">A component </w:t>
      </w:r>
      <w:r>
        <w:rPr>
          <w:rFonts w:eastAsia="Calibri"/>
          <w:u w:val="single"/>
        </w:rPr>
        <w:t xml:space="preserve">lithium </w:t>
      </w:r>
      <w:r>
        <w:rPr>
          <w:rFonts w:eastAsia="Calibri"/>
        </w:rPr>
        <w:t xml:space="preserve">cell that is transported separately from the battery shall be subjected to tests T.1 to T.6 and T.8. </w:t>
      </w:r>
      <w:r>
        <w:t xml:space="preserve">A </w:t>
      </w:r>
      <w:r>
        <w:rPr>
          <w:u w:val="single"/>
        </w:rPr>
        <w:t>lithium</w:t>
      </w:r>
      <w:r>
        <w:t xml:space="preserve"> cell or battery that is an integral part of the equipment it is intended to power that is transported only when installed in the equipment, may be tested in accordance with the applicable tests when installed in the equipment.”</w:t>
      </w:r>
    </w:p>
    <w:p w14:paraId="42B34E58" w14:textId="77777777" w:rsidR="00F85E46" w:rsidRDefault="00F85E46" w:rsidP="00F85E46">
      <w:pPr>
        <w:pStyle w:val="SingleTxtG"/>
      </w:pPr>
      <w:r>
        <w:t>“38.3.2.2</w:t>
      </w:r>
      <w:r>
        <w:tab/>
      </w:r>
      <w:r>
        <w:rPr>
          <w:u w:val="single"/>
        </w:rPr>
        <w:t xml:space="preserve">Sodium ion, </w:t>
      </w:r>
      <w:r>
        <w:rPr>
          <w:strike/>
        </w:rPr>
        <w:t>L</w:t>
      </w:r>
      <w:r>
        <w:rPr>
          <w:u w:val="single"/>
        </w:rPr>
        <w:t>l</w:t>
      </w:r>
      <w:r>
        <w:t>ithium metal and lithium ion cells and batteries shall be subjected to the tests, as required by special provisions 188 and 230 of Chapter 3.3 of the Model Regulations prior to the transport of a particular cell or battery type. Cells or batteries which differ from a tested type by:”</w:t>
      </w:r>
    </w:p>
    <w:p w14:paraId="73D14B0D" w14:textId="77777777" w:rsidR="00F85E46" w:rsidRDefault="00F85E46" w:rsidP="00F85E46">
      <w:pPr>
        <w:pStyle w:val="SingleTxtG"/>
      </w:pPr>
      <w:r>
        <w:t>“38.3.2.3</w:t>
      </w:r>
      <w:r>
        <w:tab/>
        <w:t>For the purposes of classification, the following definitions apply:</w:t>
      </w:r>
    </w:p>
    <w:p w14:paraId="3F391DB2" w14:textId="77777777" w:rsidR="00F85E46" w:rsidRDefault="00F85E46" w:rsidP="00F85E46">
      <w:pPr>
        <w:pStyle w:val="SingleTxtG"/>
      </w:pPr>
      <w:r>
        <w:rPr>
          <w:i/>
          <w:iCs/>
        </w:rPr>
        <w:t>Large battery</w:t>
      </w:r>
      <w:r>
        <w:t xml:space="preserve"> means a </w:t>
      </w:r>
      <w:r>
        <w:rPr>
          <w:strike/>
        </w:rPr>
        <w:t>lithium metal battery or lithium ion</w:t>
      </w:r>
      <w:r>
        <w:t xml:space="preserve"> battery with a gross mass of more than 12 kg.”</w:t>
      </w:r>
    </w:p>
    <w:p w14:paraId="0D3505C4" w14:textId="77777777" w:rsidR="00F85E46" w:rsidRDefault="00F85E46" w:rsidP="00F85E46">
      <w:pPr>
        <w:pStyle w:val="SingleTxtG"/>
      </w:pPr>
      <w:r>
        <w:tab/>
        <w:t>Introduce a new definition for Sodium ion cell or battery as follows:</w:t>
      </w:r>
    </w:p>
    <w:p w14:paraId="462AEA59" w14:textId="77777777" w:rsidR="00F85E46" w:rsidRDefault="00F85E46" w:rsidP="00F85E46">
      <w:pPr>
        <w:pStyle w:val="SingleTxtG"/>
      </w:pPr>
      <w:r>
        <w:rPr>
          <w:u w:val="single"/>
        </w:rPr>
        <w:t>“</w:t>
      </w:r>
      <w:r>
        <w:rPr>
          <w:i/>
          <w:u w:val="single"/>
        </w:rPr>
        <w:t>Sodium ion cell or battery</w:t>
      </w:r>
      <w:r>
        <w:rPr>
          <w:u w:val="single"/>
        </w:rPr>
        <w:t xml:space="preserve"> means a rechargeable electrochemical cell or battery where the positive and negative electrode are both intercalation or insertion compounds (intercalated sodium exists in an ionic or quasi-atomic form in the lattice of the electrode material) constructed with no metallic sodium (or sodium alloy) in either electrode and using an organic non-aqueous compound as electrolyte.”</w:t>
      </w:r>
    </w:p>
    <w:p w14:paraId="776D305F" w14:textId="185B1016" w:rsidR="00F85E46" w:rsidRDefault="00F85E46" w:rsidP="00F85E46">
      <w:pPr>
        <w:pStyle w:val="SingleTxtG"/>
      </w:pPr>
      <w:r>
        <w:rPr>
          <w:iCs/>
        </w:rPr>
        <w:t>“</w:t>
      </w:r>
      <w:r>
        <w:rPr>
          <w:i/>
          <w:iCs/>
        </w:rPr>
        <w:t>Small battery</w:t>
      </w:r>
      <w:r>
        <w:t xml:space="preserve"> means a </w:t>
      </w:r>
      <w:r>
        <w:rPr>
          <w:strike/>
        </w:rPr>
        <w:t>lithium metal battery or lithium ion</w:t>
      </w:r>
      <w:r>
        <w:t xml:space="preserve"> battery with a gross mass of not more than 12</w:t>
      </w:r>
      <w:r w:rsidR="005A38A0">
        <w:t xml:space="preserve"> </w:t>
      </w:r>
      <w:r>
        <w:t>kg.”</w:t>
      </w:r>
    </w:p>
    <w:p w14:paraId="32E596C3" w14:textId="7A48FE3E" w:rsidR="00F85E46" w:rsidRDefault="00F85E46" w:rsidP="00F85E46">
      <w:pPr>
        <w:pStyle w:val="SingleTxtG"/>
      </w:pPr>
      <w:r>
        <w:t>Introduce a new heading for sub section 38.3.3 as follows</w:t>
      </w:r>
      <w:r w:rsidR="00BA52A3">
        <w:t>:</w:t>
      </w:r>
    </w:p>
    <w:p w14:paraId="2CD58032" w14:textId="33811680" w:rsidR="00F85E46" w:rsidRDefault="00C4284C" w:rsidP="00F85E46">
      <w:pPr>
        <w:pStyle w:val="SingleTxtG"/>
      </w:pPr>
      <w:r>
        <w:rPr>
          <w:iCs/>
        </w:rPr>
        <w:t>“</w:t>
      </w:r>
      <w:r w:rsidR="00F85E46">
        <w:rPr>
          <w:b/>
          <w:bCs/>
          <w:u w:val="single"/>
        </w:rPr>
        <w:t>38.3.3</w:t>
      </w:r>
      <w:r w:rsidR="00BA52A3">
        <w:rPr>
          <w:b/>
          <w:bCs/>
          <w:u w:val="single"/>
        </w:rPr>
        <w:t xml:space="preserve"> N</w:t>
      </w:r>
      <w:r w:rsidR="00F85E46">
        <w:rPr>
          <w:b/>
          <w:bCs/>
          <w:u w:val="single"/>
        </w:rPr>
        <w:t>umber and condition of cells and batteries to be tested</w:t>
      </w:r>
    </w:p>
    <w:p w14:paraId="15A3D156" w14:textId="5D4E973E" w:rsidR="00F85E46" w:rsidRDefault="00F85E46" w:rsidP="00F85E46">
      <w:pPr>
        <w:pStyle w:val="SingleTxtG"/>
        <w:rPr>
          <w:u w:val="single"/>
        </w:rPr>
      </w:pPr>
      <w:r>
        <w:rPr>
          <w:u w:val="single"/>
        </w:rPr>
        <w:t>When a cell or</w:t>
      </w:r>
      <w:r w:rsidR="00CB381A">
        <w:rPr>
          <w:u w:val="single"/>
        </w:rPr>
        <w:t xml:space="preserve"> battery type has to be tested </w:t>
      </w:r>
      <w:r>
        <w:rPr>
          <w:u w:val="single"/>
        </w:rPr>
        <w:t>under this sub section, the number and condition of cells and batteries of each type to be tested are as follows</w:t>
      </w:r>
      <w:r w:rsidR="00BA52A3">
        <w:rPr>
          <w:u w:val="single"/>
        </w:rPr>
        <w:t>:</w:t>
      </w:r>
      <w:r w:rsidR="00C4284C">
        <w:t>”</w:t>
      </w:r>
    </w:p>
    <w:p w14:paraId="48A29B8B" w14:textId="77777777" w:rsidR="00F85E46" w:rsidRDefault="00F85E46" w:rsidP="00F85E46">
      <w:pPr>
        <w:pStyle w:val="SingleTxtG"/>
      </w:pPr>
      <w:r>
        <w:t>renumber the current 38.3.3 as</w:t>
      </w:r>
    </w:p>
    <w:p w14:paraId="21361264" w14:textId="20F12F35" w:rsidR="00F85E46" w:rsidRDefault="000A6BBA" w:rsidP="00F85E46">
      <w:pPr>
        <w:pStyle w:val="SingleTxtG"/>
      </w:pPr>
      <w:r>
        <w:rPr>
          <w:iCs/>
        </w:rPr>
        <w:t>“</w:t>
      </w:r>
      <w:r w:rsidR="00F85E46">
        <w:t>38.3.3.1 Testing of lithium cells and batteries</w:t>
      </w:r>
      <w:r>
        <w:t>”</w:t>
      </w:r>
    </w:p>
    <w:p w14:paraId="326C5993" w14:textId="38041BEA" w:rsidR="00F85E46" w:rsidRDefault="00F85E46" w:rsidP="00F85E46">
      <w:pPr>
        <w:pStyle w:val="SingleTxtG"/>
      </w:pPr>
      <w:r>
        <w:t>Modify the heading of (a) (b) (c) (d) (e) of the new 38.3.3.1 as follows</w:t>
      </w:r>
      <w:r w:rsidR="00E90749">
        <w:t>:</w:t>
      </w:r>
    </w:p>
    <w:p w14:paraId="01B52EAE" w14:textId="77777777" w:rsidR="00F85E46" w:rsidRDefault="00F85E46" w:rsidP="00F85E46">
      <w:pPr>
        <w:pStyle w:val="SingleTxtG"/>
        <w:ind w:left="1814" w:hanging="340"/>
      </w:pPr>
      <w:r>
        <w:t>“</w:t>
      </w:r>
      <w:r>
        <w:tab/>
        <w:t>(a)</w:t>
      </w:r>
      <w:r>
        <w:tab/>
        <w:t xml:space="preserve">When testing primary </w:t>
      </w:r>
      <w:r>
        <w:rPr>
          <w:u w:val="single"/>
        </w:rPr>
        <w:t xml:space="preserve">lithium </w:t>
      </w:r>
      <w:r>
        <w:t>cells and batteries under tests T.1 to T.5 the following shall be tested in the quantity indicated:”</w:t>
      </w:r>
    </w:p>
    <w:p w14:paraId="1ECC6742" w14:textId="77777777" w:rsidR="00F85E46" w:rsidRDefault="00F85E46" w:rsidP="00F85E46">
      <w:pPr>
        <w:pStyle w:val="SingleTxtG"/>
        <w:ind w:left="1814" w:hanging="340"/>
      </w:pPr>
      <w:r>
        <w:t>“</w:t>
      </w:r>
      <w:r>
        <w:tab/>
        <w:t>(b)</w:t>
      </w:r>
      <w:r>
        <w:tab/>
        <w:t xml:space="preserve">When testing rechargeable </w:t>
      </w:r>
      <w:r>
        <w:rPr>
          <w:u w:val="single"/>
        </w:rPr>
        <w:t xml:space="preserve">lithium </w:t>
      </w:r>
      <w:r>
        <w:t>cells and batteries under tests T.1 to T.5 the following shall be tested in the quantity indicated:”</w:t>
      </w:r>
    </w:p>
    <w:p w14:paraId="22A2229A" w14:textId="77777777" w:rsidR="00F85E46" w:rsidRDefault="00F85E46" w:rsidP="00F85E46">
      <w:pPr>
        <w:pStyle w:val="SingleTxtG"/>
        <w:ind w:left="1814" w:hanging="340"/>
      </w:pPr>
      <w:r>
        <w:t>“</w:t>
      </w:r>
      <w:r>
        <w:tab/>
        <w:t>(c)</w:t>
      </w:r>
      <w:r>
        <w:tab/>
        <w:t xml:space="preserve">When testing primary and rechargeable </w:t>
      </w:r>
      <w:r>
        <w:rPr>
          <w:u w:val="single"/>
        </w:rPr>
        <w:t xml:space="preserve">lithium </w:t>
      </w:r>
      <w:r>
        <w:t>cells under test T.6, the following shall be tested in the quantity indicated:”</w:t>
      </w:r>
    </w:p>
    <w:p w14:paraId="41162D56" w14:textId="77777777" w:rsidR="00F85E46" w:rsidRDefault="00F85E46" w:rsidP="00F85E46">
      <w:pPr>
        <w:pStyle w:val="SingleTxtG"/>
        <w:ind w:left="1814" w:hanging="340"/>
      </w:pPr>
      <w:r>
        <w:t>“</w:t>
      </w:r>
      <w:r>
        <w:tab/>
        <w:t>(d)</w:t>
      </w:r>
      <w:r>
        <w:tab/>
        <w:t xml:space="preserve">When testing rechargeable </w:t>
      </w:r>
      <w:r>
        <w:rPr>
          <w:u w:val="single"/>
        </w:rPr>
        <w:t xml:space="preserve">lithium </w:t>
      </w:r>
      <w:r>
        <w:t xml:space="preserve">batteries or rechargeable single cell </w:t>
      </w:r>
      <w:r>
        <w:rPr>
          <w:u w:val="single"/>
        </w:rPr>
        <w:t xml:space="preserve">lithium </w:t>
      </w:r>
      <w:r>
        <w:t>batteries under test T.7, the following shall be tested in the quantity indicated:”</w:t>
      </w:r>
    </w:p>
    <w:p w14:paraId="0AD60959" w14:textId="77777777" w:rsidR="00F85E46" w:rsidRDefault="00F85E46" w:rsidP="00F85E46">
      <w:pPr>
        <w:pStyle w:val="SingleTxtG"/>
        <w:ind w:left="1814" w:hanging="340"/>
      </w:pPr>
      <w:r>
        <w:t>“</w:t>
      </w:r>
      <w:r>
        <w:tab/>
        <w:t>(e)</w:t>
      </w:r>
      <w:r>
        <w:tab/>
        <w:t xml:space="preserve">When testing primary and rechargeable </w:t>
      </w:r>
      <w:r>
        <w:rPr>
          <w:u w:val="single"/>
        </w:rPr>
        <w:t xml:space="preserve">lithium </w:t>
      </w:r>
      <w:r>
        <w:t>cells and component cells under test T.8, the following shall be tested in the quantity indicated:”</w:t>
      </w:r>
    </w:p>
    <w:p w14:paraId="50314B49" w14:textId="77777777" w:rsidR="00F85E46" w:rsidRDefault="00F85E46" w:rsidP="00F85E46">
      <w:pPr>
        <w:pStyle w:val="SingleTxtG"/>
      </w:pPr>
      <w:r>
        <w:t>Insert the following new paragraph and sub-paragraphs:</w:t>
      </w:r>
    </w:p>
    <w:p w14:paraId="0E2212F4" w14:textId="7884E784" w:rsidR="00F85E46" w:rsidRDefault="00F85E46" w:rsidP="00F85E46">
      <w:pPr>
        <w:pStyle w:val="SingleTxtG"/>
      </w:pPr>
      <w:r>
        <w:t>“</w:t>
      </w:r>
      <w:r>
        <w:rPr>
          <w:u w:val="single"/>
        </w:rPr>
        <w:t>38.3.3.2</w:t>
      </w:r>
      <w:r>
        <w:rPr>
          <w:u w:val="single"/>
        </w:rPr>
        <w:tab/>
        <w:t>Testing of sodium ion cells and batteries:</w:t>
      </w:r>
    </w:p>
    <w:p w14:paraId="4C3DCF8A" w14:textId="6668CFCB" w:rsidR="00F85E46" w:rsidRDefault="00F85E46" w:rsidP="00F85E46">
      <w:pPr>
        <w:pStyle w:val="SingleTxtG"/>
        <w:ind w:left="2041"/>
        <w:rPr>
          <w:u w:val="single"/>
        </w:rPr>
      </w:pPr>
      <w:r>
        <w:rPr>
          <w:u w:val="single"/>
        </w:rPr>
        <w:t>(a)</w:t>
      </w:r>
      <w:r w:rsidR="00431788">
        <w:rPr>
          <w:u w:val="single"/>
        </w:rPr>
        <w:tab/>
      </w:r>
      <w:r>
        <w:rPr>
          <w:u w:val="single"/>
        </w:rPr>
        <w:tab/>
        <w:t>When testing rechargeable sodium ion cells and batteries under tests T.1 to T.5 the following shall be tested in the quantity indicated:</w:t>
      </w:r>
    </w:p>
    <w:p w14:paraId="7A4FC41C" w14:textId="77777777" w:rsidR="00F85E46" w:rsidRDefault="00F85E46" w:rsidP="00F85E46">
      <w:pPr>
        <w:pStyle w:val="SingleTxtG"/>
        <w:ind w:left="2665"/>
        <w:rPr>
          <w:u w:val="single"/>
        </w:rPr>
      </w:pPr>
      <w:r>
        <w:rPr>
          <w:u w:val="single"/>
        </w:rPr>
        <w:t>(i) three cells at first cycle, in fully charged states;</w:t>
      </w:r>
    </w:p>
    <w:p w14:paraId="61236459" w14:textId="77777777" w:rsidR="00F85E46" w:rsidRDefault="00F85E46" w:rsidP="00F85E46">
      <w:pPr>
        <w:pStyle w:val="SingleTxtG"/>
        <w:ind w:left="2665"/>
        <w:rPr>
          <w:u w:val="single"/>
        </w:rPr>
      </w:pPr>
      <w:r>
        <w:rPr>
          <w:u w:val="single"/>
        </w:rPr>
        <w:t>(ii) three cells after 25 cycles ending in fully charged states;</w:t>
      </w:r>
    </w:p>
    <w:p w14:paraId="25CDA60A" w14:textId="77777777" w:rsidR="00F85E46" w:rsidRDefault="00F85E46" w:rsidP="00F85E46">
      <w:pPr>
        <w:pStyle w:val="SingleTxtG"/>
        <w:ind w:left="2665"/>
        <w:rPr>
          <w:u w:val="single"/>
        </w:rPr>
      </w:pPr>
      <w:r>
        <w:rPr>
          <w:u w:val="single"/>
        </w:rPr>
        <w:t>(iii) three small batteries at first cycle, in fully charged states;</w:t>
      </w:r>
    </w:p>
    <w:p w14:paraId="5D67A333" w14:textId="77777777" w:rsidR="00F85E46" w:rsidRDefault="00F85E46" w:rsidP="00F85E46">
      <w:pPr>
        <w:pStyle w:val="SingleTxtG"/>
        <w:ind w:left="2665"/>
        <w:rPr>
          <w:u w:val="single"/>
        </w:rPr>
      </w:pPr>
      <w:r>
        <w:rPr>
          <w:u w:val="single"/>
        </w:rPr>
        <w:t>(iv) three small batteries after 25 cycles ending in fully charged states;</w:t>
      </w:r>
    </w:p>
    <w:p w14:paraId="6BECC600" w14:textId="77777777" w:rsidR="00F85E46" w:rsidRDefault="00F85E46" w:rsidP="00F85E46">
      <w:pPr>
        <w:pStyle w:val="SingleTxtG"/>
        <w:ind w:left="2665"/>
        <w:rPr>
          <w:u w:val="single"/>
        </w:rPr>
      </w:pPr>
      <w:r>
        <w:rPr>
          <w:u w:val="single"/>
        </w:rPr>
        <w:t>(v) two large batteries at first cycle, in fully charged states; and</w:t>
      </w:r>
    </w:p>
    <w:p w14:paraId="7574CC1B" w14:textId="77777777" w:rsidR="00F85E46" w:rsidRDefault="00F85E46" w:rsidP="00F85E46">
      <w:pPr>
        <w:pStyle w:val="SingleTxtG"/>
        <w:ind w:left="2665"/>
        <w:rPr>
          <w:u w:val="single"/>
        </w:rPr>
      </w:pPr>
      <w:r>
        <w:rPr>
          <w:u w:val="single"/>
        </w:rPr>
        <w:t>(vi) two large batteries after 25 cycles ending in fully charged states.</w:t>
      </w:r>
    </w:p>
    <w:p w14:paraId="1CC72D69" w14:textId="5DF88459" w:rsidR="00F85E46" w:rsidRDefault="00F85E46" w:rsidP="00F85E46">
      <w:pPr>
        <w:pStyle w:val="SingleTxtG"/>
        <w:ind w:left="2268"/>
        <w:rPr>
          <w:u w:val="single"/>
        </w:rPr>
      </w:pPr>
      <w:r>
        <w:rPr>
          <w:u w:val="single"/>
        </w:rPr>
        <w:t>(b)</w:t>
      </w:r>
      <w:r>
        <w:rPr>
          <w:u w:val="single"/>
        </w:rPr>
        <w:tab/>
        <w:t>When testing for component cells of rechargeable sodium ion batteries under test T.5, three cells at first cycle at 50 % of the design rated capacity and [three] cells after 25 cycles ending at 50 % of the design rated capacity.</w:t>
      </w:r>
    </w:p>
    <w:p w14:paraId="2025C387" w14:textId="21FA2FDD" w:rsidR="00F85E46" w:rsidRDefault="00F85E46" w:rsidP="00F85E46">
      <w:pPr>
        <w:pStyle w:val="SingleTxtG"/>
        <w:ind w:left="2268"/>
        <w:rPr>
          <w:u w:val="single"/>
        </w:rPr>
      </w:pPr>
      <w:r>
        <w:rPr>
          <w:u w:val="single"/>
        </w:rPr>
        <w:t>(c)</w:t>
      </w:r>
      <w:r>
        <w:rPr>
          <w:u w:val="single"/>
        </w:rPr>
        <w:tab/>
        <w:t>When testing rechargeable sodium ion cells or rechargeable single cell sodium ion batteries under test T.6, the following shall be tested in the quantity indicated:</w:t>
      </w:r>
    </w:p>
    <w:p w14:paraId="63CAD63A" w14:textId="77777777" w:rsidR="00F85E46" w:rsidRDefault="00F85E46" w:rsidP="00174987">
      <w:pPr>
        <w:pStyle w:val="Bullet1G"/>
        <w:numPr>
          <w:ilvl w:val="0"/>
          <w:numId w:val="0"/>
        </w:numPr>
        <w:ind w:left="2665"/>
        <w:rPr>
          <w:u w:val="single"/>
        </w:rPr>
      </w:pPr>
      <w:r>
        <w:rPr>
          <w:u w:val="single"/>
        </w:rPr>
        <w:t>(i) three cells or single cell batteries at first cycle, in fully charged states;</w:t>
      </w:r>
    </w:p>
    <w:p w14:paraId="77895425" w14:textId="77777777" w:rsidR="00F85E46" w:rsidRDefault="00F85E46" w:rsidP="00174987">
      <w:pPr>
        <w:pStyle w:val="Bullet1G"/>
        <w:numPr>
          <w:ilvl w:val="0"/>
          <w:numId w:val="0"/>
        </w:numPr>
        <w:ind w:left="2665"/>
        <w:rPr>
          <w:u w:val="single"/>
        </w:rPr>
      </w:pPr>
      <w:r>
        <w:rPr>
          <w:u w:val="single"/>
        </w:rPr>
        <w:t>(ii) three cells or single cell batteries after 25 cycles ending in fully charged states; and</w:t>
      </w:r>
    </w:p>
    <w:p w14:paraId="6A6E10EA" w14:textId="77777777" w:rsidR="00F85E46" w:rsidRDefault="00F85E46" w:rsidP="00174987">
      <w:pPr>
        <w:pStyle w:val="Bullet1G"/>
        <w:numPr>
          <w:ilvl w:val="0"/>
          <w:numId w:val="0"/>
        </w:numPr>
        <w:ind w:left="2665"/>
      </w:pPr>
      <w:r>
        <w:rPr>
          <w:u w:val="single"/>
        </w:rPr>
        <w:t>(iii) for component cells of rechargeable batteries, three cells at first cycle at 50 % of the design rated capacity and three cells after 25 cycles ending at 50</w:t>
      </w:r>
      <w:r>
        <w:rPr>
          <w:rFonts w:cs="Lucida Sans"/>
        </w:rPr>
        <w:t> </w:t>
      </w:r>
      <w:r>
        <w:t xml:space="preserve">% of the design rated </w:t>
      </w:r>
      <w:r>
        <w:rPr>
          <w:u w:val="single"/>
        </w:rPr>
        <w:t>capacity.</w:t>
      </w:r>
    </w:p>
    <w:p w14:paraId="1B8BDC6B" w14:textId="160AE97C" w:rsidR="00F85E46" w:rsidRDefault="00F85E46" w:rsidP="00F85E46">
      <w:pPr>
        <w:pStyle w:val="SingleTxtG"/>
        <w:ind w:left="2268"/>
        <w:rPr>
          <w:u w:val="single"/>
        </w:rPr>
      </w:pPr>
      <w:r>
        <w:rPr>
          <w:u w:val="single"/>
        </w:rPr>
        <w:t>(d)</w:t>
      </w:r>
      <w:r w:rsidR="00431788">
        <w:rPr>
          <w:u w:val="single"/>
        </w:rPr>
        <w:tab/>
      </w:r>
      <w:r>
        <w:rPr>
          <w:u w:val="single"/>
        </w:rPr>
        <w:t>When testing rechargeable sodium ion batteries or rechargeable single cell sodium ion batteries under test T.7, the following shall be tested in the quantity indicated:</w:t>
      </w:r>
    </w:p>
    <w:p w14:paraId="5F93AE90" w14:textId="77777777" w:rsidR="00F85E46" w:rsidRDefault="00F85E46" w:rsidP="00174987">
      <w:pPr>
        <w:pStyle w:val="Bullet1G"/>
        <w:numPr>
          <w:ilvl w:val="0"/>
          <w:numId w:val="0"/>
        </w:numPr>
        <w:ind w:left="2721"/>
        <w:rPr>
          <w:u w:val="single"/>
        </w:rPr>
      </w:pPr>
      <w:r>
        <w:rPr>
          <w:u w:val="single"/>
        </w:rPr>
        <w:t>(i) three single cell batteries at first cycle, in fully charged states;</w:t>
      </w:r>
    </w:p>
    <w:p w14:paraId="3F9CC545" w14:textId="77777777" w:rsidR="00F85E46" w:rsidRDefault="00F85E46" w:rsidP="00174987">
      <w:pPr>
        <w:pStyle w:val="Bullet1G"/>
        <w:numPr>
          <w:ilvl w:val="0"/>
          <w:numId w:val="0"/>
        </w:numPr>
        <w:ind w:left="2721"/>
        <w:rPr>
          <w:u w:val="single"/>
        </w:rPr>
      </w:pPr>
      <w:r>
        <w:rPr>
          <w:u w:val="single"/>
        </w:rPr>
        <w:t>(ii) three small batteries at first cycle, in fully charged states;</w:t>
      </w:r>
    </w:p>
    <w:p w14:paraId="7C48C4AD" w14:textId="77777777" w:rsidR="00F85E46" w:rsidRDefault="00F85E46" w:rsidP="00174987">
      <w:pPr>
        <w:pStyle w:val="Bullet1G"/>
        <w:numPr>
          <w:ilvl w:val="0"/>
          <w:numId w:val="0"/>
        </w:numPr>
        <w:ind w:left="2721"/>
        <w:rPr>
          <w:u w:val="single"/>
        </w:rPr>
      </w:pPr>
      <w:r>
        <w:rPr>
          <w:u w:val="single"/>
        </w:rPr>
        <w:t>(iii) three small batteries after 25 cycles ending in fully charged states;</w:t>
      </w:r>
    </w:p>
    <w:p w14:paraId="0EAE0E2C" w14:textId="2BA03231" w:rsidR="00F85E46" w:rsidRDefault="00F85E46" w:rsidP="00174987">
      <w:pPr>
        <w:pStyle w:val="Bullet1G"/>
        <w:numPr>
          <w:ilvl w:val="0"/>
          <w:numId w:val="0"/>
        </w:numPr>
        <w:ind w:left="2721"/>
        <w:rPr>
          <w:u w:val="single"/>
        </w:rPr>
      </w:pPr>
      <w:r>
        <w:rPr>
          <w:u w:val="single"/>
        </w:rPr>
        <w:t>(iv) two large batteries at first cycle, in fully charged states</w:t>
      </w:r>
      <w:r w:rsidR="006475CF">
        <w:rPr>
          <w:u w:val="single"/>
        </w:rPr>
        <w:t>;</w:t>
      </w:r>
    </w:p>
    <w:p w14:paraId="4662620F" w14:textId="09E830AE" w:rsidR="00F85E46" w:rsidRDefault="00F85E46" w:rsidP="00174987">
      <w:pPr>
        <w:pStyle w:val="Bullet1G"/>
        <w:numPr>
          <w:ilvl w:val="0"/>
          <w:numId w:val="0"/>
        </w:numPr>
        <w:ind w:left="2721"/>
        <w:rPr>
          <w:u w:val="single"/>
        </w:rPr>
      </w:pPr>
      <w:r>
        <w:rPr>
          <w:u w:val="single"/>
        </w:rPr>
        <w:t>(v)</w:t>
      </w:r>
      <w:r w:rsidR="006475CF">
        <w:rPr>
          <w:u w:val="single"/>
        </w:rPr>
        <w:t xml:space="preserve"> </w:t>
      </w:r>
      <w:r>
        <w:rPr>
          <w:u w:val="single"/>
        </w:rPr>
        <w:t>two large batteries after 25 cycles ending in fully charged states</w:t>
      </w:r>
      <w:r w:rsidR="006475CF">
        <w:rPr>
          <w:u w:val="single"/>
        </w:rPr>
        <w:t>; and</w:t>
      </w:r>
    </w:p>
    <w:p w14:paraId="4758BC81" w14:textId="2ABEDDB8" w:rsidR="00F85E46" w:rsidRDefault="00F85E46" w:rsidP="00F85E46">
      <w:pPr>
        <w:pStyle w:val="SingleTxtG"/>
        <w:ind w:left="2721"/>
        <w:rPr>
          <w:u w:val="single"/>
        </w:rPr>
      </w:pPr>
      <w:r>
        <w:rPr>
          <w:u w:val="single"/>
        </w:rPr>
        <w:t xml:space="preserve">(vi) </w:t>
      </w:r>
      <w:r w:rsidR="00E90CB7">
        <w:rPr>
          <w:u w:val="single"/>
        </w:rPr>
        <w:t>b</w:t>
      </w:r>
      <w:r>
        <w:rPr>
          <w:u w:val="single"/>
        </w:rPr>
        <w:t>atteries or single cell batteries not equipped with battery overcharge protection that are designed for use only as a component in another battery or in equipment, which affords such protection, are not subject to the requirements of this test.</w:t>
      </w:r>
    </w:p>
    <w:p w14:paraId="32447FA6" w14:textId="3BABF65D" w:rsidR="00F85E46" w:rsidRDefault="00F85E46" w:rsidP="00F85E46">
      <w:pPr>
        <w:pStyle w:val="SingleTxtG"/>
        <w:ind w:left="2268"/>
      </w:pPr>
      <w:r>
        <w:rPr>
          <w:u w:val="single"/>
        </w:rPr>
        <w:t>(e)</w:t>
      </w:r>
      <w:r w:rsidR="00431788">
        <w:rPr>
          <w:u w:val="single"/>
        </w:rPr>
        <w:tab/>
      </w:r>
      <w:r>
        <w:rPr>
          <w:u w:val="single"/>
        </w:rPr>
        <w:t xml:space="preserve">When testing a fully charged sodium ion battery assembly, with a Watt-hour rating of not more than 6 200 Wh, </w:t>
      </w:r>
      <w:r>
        <w:rPr>
          <w:rFonts w:eastAsia="Calibri"/>
          <w:u w:val="single"/>
        </w:rPr>
        <w:t xml:space="preserve">that is assembled from batteries </w:t>
      </w:r>
      <w:r>
        <w:rPr>
          <w:u w:val="single"/>
        </w:rPr>
        <w:t xml:space="preserve">that have passed all applicable tests, one </w:t>
      </w:r>
      <w:r>
        <w:rPr>
          <w:rFonts w:eastAsia="Calibri"/>
          <w:u w:val="single"/>
        </w:rPr>
        <w:t>assembled battery</w:t>
      </w:r>
      <w:r>
        <w:rPr>
          <w:u w:val="single"/>
        </w:rPr>
        <w:t xml:space="preserve"> in a fully charged state shall be tested under tests T.3, T.4 and T.5, and, in addition, test T.7 in the case of a rechargeable battery.</w:t>
      </w:r>
    </w:p>
    <w:p w14:paraId="08E1D488" w14:textId="4F173017" w:rsidR="00F85E46" w:rsidRDefault="00F85E46" w:rsidP="00F85E46">
      <w:pPr>
        <w:pStyle w:val="SingleTxtG"/>
        <w:ind w:left="2268"/>
      </w:pPr>
      <w:r>
        <w:rPr>
          <w:bCs/>
          <w:u w:val="single"/>
        </w:rPr>
        <w:t>(f)</w:t>
      </w:r>
      <w:r w:rsidR="00431788">
        <w:rPr>
          <w:bCs/>
          <w:u w:val="single"/>
        </w:rPr>
        <w:tab/>
      </w:r>
      <w:r>
        <w:rPr>
          <w:bCs/>
          <w:u w:val="single"/>
        </w:rPr>
        <w:t xml:space="preserve">When sodium ion batteries that have passed all applicable tests are electrically connected to form a fully charged battery, </w:t>
      </w:r>
      <w:r>
        <w:rPr>
          <w:u w:val="single"/>
        </w:rPr>
        <w:t xml:space="preserve">with a Watt-hour rating of more than 6 200 Wh, </w:t>
      </w:r>
      <w:r>
        <w:rPr>
          <w:bCs/>
          <w:u w:val="single"/>
        </w:rPr>
        <w:t>the assembled battery does not need to be tested if the assembled battery is of a type that has been verified as preventing:</w:t>
      </w:r>
    </w:p>
    <w:p w14:paraId="5AA314FC" w14:textId="77777777" w:rsidR="00F85E46" w:rsidRDefault="00F85E46" w:rsidP="00F85E46">
      <w:pPr>
        <w:pStyle w:val="SingleTxtG"/>
        <w:ind w:left="2835"/>
        <w:rPr>
          <w:u w:val="single"/>
        </w:rPr>
      </w:pPr>
      <w:r>
        <w:rPr>
          <w:u w:val="single"/>
        </w:rPr>
        <w:t>(i)</w:t>
      </w:r>
      <w:r>
        <w:rPr>
          <w:u w:val="single"/>
        </w:rPr>
        <w:tab/>
        <w:t>Overcharge;</w:t>
      </w:r>
    </w:p>
    <w:p w14:paraId="3D68EE80" w14:textId="77777777" w:rsidR="00F85E46" w:rsidRDefault="00F85E46" w:rsidP="00F85E46">
      <w:pPr>
        <w:pStyle w:val="SingleTxtG"/>
        <w:ind w:left="2835"/>
        <w:rPr>
          <w:u w:val="single"/>
        </w:rPr>
      </w:pPr>
      <w:r>
        <w:rPr>
          <w:u w:val="single"/>
        </w:rPr>
        <w:t>(ii)</w:t>
      </w:r>
      <w:r>
        <w:rPr>
          <w:u w:val="single"/>
        </w:rPr>
        <w:tab/>
        <w:t>Short circuits; and</w:t>
      </w:r>
    </w:p>
    <w:p w14:paraId="7D926E00" w14:textId="77777777" w:rsidR="00F85E46" w:rsidRDefault="00F85E46" w:rsidP="00F85E46">
      <w:pPr>
        <w:pStyle w:val="SingleTxtG"/>
        <w:ind w:left="2835"/>
        <w:rPr>
          <w:u w:val="single"/>
        </w:rPr>
      </w:pPr>
      <w:r>
        <w:rPr>
          <w:u w:val="single"/>
        </w:rPr>
        <w:t>(iii)</w:t>
      </w:r>
      <w:r>
        <w:rPr>
          <w:u w:val="single"/>
        </w:rPr>
        <w:tab/>
        <w:t>Over discharge between the batteries.”</w:t>
      </w:r>
    </w:p>
    <w:p w14:paraId="2312CE05" w14:textId="05010326" w:rsidR="00F85E46" w:rsidRDefault="00F85E46" w:rsidP="00F85E46">
      <w:pPr>
        <w:pStyle w:val="MBodyTxt"/>
        <w:rPr>
          <w:rFonts w:hint="eastAsia"/>
        </w:rPr>
      </w:pPr>
      <w:r>
        <w:tab/>
        <w:t>Renumber existing 38.3.3.1 as 38.3.3.3</w:t>
      </w:r>
      <w:r w:rsidR="007D56FE">
        <w:t>:</w:t>
      </w:r>
    </w:p>
    <w:p w14:paraId="23765F2C" w14:textId="1808451F" w:rsidR="00F85E46" w:rsidRDefault="00F85E46" w:rsidP="00DE431C">
      <w:pPr>
        <w:pStyle w:val="MBodyTxt"/>
        <w:tabs>
          <w:tab w:val="clear" w:pos="1418"/>
          <w:tab w:val="left" w:pos="2410"/>
          <w:tab w:val="left" w:pos="4298"/>
        </w:tabs>
        <w:ind w:left="1418" w:hanging="1418"/>
        <w:rPr>
          <w:rFonts w:hint="eastAsia"/>
        </w:rPr>
      </w:pPr>
      <w:r>
        <w:tab/>
        <w:t>“38.3.3.</w:t>
      </w:r>
      <w:r>
        <w:rPr>
          <w:strike/>
        </w:rPr>
        <w:t>1</w:t>
      </w:r>
      <w:r>
        <w:rPr>
          <w:u w:val="single"/>
        </w:rPr>
        <w:t>3</w:t>
      </w:r>
      <w:r w:rsidR="005C504B">
        <w:rPr>
          <w:u w:val="single"/>
        </w:rPr>
        <w:tab/>
      </w:r>
      <w:r>
        <w:t>Provisions 38.3.2.1</w:t>
      </w:r>
      <w:r>
        <w:rPr>
          <w:u w:val="single"/>
        </w:rPr>
        <w:t>,</w:t>
      </w:r>
      <w:r>
        <w:rPr>
          <w:strike/>
        </w:rPr>
        <w:t xml:space="preserve"> and</w:t>
      </w:r>
      <w:r>
        <w:rPr>
          <w:u w:val="single"/>
        </w:rPr>
        <w:t xml:space="preserve"> 38.3.3.1 and 38.3.3.2</w:t>
      </w:r>
      <w:r>
        <w:t xml:space="preserve"> are summarized in the following table</w:t>
      </w:r>
      <w:r>
        <w:rPr>
          <w:u w:val="single"/>
        </w:rPr>
        <w:t>s</w:t>
      </w:r>
      <w:r>
        <w:t>.</w:t>
      </w:r>
    </w:p>
    <w:p w14:paraId="0F2DEE28" w14:textId="29D52CCB" w:rsidR="00F85E46" w:rsidRDefault="00F85E46" w:rsidP="00F85E46">
      <w:pPr>
        <w:pStyle w:val="MTabHead"/>
        <w:spacing w:after="160"/>
        <w:jc w:val="left"/>
        <w:rPr>
          <w:rFonts w:hint="eastAsia"/>
        </w:rPr>
      </w:pPr>
      <w:r>
        <w:tab/>
      </w:r>
      <w:r w:rsidR="003E6D59">
        <w:t>“</w:t>
      </w:r>
      <w:r>
        <w:t xml:space="preserve">Table 38.3.2: Summary table of required tests for </w:t>
      </w:r>
      <w:r>
        <w:rPr>
          <w:u w:val="single"/>
        </w:rPr>
        <w:t xml:space="preserve">lithium </w:t>
      </w:r>
      <w:r>
        <w:t>primary cells and batteries”</w:t>
      </w:r>
    </w:p>
    <w:p w14:paraId="70163FD5" w14:textId="77777777" w:rsidR="00F85E46" w:rsidRDefault="00F85E46" w:rsidP="00F85E46">
      <w:pPr>
        <w:pStyle w:val="MTabHead"/>
        <w:jc w:val="left"/>
        <w:rPr>
          <w:rFonts w:hint="eastAsia"/>
        </w:rPr>
      </w:pPr>
      <w:r>
        <w:tab/>
        <w:t xml:space="preserve">“Table 38.3.3: Summary table of required tests for </w:t>
      </w:r>
      <w:r>
        <w:rPr>
          <w:u w:val="single"/>
        </w:rPr>
        <w:t xml:space="preserve">lithium </w:t>
      </w:r>
      <w:r>
        <w:t>rechargeable cells and batteries”</w:t>
      </w:r>
    </w:p>
    <w:p w14:paraId="209BBD46" w14:textId="77777777" w:rsidR="00F85E46" w:rsidRDefault="00F85E46" w:rsidP="00F85E46">
      <w:pPr>
        <w:pStyle w:val="MBodyTxt"/>
        <w:rPr>
          <w:rFonts w:hint="eastAsia"/>
        </w:rPr>
      </w:pPr>
      <w:r>
        <w:tab/>
        <w:t>Insert a new table in 38.3.3.2 as follows:</w:t>
      </w:r>
    </w:p>
    <w:p w14:paraId="11B8F9AE" w14:textId="77777777" w:rsidR="00F85E46" w:rsidRPr="00A22E0C" w:rsidRDefault="00F85E46" w:rsidP="00F85E46">
      <w:pPr>
        <w:pStyle w:val="MTabHead"/>
        <w:rPr>
          <w:rFonts w:hint="eastAsia"/>
        </w:rPr>
      </w:pPr>
      <w:r w:rsidRPr="00A22E0C">
        <w:t>“</w:t>
      </w:r>
      <w:r w:rsidRPr="00A22E0C">
        <w:rPr>
          <w:u w:val="single"/>
        </w:rPr>
        <w:t>Table 38.3.4: Summary table of required tests for sodium ion rechargeable cells and batteries</w:t>
      </w:r>
    </w:p>
    <w:tbl>
      <w:tblPr>
        <w:tblW w:w="96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495"/>
        <w:gridCol w:w="2858"/>
        <w:gridCol w:w="600"/>
        <w:gridCol w:w="599"/>
        <w:gridCol w:w="600"/>
        <w:gridCol w:w="533"/>
        <w:gridCol w:w="523"/>
        <w:gridCol w:w="596"/>
        <w:gridCol w:w="583"/>
        <w:gridCol w:w="581"/>
        <w:gridCol w:w="683"/>
      </w:tblGrid>
      <w:tr w:rsidR="00F85E46" w:rsidRPr="00A22E0C" w14:paraId="798F4DAB" w14:textId="77777777" w:rsidTr="00676595">
        <w:trPr>
          <w:trHeight w:val="336"/>
        </w:trPr>
        <w:tc>
          <w:tcPr>
            <w:tcW w:w="9651" w:type="dxa"/>
            <w:gridSpan w:val="11"/>
            <w:tcBorders>
              <w:top w:val="single" w:sz="4" w:space="0" w:color="000000"/>
              <w:left w:val="single" w:sz="4" w:space="0" w:color="000000"/>
              <w:bottom w:val="single" w:sz="4" w:space="0" w:color="000000"/>
              <w:right w:val="single" w:sz="4" w:space="0" w:color="000000"/>
            </w:tcBorders>
            <w:shd w:val="clear" w:color="auto" w:fill="auto"/>
            <w:vAlign w:val="bottom"/>
          </w:tcPr>
          <w:p w14:paraId="004F3420" w14:textId="77777777" w:rsidR="00F85E46" w:rsidRPr="00A22E0C" w:rsidRDefault="00F85E46" w:rsidP="00676595">
            <w:pPr>
              <w:pStyle w:val="Standard"/>
              <w:jc w:val="center"/>
              <w:rPr>
                <w:rFonts w:eastAsia="Times New Roman" w:cs="Times New Roman"/>
                <w:b/>
                <w:sz w:val="20"/>
                <w:szCs w:val="20"/>
                <w:lang w:val="en-GB" w:eastAsia="fr-FR"/>
              </w:rPr>
            </w:pPr>
            <w:r w:rsidRPr="00A22E0C">
              <w:rPr>
                <w:rFonts w:eastAsia="Times New Roman" w:cs="Times New Roman"/>
                <w:b/>
                <w:sz w:val="20"/>
                <w:szCs w:val="20"/>
                <w:lang w:val="en-GB" w:eastAsia="fr-FR"/>
              </w:rPr>
              <w:t>Rechargeable cells and batteries</w:t>
            </w:r>
          </w:p>
        </w:tc>
      </w:tr>
      <w:tr w:rsidR="00F85E46" w:rsidRPr="00A22E0C" w14:paraId="125E461E" w14:textId="77777777" w:rsidTr="00676595">
        <w:trPr>
          <w:trHeight w:val="324"/>
        </w:trPr>
        <w:tc>
          <w:tcPr>
            <w:tcW w:w="1495" w:type="dxa"/>
            <w:tcBorders>
              <w:top w:val="single" w:sz="4" w:space="0" w:color="000000"/>
              <w:left w:val="single" w:sz="4" w:space="0" w:color="000000"/>
              <w:bottom w:val="single" w:sz="4" w:space="0" w:color="000000"/>
            </w:tcBorders>
            <w:shd w:val="clear" w:color="auto" w:fill="auto"/>
            <w:vAlign w:val="bottom"/>
          </w:tcPr>
          <w:p w14:paraId="09A3931C" w14:textId="77777777" w:rsidR="00F85E46" w:rsidRPr="00A22E0C" w:rsidRDefault="00F85E46" w:rsidP="00676595">
            <w:pPr>
              <w:pStyle w:val="Standard"/>
              <w:rPr>
                <w:rFonts w:eastAsia="Times New Roman" w:cs="Times New Roman"/>
                <w:sz w:val="20"/>
                <w:szCs w:val="20"/>
                <w:lang w:val="en-GB" w:eastAsia="fr-FR"/>
              </w:rPr>
            </w:pPr>
            <w:r w:rsidRPr="00A22E0C">
              <w:rPr>
                <w:rFonts w:eastAsia="Times New Roman" w:cs="Times New Roman"/>
                <w:sz w:val="20"/>
                <w:szCs w:val="20"/>
                <w:lang w:val="en-GB" w:eastAsia="fr-FR"/>
              </w:rPr>
              <w:t> </w:t>
            </w:r>
          </w:p>
        </w:tc>
        <w:tc>
          <w:tcPr>
            <w:tcW w:w="2858" w:type="dxa"/>
            <w:tcBorders>
              <w:top w:val="single" w:sz="4" w:space="0" w:color="000000"/>
              <w:left w:val="single" w:sz="4" w:space="0" w:color="000000"/>
              <w:bottom w:val="single" w:sz="4" w:space="0" w:color="000000"/>
            </w:tcBorders>
            <w:shd w:val="clear" w:color="auto" w:fill="auto"/>
            <w:vAlign w:val="bottom"/>
          </w:tcPr>
          <w:p w14:paraId="634F4FF1" w14:textId="77777777" w:rsidR="00F85E46" w:rsidRPr="00A22E0C" w:rsidRDefault="00F85E46" w:rsidP="00676595">
            <w:pPr>
              <w:pStyle w:val="Standard"/>
              <w:rPr>
                <w:rFonts w:eastAsia="Times New Roman" w:cs="Times New Roman"/>
                <w:sz w:val="20"/>
                <w:szCs w:val="20"/>
                <w:lang w:val="en-GB" w:eastAsia="fr-FR"/>
              </w:rPr>
            </w:pPr>
            <w:r w:rsidRPr="00A22E0C">
              <w:rPr>
                <w:rFonts w:eastAsia="Times New Roman" w:cs="Times New Roman"/>
                <w:sz w:val="20"/>
                <w:szCs w:val="20"/>
                <w:lang w:val="en-GB" w:eastAsia="fr-FR"/>
              </w:rPr>
              <w:t> </w:t>
            </w:r>
          </w:p>
        </w:tc>
        <w:tc>
          <w:tcPr>
            <w:tcW w:w="600" w:type="dxa"/>
            <w:tcBorders>
              <w:top w:val="single" w:sz="4" w:space="0" w:color="000000"/>
              <w:left w:val="single" w:sz="4" w:space="0" w:color="000000"/>
              <w:bottom w:val="single" w:sz="4" w:space="0" w:color="000000"/>
            </w:tcBorders>
            <w:shd w:val="clear" w:color="auto" w:fill="auto"/>
            <w:vAlign w:val="bottom"/>
          </w:tcPr>
          <w:p w14:paraId="74BAC849" w14:textId="77777777" w:rsidR="00F85E46" w:rsidRPr="00A22E0C" w:rsidRDefault="00F85E46" w:rsidP="00676595">
            <w:pPr>
              <w:pStyle w:val="Standard"/>
              <w:rPr>
                <w:rFonts w:eastAsia="Times New Roman" w:cs="Times New Roman"/>
                <w:sz w:val="20"/>
                <w:szCs w:val="20"/>
                <w:lang w:val="en-GB" w:eastAsia="fr-FR"/>
              </w:rPr>
            </w:pPr>
            <w:r w:rsidRPr="00A22E0C">
              <w:rPr>
                <w:rFonts w:eastAsia="Times New Roman" w:cs="Times New Roman"/>
                <w:sz w:val="20"/>
                <w:szCs w:val="20"/>
                <w:lang w:val="en-GB" w:eastAsia="fr-FR"/>
              </w:rPr>
              <w:t>T.1</w:t>
            </w:r>
          </w:p>
        </w:tc>
        <w:tc>
          <w:tcPr>
            <w:tcW w:w="599" w:type="dxa"/>
            <w:tcBorders>
              <w:top w:val="single" w:sz="4" w:space="0" w:color="000000"/>
              <w:left w:val="single" w:sz="4" w:space="0" w:color="000000"/>
              <w:bottom w:val="single" w:sz="4" w:space="0" w:color="000000"/>
            </w:tcBorders>
            <w:shd w:val="clear" w:color="auto" w:fill="auto"/>
            <w:vAlign w:val="bottom"/>
          </w:tcPr>
          <w:p w14:paraId="3CA27C66" w14:textId="77777777" w:rsidR="00F85E46" w:rsidRPr="00A22E0C" w:rsidRDefault="00F85E46" w:rsidP="00676595">
            <w:pPr>
              <w:pStyle w:val="Standard"/>
              <w:rPr>
                <w:rFonts w:eastAsia="Times New Roman" w:cs="Times New Roman"/>
                <w:sz w:val="20"/>
                <w:szCs w:val="20"/>
                <w:lang w:val="en-GB" w:eastAsia="fr-FR"/>
              </w:rPr>
            </w:pPr>
            <w:r w:rsidRPr="00A22E0C">
              <w:rPr>
                <w:rFonts w:eastAsia="Times New Roman" w:cs="Times New Roman"/>
                <w:sz w:val="20"/>
                <w:szCs w:val="20"/>
                <w:lang w:val="en-GB" w:eastAsia="fr-FR"/>
              </w:rPr>
              <w:t>T.2</w:t>
            </w:r>
          </w:p>
        </w:tc>
        <w:tc>
          <w:tcPr>
            <w:tcW w:w="600" w:type="dxa"/>
            <w:tcBorders>
              <w:top w:val="single" w:sz="4" w:space="0" w:color="000000"/>
              <w:left w:val="single" w:sz="4" w:space="0" w:color="000000"/>
              <w:bottom w:val="single" w:sz="4" w:space="0" w:color="000000"/>
            </w:tcBorders>
            <w:shd w:val="clear" w:color="auto" w:fill="auto"/>
            <w:vAlign w:val="bottom"/>
          </w:tcPr>
          <w:p w14:paraId="408B33D7" w14:textId="77777777" w:rsidR="00F85E46" w:rsidRPr="00A22E0C" w:rsidRDefault="00F85E46" w:rsidP="00676595">
            <w:pPr>
              <w:pStyle w:val="Standard"/>
              <w:rPr>
                <w:rFonts w:eastAsia="Times New Roman" w:cs="Times New Roman"/>
                <w:sz w:val="20"/>
                <w:szCs w:val="20"/>
                <w:lang w:val="en-GB" w:eastAsia="fr-FR"/>
              </w:rPr>
            </w:pPr>
            <w:r w:rsidRPr="00A22E0C">
              <w:rPr>
                <w:rFonts w:eastAsia="Times New Roman" w:cs="Times New Roman"/>
                <w:sz w:val="20"/>
                <w:szCs w:val="20"/>
                <w:lang w:val="en-GB" w:eastAsia="fr-FR"/>
              </w:rPr>
              <w:t>T.3</w:t>
            </w:r>
          </w:p>
        </w:tc>
        <w:tc>
          <w:tcPr>
            <w:tcW w:w="533" w:type="dxa"/>
            <w:tcBorders>
              <w:top w:val="single" w:sz="4" w:space="0" w:color="000000"/>
              <w:left w:val="single" w:sz="4" w:space="0" w:color="000000"/>
              <w:bottom w:val="single" w:sz="4" w:space="0" w:color="000000"/>
            </w:tcBorders>
            <w:shd w:val="clear" w:color="auto" w:fill="auto"/>
            <w:vAlign w:val="bottom"/>
          </w:tcPr>
          <w:p w14:paraId="37509054" w14:textId="77777777" w:rsidR="00F85E46" w:rsidRPr="00A22E0C" w:rsidRDefault="00F85E46" w:rsidP="00676595">
            <w:pPr>
              <w:pStyle w:val="Standard"/>
              <w:rPr>
                <w:rFonts w:eastAsia="Times New Roman" w:cs="Times New Roman"/>
                <w:sz w:val="20"/>
                <w:szCs w:val="20"/>
                <w:lang w:val="en-GB" w:eastAsia="fr-FR"/>
              </w:rPr>
            </w:pPr>
            <w:r w:rsidRPr="00A22E0C">
              <w:rPr>
                <w:rFonts w:eastAsia="Times New Roman" w:cs="Times New Roman"/>
                <w:sz w:val="20"/>
                <w:szCs w:val="20"/>
                <w:lang w:val="en-GB" w:eastAsia="fr-FR"/>
              </w:rPr>
              <w:t>T.4</w:t>
            </w:r>
          </w:p>
        </w:tc>
        <w:tc>
          <w:tcPr>
            <w:tcW w:w="523" w:type="dxa"/>
            <w:tcBorders>
              <w:top w:val="single" w:sz="4" w:space="0" w:color="000000"/>
              <w:left w:val="single" w:sz="4" w:space="0" w:color="000000"/>
              <w:bottom w:val="single" w:sz="4" w:space="0" w:color="000000"/>
            </w:tcBorders>
            <w:shd w:val="clear" w:color="auto" w:fill="auto"/>
            <w:vAlign w:val="bottom"/>
          </w:tcPr>
          <w:p w14:paraId="28BDBC76" w14:textId="77777777" w:rsidR="00F85E46" w:rsidRPr="00A22E0C" w:rsidRDefault="00F85E46" w:rsidP="00676595">
            <w:pPr>
              <w:pStyle w:val="Standard"/>
              <w:rPr>
                <w:rFonts w:eastAsia="Times New Roman" w:cs="Times New Roman"/>
                <w:sz w:val="20"/>
                <w:szCs w:val="20"/>
                <w:lang w:val="en-GB" w:eastAsia="fr-FR"/>
              </w:rPr>
            </w:pPr>
            <w:r w:rsidRPr="00A22E0C">
              <w:rPr>
                <w:rFonts w:eastAsia="Times New Roman" w:cs="Times New Roman"/>
                <w:sz w:val="20"/>
                <w:szCs w:val="20"/>
                <w:lang w:val="en-GB" w:eastAsia="fr-FR"/>
              </w:rPr>
              <w:t>T.5</w:t>
            </w:r>
          </w:p>
        </w:tc>
        <w:tc>
          <w:tcPr>
            <w:tcW w:w="596" w:type="dxa"/>
            <w:tcBorders>
              <w:top w:val="single" w:sz="4" w:space="0" w:color="000000"/>
              <w:left w:val="single" w:sz="4" w:space="0" w:color="000000"/>
              <w:bottom w:val="single" w:sz="4" w:space="0" w:color="000000"/>
            </w:tcBorders>
            <w:shd w:val="clear" w:color="auto" w:fill="auto"/>
            <w:vAlign w:val="bottom"/>
          </w:tcPr>
          <w:p w14:paraId="11F3BB75" w14:textId="77777777" w:rsidR="00F85E46" w:rsidRPr="00A22E0C" w:rsidRDefault="00F85E46" w:rsidP="00676595">
            <w:pPr>
              <w:pStyle w:val="Standard"/>
              <w:rPr>
                <w:rFonts w:eastAsia="Times New Roman" w:cs="Times New Roman"/>
                <w:sz w:val="20"/>
                <w:szCs w:val="20"/>
                <w:lang w:val="en-GB" w:eastAsia="fr-FR"/>
              </w:rPr>
            </w:pPr>
            <w:r w:rsidRPr="00A22E0C">
              <w:rPr>
                <w:rFonts w:eastAsia="Times New Roman" w:cs="Times New Roman"/>
                <w:sz w:val="20"/>
                <w:szCs w:val="20"/>
                <w:lang w:val="en-GB" w:eastAsia="fr-FR"/>
              </w:rPr>
              <w:t>T.6</w:t>
            </w:r>
          </w:p>
        </w:tc>
        <w:tc>
          <w:tcPr>
            <w:tcW w:w="583" w:type="dxa"/>
            <w:tcBorders>
              <w:top w:val="single" w:sz="4" w:space="0" w:color="000000"/>
              <w:left w:val="single" w:sz="4" w:space="0" w:color="000000"/>
              <w:bottom w:val="single" w:sz="4" w:space="0" w:color="000000"/>
            </w:tcBorders>
            <w:shd w:val="clear" w:color="auto" w:fill="auto"/>
            <w:vAlign w:val="bottom"/>
          </w:tcPr>
          <w:p w14:paraId="4E6B4102" w14:textId="77777777" w:rsidR="00F85E46" w:rsidRPr="00A22E0C" w:rsidRDefault="00F85E46" w:rsidP="00676595">
            <w:pPr>
              <w:pStyle w:val="Standard"/>
              <w:rPr>
                <w:rFonts w:hint="eastAsia"/>
                <w:lang w:val="en-GB"/>
              </w:rPr>
            </w:pPr>
            <w:r w:rsidRPr="00A22E0C">
              <w:rPr>
                <w:rFonts w:eastAsia="Times New Roman" w:cs="Times New Roman"/>
                <w:sz w:val="20"/>
                <w:szCs w:val="20"/>
                <w:lang w:val="en-GB" w:eastAsia="fr-FR"/>
              </w:rPr>
              <w:t>T.7</w:t>
            </w:r>
            <w:r w:rsidRPr="00A22E0C">
              <w:rPr>
                <w:rFonts w:eastAsia="Times New Roman" w:cs="Times New Roman"/>
                <w:sz w:val="20"/>
                <w:szCs w:val="20"/>
                <w:vertAlign w:val="superscript"/>
                <w:lang w:val="en-GB" w:eastAsia="fr-FR"/>
              </w:rPr>
              <w:t>a</w:t>
            </w:r>
          </w:p>
        </w:tc>
        <w:tc>
          <w:tcPr>
            <w:tcW w:w="581" w:type="dxa"/>
            <w:tcBorders>
              <w:top w:val="single" w:sz="4" w:space="0" w:color="000000"/>
              <w:left w:val="single" w:sz="4" w:space="0" w:color="000000"/>
              <w:bottom w:val="single" w:sz="4" w:space="0" w:color="000000"/>
            </w:tcBorders>
            <w:shd w:val="clear" w:color="auto" w:fill="auto"/>
            <w:vAlign w:val="bottom"/>
          </w:tcPr>
          <w:p w14:paraId="03A9CAD6" w14:textId="77777777" w:rsidR="00F85E46" w:rsidRPr="00A22E0C" w:rsidRDefault="00F85E46" w:rsidP="00676595">
            <w:pPr>
              <w:pStyle w:val="Standard"/>
              <w:rPr>
                <w:rFonts w:eastAsia="Times New Roman" w:cs="Times New Roman"/>
                <w:sz w:val="20"/>
                <w:szCs w:val="20"/>
                <w:lang w:val="en-GB" w:eastAsia="fr-FR"/>
              </w:rPr>
            </w:pPr>
            <w:r w:rsidRPr="00A22E0C">
              <w:rPr>
                <w:rFonts w:eastAsia="Times New Roman" w:cs="Times New Roman"/>
                <w:sz w:val="20"/>
                <w:szCs w:val="20"/>
                <w:lang w:val="en-GB" w:eastAsia="fr-FR"/>
              </w:rPr>
              <w:t>T.8</w:t>
            </w: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D736CE" w14:textId="77777777" w:rsidR="00F85E46" w:rsidRPr="00A22E0C" w:rsidRDefault="00F85E46" w:rsidP="00676595">
            <w:pPr>
              <w:pStyle w:val="Standard"/>
              <w:rPr>
                <w:rFonts w:hint="eastAsia"/>
                <w:lang w:val="en-GB"/>
              </w:rPr>
            </w:pPr>
            <w:r w:rsidRPr="00A22E0C">
              <w:rPr>
                <w:rFonts w:eastAsia="Times New Roman" w:cs="Times New Roman"/>
                <w:sz w:val="20"/>
                <w:szCs w:val="20"/>
                <w:lang w:val="en-GB" w:eastAsia="fr-FR"/>
              </w:rPr>
              <w:t>Sum</w:t>
            </w:r>
            <w:r w:rsidRPr="00A22E0C">
              <w:rPr>
                <w:rFonts w:eastAsia="Times New Roman" w:cs="Times New Roman"/>
                <w:sz w:val="20"/>
                <w:szCs w:val="20"/>
                <w:vertAlign w:val="superscript"/>
                <w:lang w:val="en-GB" w:eastAsia="fr-FR"/>
              </w:rPr>
              <w:t>d</w:t>
            </w:r>
          </w:p>
        </w:tc>
      </w:tr>
      <w:tr w:rsidR="00F85E46" w:rsidRPr="00A22E0C" w14:paraId="28D473ED" w14:textId="77777777" w:rsidTr="00676595">
        <w:trPr>
          <w:trHeight w:val="312"/>
        </w:trPr>
        <w:tc>
          <w:tcPr>
            <w:tcW w:w="1495" w:type="dxa"/>
            <w:vMerge w:val="restart"/>
            <w:tcBorders>
              <w:top w:val="single" w:sz="4" w:space="0" w:color="000000"/>
              <w:left w:val="single" w:sz="4" w:space="0" w:color="000000"/>
              <w:bottom w:val="single" w:sz="4" w:space="0" w:color="000000"/>
            </w:tcBorders>
            <w:shd w:val="clear" w:color="auto" w:fill="auto"/>
            <w:vAlign w:val="center"/>
          </w:tcPr>
          <w:p w14:paraId="45B4B91A" w14:textId="77777777" w:rsidR="00F85E46" w:rsidRPr="00A22E0C" w:rsidRDefault="00F85E46" w:rsidP="00676595">
            <w:pPr>
              <w:pStyle w:val="Standard"/>
              <w:rPr>
                <w:rFonts w:eastAsia="Times New Roman" w:cs="Times New Roman"/>
                <w:sz w:val="20"/>
                <w:szCs w:val="20"/>
                <w:lang w:val="en-GB" w:eastAsia="fr-FR"/>
              </w:rPr>
            </w:pPr>
            <w:r w:rsidRPr="00A22E0C">
              <w:rPr>
                <w:rFonts w:eastAsia="Times New Roman" w:cs="Times New Roman"/>
                <w:sz w:val="20"/>
                <w:szCs w:val="20"/>
                <w:lang w:val="en-GB" w:eastAsia="fr-FR"/>
              </w:rPr>
              <w:t>Cells not transported separately from a battery</w:t>
            </w:r>
          </w:p>
        </w:tc>
        <w:tc>
          <w:tcPr>
            <w:tcW w:w="2858" w:type="dxa"/>
            <w:tcBorders>
              <w:top w:val="single" w:sz="4" w:space="0" w:color="000000"/>
              <w:left w:val="single" w:sz="4" w:space="0" w:color="000000"/>
              <w:bottom w:val="single" w:sz="4" w:space="0" w:color="000000"/>
            </w:tcBorders>
            <w:shd w:val="clear" w:color="auto" w:fill="auto"/>
            <w:vAlign w:val="bottom"/>
          </w:tcPr>
          <w:p w14:paraId="412DE9DF" w14:textId="77777777" w:rsidR="00F85E46" w:rsidRPr="00A22E0C" w:rsidRDefault="00F85E46" w:rsidP="00676595">
            <w:pPr>
              <w:pStyle w:val="Standard"/>
              <w:jc w:val="both"/>
              <w:rPr>
                <w:rFonts w:eastAsia="Times New Roman" w:cs="Times New Roman"/>
                <w:sz w:val="20"/>
                <w:szCs w:val="20"/>
                <w:lang w:val="en-GB" w:eastAsia="fr-FR"/>
              </w:rPr>
            </w:pPr>
            <w:r w:rsidRPr="00A22E0C">
              <w:rPr>
                <w:rFonts w:eastAsia="Times New Roman" w:cs="Times New Roman"/>
                <w:sz w:val="20"/>
                <w:szCs w:val="20"/>
                <w:lang w:val="en-GB" w:eastAsia="fr-FR"/>
              </w:rPr>
              <w:t>first cycle, 50 % charged state</w:t>
            </w:r>
          </w:p>
        </w:tc>
        <w:tc>
          <w:tcPr>
            <w:tcW w:w="600" w:type="dxa"/>
            <w:tcBorders>
              <w:top w:val="single" w:sz="4" w:space="0" w:color="000000"/>
              <w:left w:val="single" w:sz="4" w:space="0" w:color="000000"/>
              <w:bottom w:val="single" w:sz="4" w:space="0" w:color="000000"/>
            </w:tcBorders>
            <w:shd w:val="clear" w:color="auto" w:fill="auto"/>
            <w:vAlign w:val="bottom"/>
          </w:tcPr>
          <w:p w14:paraId="1971D82C" w14:textId="77777777" w:rsidR="00F85E46" w:rsidRPr="00A22E0C" w:rsidRDefault="00F85E46" w:rsidP="00676595">
            <w:pPr>
              <w:pStyle w:val="Standard"/>
              <w:snapToGrid w:val="0"/>
              <w:jc w:val="center"/>
              <w:rPr>
                <w:rFonts w:ascii="Times New Roman" w:hAnsi="Times New Roman" w:cs="Times New Roman"/>
                <w:sz w:val="20"/>
                <w:szCs w:val="20"/>
                <w:lang w:val="en-GB" w:eastAsia="fr-FR"/>
              </w:rPr>
            </w:pPr>
          </w:p>
        </w:tc>
        <w:tc>
          <w:tcPr>
            <w:tcW w:w="599" w:type="dxa"/>
            <w:tcBorders>
              <w:top w:val="single" w:sz="4" w:space="0" w:color="000000"/>
              <w:left w:val="single" w:sz="4" w:space="0" w:color="000000"/>
              <w:bottom w:val="single" w:sz="4" w:space="0" w:color="000000"/>
            </w:tcBorders>
            <w:shd w:val="clear" w:color="auto" w:fill="auto"/>
            <w:vAlign w:val="bottom"/>
          </w:tcPr>
          <w:p w14:paraId="3F7EC063" w14:textId="77777777" w:rsidR="00F85E46" w:rsidRPr="00A22E0C" w:rsidRDefault="00F85E46" w:rsidP="00676595">
            <w:pPr>
              <w:pStyle w:val="Standard"/>
              <w:snapToGrid w:val="0"/>
              <w:jc w:val="center"/>
              <w:rPr>
                <w:rFonts w:ascii="Times New Roman" w:hAnsi="Times New Roman" w:cs="Times New Roman"/>
                <w:sz w:val="20"/>
                <w:szCs w:val="20"/>
                <w:lang w:val="en-GB" w:eastAsia="fr-FR"/>
              </w:rPr>
            </w:pPr>
          </w:p>
        </w:tc>
        <w:tc>
          <w:tcPr>
            <w:tcW w:w="600" w:type="dxa"/>
            <w:tcBorders>
              <w:top w:val="single" w:sz="4" w:space="0" w:color="000000"/>
              <w:left w:val="single" w:sz="4" w:space="0" w:color="000000"/>
              <w:bottom w:val="single" w:sz="4" w:space="0" w:color="000000"/>
            </w:tcBorders>
            <w:shd w:val="clear" w:color="auto" w:fill="auto"/>
            <w:vAlign w:val="bottom"/>
          </w:tcPr>
          <w:p w14:paraId="7CA77CD7" w14:textId="77777777" w:rsidR="00F85E46" w:rsidRPr="00A22E0C" w:rsidRDefault="00F85E46" w:rsidP="00676595">
            <w:pPr>
              <w:pStyle w:val="Standard"/>
              <w:snapToGrid w:val="0"/>
              <w:jc w:val="center"/>
              <w:rPr>
                <w:rFonts w:ascii="Times New Roman" w:hAnsi="Times New Roman" w:cs="Times New Roman"/>
                <w:sz w:val="20"/>
                <w:szCs w:val="20"/>
                <w:lang w:val="en-GB" w:eastAsia="fr-FR"/>
              </w:rPr>
            </w:pPr>
          </w:p>
        </w:tc>
        <w:tc>
          <w:tcPr>
            <w:tcW w:w="533" w:type="dxa"/>
            <w:tcBorders>
              <w:top w:val="single" w:sz="4" w:space="0" w:color="000000"/>
              <w:left w:val="single" w:sz="4" w:space="0" w:color="000000"/>
              <w:bottom w:val="single" w:sz="4" w:space="0" w:color="000000"/>
            </w:tcBorders>
            <w:shd w:val="clear" w:color="auto" w:fill="auto"/>
            <w:vAlign w:val="bottom"/>
          </w:tcPr>
          <w:p w14:paraId="406D2D01" w14:textId="77777777" w:rsidR="00F85E46" w:rsidRPr="00A22E0C" w:rsidRDefault="00F85E46" w:rsidP="00676595">
            <w:pPr>
              <w:pStyle w:val="Standard"/>
              <w:snapToGrid w:val="0"/>
              <w:jc w:val="center"/>
              <w:rPr>
                <w:rFonts w:ascii="Times New Roman" w:hAnsi="Times New Roman" w:cs="Times New Roman"/>
                <w:sz w:val="20"/>
                <w:szCs w:val="20"/>
                <w:lang w:val="en-GB" w:eastAsia="fr-FR"/>
              </w:rPr>
            </w:pPr>
          </w:p>
        </w:tc>
        <w:tc>
          <w:tcPr>
            <w:tcW w:w="523" w:type="dxa"/>
            <w:tcBorders>
              <w:top w:val="single" w:sz="4" w:space="0" w:color="000000"/>
              <w:left w:val="single" w:sz="4" w:space="0" w:color="000000"/>
              <w:bottom w:val="single" w:sz="4" w:space="0" w:color="000000"/>
            </w:tcBorders>
            <w:shd w:val="clear" w:color="auto" w:fill="auto"/>
            <w:vAlign w:val="bottom"/>
          </w:tcPr>
          <w:p w14:paraId="37646498" w14:textId="77777777" w:rsidR="00F85E46" w:rsidRPr="00A22E0C" w:rsidRDefault="00F85E46" w:rsidP="00676595">
            <w:pPr>
              <w:pStyle w:val="Standard"/>
              <w:jc w:val="center"/>
              <w:rPr>
                <w:rFonts w:eastAsia="Times New Roman" w:cs="Times New Roman"/>
                <w:sz w:val="20"/>
                <w:szCs w:val="20"/>
                <w:lang w:val="en-GB" w:eastAsia="fr-FR"/>
              </w:rPr>
            </w:pPr>
            <w:r w:rsidRPr="00A22E0C">
              <w:rPr>
                <w:rFonts w:eastAsia="Times New Roman" w:cs="Times New Roman"/>
                <w:sz w:val="20"/>
                <w:szCs w:val="20"/>
                <w:lang w:val="en-GB" w:eastAsia="fr-FR"/>
              </w:rPr>
              <w:t>3</w:t>
            </w:r>
          </w:p>
        </w:tc>
        <w:tc>
          <w:tcPr>
            <w:tcW w:w="596" w:type="dxa"/>
            <w:tcBorders>
              <w:top w:val="single" w:sz="4" w:space="0" w:color="000000"/>
              <w:left w:val="single" w:sz="4" w:space="0" w:color="000000"/>
              <w:bottom w:val="single" w:sz="4" w:space="0" w:color="000000"/>
            </w:tcBorders>
            <w:shd w:val="clear" w:color="auto" w:fill="auto"/>
            <w:vAlign w:val="bottom"/>
          </w:tcPr>
          <w:p w14:paraId="2173DDE8" w14:textId="77777777" w:rsidR="00F85E46" w:rsidRPr="00A22E0C" w:rsidRDefault="00F85E46" w:rsidP="00676595">
            <w:pPr>
              <w:pStyle w:val="Standard"/>
              <w:snapToGrid w:val="0"/>
              <w:jc w:val="center"/>
              <w:rPr>
                <w:rFonts w:ascii="Times New Roman" w:hAnsi="Times New Roman" w:cs="Times New Roman"/>
                <w:sz w:val="20"/>
                <w:szCs w:val="20"/>
                <w:lang w:val="en-GB" w:eastAsia="fr-FR"/>
              </w:rPr>
            </w:pPr>
          </w:p>
        </w:tc>
        <w:tc>
          <w:tcPr>
            <w:tcW w:w="583" w:type="dxa"/>
            <w:tcBorders>
              <w:top w:val="single" w:sz="4" w:space="0" w:color="000000"/>
              <w:left w:val="single" w:sz="4" w:space="0" w:color="000000"/>
              <w:bottom w:val="single" w:sz="4" w:space="0" w:color="000000"/>
            </w:tcBorders>
            <w:shd w:val="clear" w:color="auto" w:fill="auto"/>
            <w:vAlign w:val="bottom"/>
          </w:tcPr>
          <w:p w14:paraId="7514DA14" w14:textId="77777777" w:rsidR="00F85E46" w:rsidRPr="00A22E0C" w:rsidRDefault="00F85E46" w:rsidP="00676595">
            <w:pPr>
              <w:pStyle w:val="Standard"/>
              <w:snapToGrid w:val="0"/>
              <w:jc w:val="center"/>
              <w:rPr>
                <w:rFonts w:ascii="Times New Roman" w:hAnsi="Times New Roman" w:cs="Times New Roman"/>
                <w:sz w:val="20"/>
                <w:szCs w:val="20"/>
                <w:lang w:val="en-GB" w:eastAsia="fr-FR"/>
              </w:rPr>
            </w:pPr>
          </w:p>
        </w:tc>
        <w:tc>
          <w:tcPr>
            <w:tcW w:w="581" w:type="dxa"/>
            <w:tcBorders>
              <w:top w:val="single" w:sz="4" w:space="0" w:color="000000"/>
              <w:left w:val="single" w:sz="4" w:space="0" w:color="000000"/>
              <w:bottom w:val="single" w:sz="4" w:space="0" w:color="000000"/>
            </w:tcBorders>
            <w:shd w:val="clear" w:color="auto" w:fill="auto"/>
            <w:vAlign w:val="bottom"/>
          </w:tcPr>
          <w:p w14:paraId="3BFF3870" w14:textId="77777777" w:rsidR="00F85E46" w:rsidRPr="00A22E0C" w:rsidRDefault="00F85E46" w:rsidP="00676595">
            <w:pPr>
              <w:pStyle w:val="Standard"/>
              <w:snapToGrid w:val="0"/>
              <w:jc w:val="center"/>
              <w:rPr>
                <w:rFonts w:ascii="Times New Roman" w:hAnsi="Times New Roman" w:cs="Times New Roman"/>
                <w:sz w:val="20"/>
                <w:szCs w:val="20"/>
                <w:lang w:val="en-GB" w:eastAsia="fr-FR"/>
              </w:rPr>
            </w:pPr>
          </w:p>
        </w:tc>
        <w:tc>
          <w:tcPr>
            <w:tcW w:w="6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924EE3D" w14:textId="77777777" w:rsidR="00F85E46" w:rsidRPr="00A22E0C" w:rsidRDefault="00F85E46" w:rsidP="00676595">
            <w:pPr>
              <w:pStyle w:val="Standard"/>
              <w:jc w:val="center"/>
              <w:rPr>
                <w:rFonts w:eastAsia="Times New Roman" w:cs="Times New Roman"/>
                <w:sz w:val="20"/>
                <w:szCs w:val="20"/>
                <w:lang w:val="en-GB" w:eastAsia="fr-FR"/>
              </w:rPr>
            </w:pPr>
            <w:r w:rsidRPr="00A22E0C">
              <w:rPr>
                <w:rFonts w:eastAsia="Times New Roman" w:cs="Times New Roman"/>
                <w:sz w:val="20"/>
                <w:szCs w:val="20"/>
                <w:lang w:val="en-GB" w:eastAsia="fr-FR"/>
              </w:rPr>
              <w:t>6</w:t>
            </w:r>
          </w:p>
        </w:tc>
      </w:tr>
      <w:tr w:rsidR="00F85E46" w:rsidRPr="00A22E0C" w14:paraId="6BC2F06E" w14:textId="77777777" w:rsidTr="00676595">
        <w:trPr>
          <w:trHeight w:val="312"/>
        </w:trPr>
        <w:tc>
          <w:tcPr>
            <w:tcW w:w="1495" w:type="dxa"/>
            <w:vMerge/>
            <w:tcBorders>
              <w:top w:val="single" w:sz="4" w:space="0" w:color="000000"/>
              <w:left w:val="single" w:sz="4" w:space="0" w:color="000000"/>
              <w:bottom w:val="single" w:sz="4" w:space="0" w:color="000000"/>
            </w:tcBorders>
            <w:shd w:val="clear" w:color="auto" w:fill="auto"/>
            <w:vAlign w:val="center"/>
          </w:tcPr>
          <w:p w14:paraId="797015CC" w14:textId="77777777" w:rsidR="00F85E46" w:rsidRPr="00A22E0C" w:rsidRDefault="00F85E46" w:rsidP="00676595"/>
        </w:tc>
        <w:tc>
          <w:tcPr>
            <w:tcW w:w="2858" w:type="dxa"/>
            <w:tcBorders>
              <w:top w:val="single" w:sz="4" w:space="0" w:color="000000"/>
              <w:left w:val="single" w:sz="4" w:space="0" w:color="000000"/>
              <w:bottom w:val="single" w:sz="4" w:space="0" w:color="000000"/>
            </w:tcBorders>
            <w:shd w:val="clear" w:color="auto" w:fill="auto"/>
            <w:vAlign w:val="bottom"/>
          </w:tcPr>
          <w:p w14:paraId="5C0136FB" w14:textId="77777777" w:rsidR="00F85E46" w:rsidRPr="00A22E0C" w:rsidRDefault="00F85E46" w:rsidP="00676595">
            <w:pPr>
              <w:pStyle w:val="Standard"/>
              <w:jc w:val="both"/>
              <w:rPr>
                <w:rFonts w:eastAsia="Times New Roman" w:cs="Times New Roman"/>
                <w:sz w:val="20"/>
                <w:szCs w:val="20"/>
                <w:lang w:val="en-GB" w:eastAsia="fr-FR"/>
              </w:rPr>
            </w:pPr>
            <w:r w:rsidRPr="00A22E0C">
              <w:rPr>
                <w:rFonts w:eastAsia="Times New Roman" w:cs="Times New Roman"/>
                <w:sz w:val="20"/>
                <w:szCs w:val="20"/>
                <w:lang w:val="en-GB" w:eastAsia="fr-FR"/>
              </w:rPr>
              <w:t>25th cycle, 50 % charged state</w:t>
            </w:r>
          </w:p>
        </w:tc>
        <w:tc>
          <w:tcPr>
            <w:tcW w:w="600" w:type="dxa"/>
            <w:tcBorders>
              <w:top w:val="single" w:sz="4" w:space="0" w:color="000000"/>
              <w:left w:val="single" w:sz="4" w:space="0" w:color="000000"/>
              <w:bottom w:val="single" w:sz="4" w:space="0" w:color="000000"/>
            </w:tcBorders>
            <w:shd w:val="clear" w:color="auto" w:fill="auto"/>
            <w:vAlign w:val="bottom"/>
          </w:tcPr>
          <w:p w14:paraId="35A72F66" w14:textId="77777777" w:rsidR="00F85E46" w:rsidRPr="00A22E0C" w:rsidRDefault="00F85E46" w:rsidP="00676595">
            <w:pPr>
              <w:pStyle w:val="Standard"/>
              <w:snapToGrid w:val="0"/>
              <w:jc w:val="center"/>
              <w:rPr>
                <w:rFonts w:ascii="Times New Roman" w:hAnsi="Times New Roman" w:cs="Times New Roman"/>
                <w:sz w:val="20"/>
                <w:szCs w:val="20"/>
                <w:lang w:val="en-GB" w:eastAsia="fr-FR"/>
              </w:rPr>
            </w:pPr>
          </w:p>
        </w:tc>
        <w:tc>
          <w:tcPr>
            <w:tcW w:w="599" w:type="dxa"/>
            <w:tcBorders>
              <w:top w:val="single" w:sz="4" w:space="0" w:color="000000"/>
              <w:left w:val="single" w:sz="4" w:space="0" w:color="000000"/>
              <w:bottom w:val="single" w:sz="4" w:space="0" w:color="000000"/>
            </w:tcBorders>
            <w:shd w:val="clear" w:color="auto" w:fill="auto"/>
            <w:vAlign w:val="bottom"/>
          </w:tcPr>
          <w:p w14:paraId="69D22B54" w14:textId="77777777" w:rsidR="00F85E46" w:rsidRPr="00A22E0C" w:rsidRDefault="00F85E46" w:rsidP="00676595">
            <w:pPr>
              <w:pStyle w:val="Standard"/>
              <w:snapToGrid w:val="0"/>
              <w:jc w:val="center"/>
              <w:rPr>
                <w:rFonts w:ascii="Times New Roman" w:hAnsi="Times New Roman" w:cs="Times New Roman"/>
                <w:sz w:val="20"/>
                <w:szCs w:val="20"/>
                <w:lang w:val="en-GB" w:eastAsia="fr-FR"/>
              </w:rPr>
            </w:pPr>
          </w:p>
        </w:tc>
        <w:tc>
          <w:tcPr>
            <w:tcW w:w="600" w:type="dxa"/>
            <w:tcBorders>
              <w:top w:val="single" w:sz="4" w:space="0" w:color="000000"/>
              <w:left w:val="single" w:sz="4" w:space="0" w:color="000000"/>
              <w:bottom w:val="single" w:sz="4" w:space="0" w:color="000000"/>
            </w:tcBorders>
            <w:shd w:val="clear" w:color="auto" w:fill="auto"/>
            <w:vAlign w:val="bottom"/>
          </w:tcPr>
          <w:p w14:paraId="3ED51619" w14:textId="77777777" w:rsidR="00F85E46" w:rsidRPr="00A22E0C" w:rsidRDefault="00F85E46" w:rsidP="00676595">
            <w:pPr>
              <w:pStyle w:val="Standard"/>
              <w:snapToGrid w:val="0"/>
              <w:jc w:val="center"/>
              <w:rPr>
                <w:rFonts w:ascii="Times New Roman" w:hAnsi="Times New Roman" w:cs="Times New Roman"/>
                <w:sz w:val="20"/>
                <w:szCs w:val="20"/>
                <w:lang w:val="en-GB" w:eastAsia="fr-FR"/>
              </w:rPr>
            </w:pPr>
          </w:p>
        </w:tc>
        <w:tc>
          <w:tcPr>
            <w:tcW w:w="533" w:type="dxa"/>
            <w:tcBorders>
              <w:top w:val="single" w:sz="4" w:space="0" w:color="000000"/>
              <w:left w:val="single" w:sz="4" w:space="0" w:color="000000"/>
              <w:bottom w:val="single" w:sz="4" w:space="0" w:color="000000"/>
            </w:tcBorders>
            <w:shd w:val="clear" w:color="auto" w:fill="auto"/>
            <w:vAlign w:val="bottom"/>
          </w:tcPr>
          <w:p w14:paraId="0FBD9C18" w14:textId="77777777" w:rsidR="00F85E46" w:rsidRPr="00A22E0C" w:rsidRDefault="00F85E46" w:rsidP="00676595">
            <w:pPr>
              <w:pStyle w:val="Standard"/>
              <w:snapToGrid w:val="0"/>
              <w:jc w:val="center"/>
              <w:rPr>
                <w:rFonts w:ascii="Times New Roman" w:hAnsi="Times New Roman" w:cs="Times New Roman"/>
                <w:sz w:val="20"/>
                <w:szCs w:val="20"/>
                <w:lang w:val="en-GB" w:eastAsia="fr-FR"/>
              </w:rPr>
            </w:pPr>
          </w:p>
        </w:tc>
        <w:tc>
          <w:tcPr>
            <w:tcW w:w="523" w:type="dxa"/>
            <w:tcBorders>
              <w:top w:val="single" w:sz="4" w:space="0" w:color="000000"/>
              <w:left w:val="single" w:sz="4" w:space="0" w:color="000000"/>
              <w:bottom w:val="single" w:sz="4" w:space="0" w:color="000000"/>
            </w:tcBorders>
            <w:shd w:val="clear" w:color="auto" w:fill="auto"/>
            <w:vAlign w:val="bottom"/>
          </w:tcPr>
          <w:p w14:paraId="781A047B" w14:textId="77777777" w:rsidR="00F85E46" w:rsidRPr="00A22E0C" w:rsidRDefault="00F85E46" w:rsidP="00676595">
            <w:pPr>
              <w:pStyle w:val="Standard"/>
              <w:jc w:val="center"/>
              <w:rPr>
                <w:rFonts w:eastAsia="Times New Roman" w:cs="Times New Roman"/>
                <w:sz w:val="20"/>
                <w:szCs w:val="20"/>
                <w:lang w:val="en-GB" w:eastAsia="fr-FR"/>
              </w:rPr>
            </w:pPr>
            <w:r w:rsidRPr="00A22E0C">
              <w:rPr>
                <w:rFonts w:eastAsia="Times New Roman" w:cs="Times New Roman"/>
                <w:sz w:val="20"/>
                <w:szCs w:val="20"/>
                <w:lang w:val="en-GB" w:eastAsia="fr-FR"/>
              </w:rPr>
              <w:t>3</w:t>
            </w:r>
          </w:p>
        </w:tc>
        <w:tc>
          <w:tcPr>
            <w:tcW w:w="596" w:type="dxa"/>
            <w:tcBorders>
              <w:top w:val="single" w:sz="4" w:space="0" w:color="000000"/>
              <w:left w:val="single" w:sz="4" w:space="0" w:color="000000"/>
              <w:bottom w:val="single" w:sz="4" w:space="0" w:color="000000"/>
            </w:tcBorders>
            <w:shd w:val="clear" w:color="auto" w:fill="auto"/>
            <w:vAlign w:val="bottom"/>
          </w:tcPr>
          <w:p w14:paraId="192AD2A1" w14:textId="77777777" w:rsidR="00F85E46" w:rsidRPr="00A22E0C" w:rsidRDefault="00F85E46" w:rsidP="00676595">
            <w:pPr>
              <w:pStyle w:val="Standard"/>
              <w:snapToGrid w:val="0"/>
              <w:jc w:val="center"/>
              <w:rPr>
                <w:rFonts w:ascii="Times New Roman" w:hAnsi="Times New Roman" w:cs="Times New Roman"/>
                <w:sz w:val="20"/>
                <w:szCs w:val="20"/>
                <w:lang w:val="en-GB" w:eastAsia="fr-FR"/>
              </w:rPr>
            </w:pPr>
          </w:p>
        </w:tc>
        <w:tc>
          <w:tcPr>
            <w:tcW w:w="583" w:type="dxa"/>
            <w:tcBorders>
              <w:top w:val="single" w:sz="4" w:space="0" w:color="000000"/>
              <w:left w:val="single" w:sz="4" w:space="0" w:color="000000"/>
              <w:bottom w:val="single" w:sz="4" w:space="0" w:color="000000"/>
            </w:tcBorders>
            <w:shd w:val="clear" w:color="auto" w:fill="auto"/>
            <w:vAlign w:val="bottom"/>
          </w:tcPr>
          <w:p w14:paraId="1ADF2C5A" w14:textId="77777777" w:rsidR="00F85E46" w:rsidRPr="00A22E0C" w:rsidRDefault="00F85E46" w:rsidP="00676595">
            <w:pPr>
              <w:pStyle w:val="Standard"/>
              <w:snapToGrid w:val="0"/>
              <w:jc w:val="center"/>
              <w:rPr>
                <w:rFonts w:ascii="Times New Roman" w:hAnsi="Times New Roman" w:cs="Times New Roman"/>
                <w:sz w:val="20"/>
                <w:szCs w:val="20"/>
                <w:lang w:val="en-GB" w:eastAsia="fr-FR"/>
              </w:rPr>
            </w:pPr>
          </w:p>
        </w:tc>
        <w:tc>
          <w:tcPr>
            <w:tcW w:w="581" w:type="dxa"/>
            <w:tcBorders>
              <w:top w:val="single" w:sz="4" w:space="0" w:color="000000"/>
              <w:left w:val="single" w:sz="4" w:space="0" w:color="000000"/>
              <w:bottom w:val="single" w:sz="4" w:space="0" w:color="000000"/>
            </w:tcBorders>
            <w:shd w:val="clear" w:color="auto" w:fill="auto"/>
            <w:vAlign w:val="bottom"/>
          </w:tcPr>
          <w:p w14:paraId="7EB54591" w14:textId="77777777" w:rsidR="00F85E46" w:rsidRPr="00A22E0C" w:rsidRDefault="00F85E46" w:rsidP="00676595">
            <w:pPr>
              <w:pStyle w:val="Standard"/>
              <w:snapToGrid w:val="0"/>
              <w:jc w:val="center"/>
              <w:rPr>
                <w:rFonts w:ascii="Times New Roman" w:hAnsi="Times New Roman" w:cs="Times New Roman"/>
                <w:sz w:val="20"/>
                <w:szCs w:val="20"/>
                <w:lang w:val="en-GB" w:eastAsia="fr-FR"/>
              </w:rPr>
            </w:pPr>
          </w:p>
        </w:tc>
        <w:tc>
          <w:tcPr>
            <w:tcW w:w="6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B3AD9D1" w14:textId="77777777" w:rsidR="00F85E46" w:rsidRPr="00A22E0C" w:rsidRDefault="00F85E46" w:rsidP="00676595">
            <w:pPr>
              <w:rPr>
                <w:lang w:eastAsia="fr-FR"/>
              </w:rPr>
            </w:pPr>
          </w:p>
        </w:tc>
      </w:tr>
      <w:tr w:rsidR="00F85E46" w:rsidRPr="00A22E0C" w14:paraId="7D5ECFA1" w14:textId="77777777" w:rsidTr="00676595">
        <w:trPr>
          <w:trHeight w:val="312"/>
        </w:trPr>
        <w:tc>
          <w:tcPr>
            <w:tcW w:w="1495" w:type="dxa"/>
            <w:vMerge w:val="restart"/>
            <w:tcBorders>
              <w:top w:val="single" w:sz="4" w:space="0" w:color="000000"/>
              <w:left w:val="single" w:sz="4" w:space="0" w:color="000000"/>
              <w:bottom w:val="single" w:sz="4" w:space="0" w:color="000000"/>
            </w:tcBorders>
            <w:shd w:val="clear" w:color="auto" w:fill="auto"/>
            <w:vAlign w:val="center"/>
          </w:tcPr>
          <w:p w14:paraId="308E8D12" w14:textId="77777777" w:rsidR="00F85E46" w:rsidRPr="00A22E0C" w:rsidRDefault="00F85E46" w:rsidP="00676595">
            <w:pPr>
              <w:pStyle w:val="Standard"/>
              <w:rPr>
                <w:rFonts w:eastAsia="Times New Roman" w:cs="Times New Roman"/>
                <w:sz w:val="20"/>
                <w:szCs w:val="20"/>
                <w:lang w:val="en-GB" w:eastAsia="fr-FR"/>
              </w:rPr>
            </w:pPr>
            <w:r w:rsidRPr="00A22E0C">
              <w:rPr>
                <w:rFonts w:eastAsia="Times New Roman" w:cs="Times New Roman"/>
                <w:sz w:val="20"/>
                <w:szCs w:val="20"/>
                <w:lang w:val="en-GB" w:eastAsia="fr-FR"/>
              </w:rPr>
              <w:t>Cells</w:t>
            </w:r>
          </w:p>
        </w:tc>
        <w:tc>
          <w:tcPr>
            <w:tcW w:w="2858" w:type="dxa"/>
            <w:tcBorders>
              <w:top w:val="single" w:sz="4" w:space="0" w:color="000000"/>
              <w:left w:val="single" w:sz="4" w:space="0" w:color="000000"/>
              <w:bottom w:val="single" w:sz="4" w:space="0" w:color="000000"/>
            </w:tcBorders>
            <w:shd w:val="clear" w:color="auto" w:fill="auto"/>
            <w:vAlign w:val="bottom"/>
          </w:tcPr>
          <w:p w14:paraId="67C6AE99" w14:textId="77777777" w:rsidR="00F85E46" w:rsidRPr="00A22E0C" w:rsidRDefault="00F85E46" w:rsidP="00676595">
            <w:pPr>
              <w:pStyle w:val="Standard"/>
              <w:jc w:val="both"/>
              <w:rPr>
                <w:rFonts w:eastAsia="Times New Roman" w:cs="Times New Roman"/>
                <w:sz w:val="20"/>
                <w:szCs w:val="20"/>
                <w:lang w:val="en-GB" w:eastAsia="fr-FR"/>
              </w:rPr>
            </w:pPr>
            <w:r w:rsidRPr="00A22E0C">
              <w:rPr>
                <w:rFonts w:eastAsia="Times New Roman" w:cs="Times New Roman"/>
                <w:sz w:val="20"/>
                <w:szCs w:val="20"/>
                <w:lang w:val="en-GB" w:eastAsia="fr-FR"/>
              </w:rPr>
              <w:t>first cycle, fully charged state</w:t>
            </w:r>
          </w:p>
        </w:tc>
        <w:tc>
          <w:tcPr>
            <w:tcW w:w="2855" w:type="dxa"/>
            <w:gridSpan w:val="5"/>
            <w:tcBorders>
              <w:top w:val="single" w:sz="4" w:space="0" w:color="000000"/>
              <w:left w:val="single" w:sz="4" w:space="0" w:color="000000"/>
              <w:bottom w:val="single" w:sz="4" w:space="0" w:color="000000"/>
            </w:tcBorders>
            <w:shd w:val="clear" w:color="auto" w:fill="auto"/>
            <w:vAlign w:val="bottom"/>
          </w:tcPr>
          <w:p w14:paraId="4C25133A" w14:textId="77777777" w:rsidR="00F85E46" w:rsidRPr="00A22E0C" w:rsidRDefault="00F85E46" w:rsidP="00676595">
            <w:pPr>
              <w:pStyle w:val="Standard"/>
              <w:jc w:val="center"/>
              <w:rPr>
                <w:rFonts w:eastAsia="Times New Roman" w:cs="Times New Roman"/>
                <w:sz w:val="20"/>
                <w:szCs w:val="20"/>
                <w:lang w:val="en-GB" w:eastAsia="fr-FR"/>
              </w:rPr>
            </w:pPr>
            <w:r w:rsidRPr="00A22E0C">
              <w:rPr>
                <w:rFonts w:eastAsia="Times New Roman" w:cs="Times New Roman"/>
                <w:sz w:val="20"/>
                <w:szCs w:val="20"/>
                <w:lang w:val="en-GB" w:eastAsia="fr-FR"/>
              </w:rPr>
              <w:t>3</w:t>
            </w:r>
          </w:p>
        </w:tc>
        <w:tc>
          <w:tcPr>
            <w:tcW w:w="596" w:type="dxa"/>
            <w:tcBorders>
              <w:top w:val="single" w:sz="4" w:space="0" w:color="000000"/>
              <w:left w:val="single" w:sz="4" w:space="0" w:color="000000"/>
              <w:bottom w:val="single" w:sz="4" w:space="0" w:color="000000"/>
            </w:tcBorders>
            <w:shd w:val="clear" w:color="auto" w:fill="auto"/>
            <w:vAlign w:val="bottom"/>
          </w:tcPr>
          <w:p w14:paraId="455F6446" w14:textId="77777777" w:rsidR="00F85E46" w:rsidRPr="00A22E0C" w:rsidRDefault="00F85E46" w:rsidP="00676595">
            <w:pPr>
              <w:pStyle w:val="Standard"/>
              <w:jc w:val="center"/>
              <w:rPr>
                <w:rFonts w:eastAsia="Times New Roman" w:cs="Times New Roman"/>
                <w:sz w:val="20"/>
                <w:szCs w:val="20"/>
                <w:lang w:val="en-GB" w:eastAsia="fr-FR"/>
              </w:rPr>
            </w:pPr>
            <w:r w:rsidRPr="00A22E0C">
              <w:rPr>
                <w:rFonts w:eastAsia="Times New Roman" w:cs="Times New Roman"/>
                <w:sz w:val="20"/>
                <w:szCs w:val="20"/>
                <w:lang w:val="en-GB" w:eastAsia="fr-FR"/>
              </w:rPr>
              <w:t>3</w:t>
            </w:r>
          </w:p>
        </w:tc>
        <w:tc>
          <w:tcPr>
            <w:tcW w:w="583" w:type="dxa"/>
            <w:tcBorders>
              <w:top w:val="single" w:sz="4" w:space="0" w:color="000000"/>
              <w:left w:val="single" w:sz="4" w:space="0" w:color="000000"/>
              <w:bottom w:val="single" w:sz="4" w:space="0" w:color="000000"/>
            </w:tcBorders>
            <w:shd w:val="clear" w:color="auto" w:fill="auto"/>
            <w:vAlign w:val="bottom"/>
          </w:tcPr>
          <w:p w14:paraId="7796A0DA" w14:textId="77777777" w:rsidR="00F85E46" w:rsidRPr="00A22E0C" w:rsidRDefault="00F85E46" w:rsidP="00676595">
            <w:pPr>
              <w:pStyle w:val="Standard"/>
              <w:snapToGrid w:val="0"/>
              <w:jc w:val="center"/>
              <w:rPr>
                <w:rFonts w:ascii="Times New Roman" w:hAnsi="Times New Roman" w:cs="Times New Roman"/>
                <w:sz w:val="20"/>
                <w:szCs w:val="20"/>
                <w:lang w:val="en-GB" w:eastAsia="fr-FR"/>
              </w:rPr>
            </w:pPr>
          </w:p>
        </w:tc>
        <w:tc>
          <w:tcPr>
            <w:tcW w:w="581" w:type="dxa"/>
            <w:tcBorders>
              <w:top w:val="single" w:sz="4" w:space="0" w:color="000000"/>
              <w:left w:val="single" w:sz="4" w:space="0" w:color="000000"/>
              <w:bottom w:val="single" w:sz="4" w:space="0" w:color="000000"/>
            </w:tcBorders>
            <w:shd w:val="clear" w:color="auto" w:fill="auto"/>
            <w:vAlign w:val="bottom"/>
          </w:tcPr>
          <w:p w14:paraId="68A5B9B6" w14:textId="77777777" w:rsidR="00F85E46" w:rsidRPr="00A22E0C" w:rsidRDefault="00F85E46" w:rsidP="00676595">
            <w:pPr>
              <w:pStyle w:val="Standard"/>
              <w:snapToGrid w:val="0"/>
              <w:jc w:val="center"/>
              <w:rPr>
                <w:rFonts w:ascii="Times New Roman" w:hAnsi="Times New Roman" w:cs="Times New Roman"/>
                <w:sz w:val="20"/>
                <w:szCs w:val="20"/>
                <w:lang w:val="en-GB" w:eastAsia="fr-FR"/>
              </w:rPr>
            </w:pPr>
          </w:p>
        </w:tc>
        <w:tc>
          <w:tcPr>
            <w:tcW w:w="6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8D27853" w14:textId="77777777" w:rsidR="00F85E46" w:rsidRPr="00A22E0C" w:rsidRDefault="00F85E46" w:rsidP="00676595">
            <w:pPr>
              <w:pStyle w:val="Standard"/>
              <w:jc w:val="center"/>
              <w:rPr>
                <w:rFonts w:eastAsia="Times New Roman" w:cs="Times New Roman"/>
                <w:sz w:val="20"/>
                <w:szCs w:val="20"/>
                <w:lang w:val="en-GB" w:eastAsia="fr-FR"/>
              </w:rPr>
            </w:pPr>
            <w:r w:rsidRPr="00A22E0C">
              <w:rPr>
                <w:rFonts w:eastAsia="Times New Roman" w:cs="Times New Roman"/>
                <w:sz w:val="20"/>
                <w:szCs w:val="20"/>
                <w:lang w:val="en-GB" w:eastAsia="fr-FR"/>
              </w:rPr>
              <w:t>12</w:t>
            </w:r>
          </w:p>
        </w:tc>
      </w:tr>
      <w:tr w:rsidR="00F85E46" w:rsidRPr="00A22E0C" w14:paraId="563218CC" w14:textId="77777777" w:rsidTr="00676595">
        <w:trPr>
          <w:trHeight w:val="312"/>
        </w:trPr>
        <w:tc>
          <w:tcPr>
            <w:tcW w:w="1495" w:type="dxa"/>
            <w:vMerge/>
            <w:tcBorders>
              <w:top w:val="single" w:sz="4" w:space="0" w:color="000000"/>
              <w:left w:val="single" w:sz="4" w:space="0" w:color="000000"/>
              <w:bottom w:val="single" w:sz="4" w:space="0" w:color="000000"/>
            </w:tcBorders>
            <w:shd w:val="clear" w:color="auto" w:fill="auto"/>
            <w:vAlign w:val="center"/>
          </w:tcPr>
          <w:p w14:paraId="39505EA1" w14:textId="77777777" w:rsidR="00F85E46" w:rsidRPr="00A22E0C" w:rsidRDefault="00F85E46" w:rsidP="00676595"/>
        </w:tc>
        <w:tc>
          <w:tcPr>
            <w:tcW w:w="2858" w:type="dxa"/>
            <w:tcBorders>
              <w:top w:val="single" w:sz="4" w:space="0" w:color="000000"/>
              <w:left w:val="single" w:sz="4" w:space="0" w:color="000000"/>
              <w:bottom w:val="single" w:sz="4" w:space="0" w:color="000000"/>
            </w:tcBorders>
            <w:shd w:val="clear" w:color="auto" w:fill="auto"/>
            <w:vAlign w:val="bottom"/>
          </w:tcPr>
          <w:p w14:paraId="5B4B2C2A" w14:textId="77777777" w:rsidR="00F85E46" w:rsidRPr="00A22E0C" w:rsidRDefault="00F85E46" w:rsidP="00676595">
            <w:pPr>
              <w:pStyle w:val="Standard"/>
              <w:jc w:val="both"/>
              <w:rPr>
                <w:rFonts w:eastAsia="Times New Roman" w:cs="Times New Roman"/>
                <w:sz w:val="20"/>
                <w:szCs w:val="20"/>
                <w:lang w:val="en-GB" w:eastAsia="fr-FR"/>
              </w:rPr>
            </w:pPr>
            <w:r w:rsidRPr="00A22E0C">
              <w:rPr>
                <w:rFonts w:eastAsia="Times New Roman" w:cs="Times New Roman"/>
                <w:sz w:val="20"/>
                <w:szCs w:val="20"/>
                <w:lang w:val="en-GB" w:eastAsia="fr-FR"/>
              </w:rPr>
              <w:t>25th cycle, fully charged state</w:t>
            </w:r>
          </w:p>
        </w:tc>
        <w:tc>
          <w:tcPr>
            <w:tcW w:w="2855" w:type="dxa"/>
            <w:gridSpan w:val="5"/>
            <w:tcBorders>
              <w:top w:val="single" w:sz="4" w:space="0" w:color="000000"/>
              <w:left w:val="single" w:sz="4" w:space="0" w:color="000000"/>
              <w:bottom w:val="single" w:sz="4" w:space="0" w:color="000000"/>
            </w:tcBorders>
            <w:shd w:val="clear" w:color="auto" w:fill="auto"/>
            <w:vAlign w:val="bottom"/>
          </w:tcPr>
          <w:p w14:paraId="6DEA33C0" w14:textId="77777777" w:rsidR="00F85E46" w:rsidRPr="00A22E0C" w:rsidRDefault="00F85E46" w:rsidP="00676595">
            <w:pPr>
              <w:pStyle w:val="Standard"/>
              <w:jc w:val="center"/>
              <w:rPr>
                <w:rFonts w:eastAsia="Times New Roman" w:cs="Times New Roman"/>
                <w:sz w:val="20"/>
                <w:szCs w:val="20"/>
                <w:lang w:val="en-GB" w:eastAsia="fr-FR"/>
              </w:rPr>
            </w:pPr>
            <w:r w:rsidRPr="00A22E0C">
              <w:rPr>
                <w:rFonts w:eastAsia="Times New Roman" w:cs="Times New Roman"/>
                <w:sz w:val="20"/>
                <w:szCs w:val="20"/>
                <w:lang w:val="en-GB" w:eastAsia="fr-FR"/>
              </w:rPr>
              <w:t>3</w:t>
            </w:r>
          </w:p>
        </w:tc>
        <w:tc>
          <w:tcPr>
            <w:tcW w:w="596" w:type="dxa"/>
            <w:tcBorders>
              <w:top w:val="single" w:sz="4" w:space="0" w:color="000000"/>
              <w:left w:val="single" w:sz="4" w:space="0" w:color="000000"/>
              <w:bottom w:val="single" w:sz="4" w:space="0" w:color="000000"/>
            </w:tcBorders>
            <w:shd w:val="clear" w:color="auto" w:fill="auto"/>
            <w:vAlign w:val="bottom"/>
          </w:tcPr>
          <w:p w14:paraId="4CD04D8D" w14:textId="77777777" w:rsidR="00F85E46" w:rsidRPr="00A22E0C" w:rsidRDefault="00F85E46" w:rsidP="00676595">
            <w:pPr>
              <w:pStyle w:val="Standard"/>
              <w:jc w:val="center"/>
              <w:rPr>
                <w:rFonts w:eastAsia="Times New Roman" w:cs="Times New Roman"/>
                <w:sz w:val="20"/>
                <w:szCs w:val="20"/>
                <w:lang w:val="en-GB" w:eastAsia="fr-FR"/>
              </w:rPr>
            </w:pPr>
            <w:r w:rsidRPr="00A22E0C">
              <w:rPr>
                <w:rFonts w:eastAsia="Times New Roman" w:cs="Times New Roman"/>
                <w:sz w:val="20"/>
                <w:szCs w:val="20"/>
                <w:lang w:val="en-GB" w:eastAsia="fr-FR"/>
              </w:rPr>
              <w:t>3</w:t>
            </w:r>
          </w:p>
        </w:tc>
        <w:tc>
          <w:tcPr>
            <w:tcW w:w="583" w:type="dxa"/>
            <w:tcBorders>
              <w:top w:val="single" w:sz="4" w:space="0" w:color="000000"/>
              <w:left w:val="single" w:sz="4" w:space="0" w:color="000000"/>
              <w:bottom w:val="single" w:sz="4" w:space="0" w:color="000000"/>
            </w:tcBorders>
            <w:shd w:val="clear" w:color="auto" w:fill="auto"/>
            <w:vAlign w:val="bottom"/>
          </w:tcPr>
          <w:p w14:paraId="6E3BFD5A" w14:textId="77777777" w:rsidR="00F85E46" w:rsidRPr="00A22E0C" w:rsidRDefault="00F85E46" w:rsidP="00676595">
            <w:pPr>
              <w:pStyle w:val="Standard"/>
              <w:snapToGrid w:val="0"/>
              <w:jc w:val="center"/>
              <w:rPr>
                <w:rFonts w:ascii="Times New Roman" w:hAnsi="Times New Roman" w:cs="Times New Roman"/>
                <w:sz w:val="20"/>
                <w:szCs w:val="20"/>
                <w:lang w:val="en-GB" w:eastAsia="fr-FR"/>
              </w:rPr>
            </w:pPr>
          </w:p>
        </w:tc>
        <w:tc>
          <w:tcPr>
            <w:tcW w:w="581" w:type="dxa"/>
            <w:tcBorders>
              <w:top w:val="single" w:sz="4" w:space="0" w:color="000000"/>
              <w:left w:val="single" w:sz="4" w:space="0" w:color="000000"/>
              <w:bottom w:val="single" w:sz="4" w:space="0" w:color="000000"/>
            </w:tcBorders>
            <w:shd w:val="clear" w:color="auto" w:fill="auto"/>
            <w:vAlign w:val="bottom"/>
          </w:tcPr>
          <w:p w14:paraId="0E734B74" w14:textId="77777777" w:rsidR="00F85E46" w:rsidRPr="00A22E0C" w:rsidRDefault="00F85E46" w:rsidP="00676595">
            <w:pPr>
              <w:pStyle w:val="Standard"/>
              <w:snapToGrid w:val="0"/>
              <w:jc w:val="center"/>
              <w:rPr>
                <w:rFonts w:ascii="Times New Roman" w:hAnsi="Times New Roman" w:cs="Times New Roman"/>
                <w:sz w:val="20"/>
                <w:szCs w:val="20"/>
                <w:lang w:val="en-GB" w:eastAsia="fr-FR"/>
              </w:rPr>
            </w:pPr>
          </w:p>
        </w:tc>
        <w:tc>
          <w:tcPr>
            <w:tcW w:w="6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8224806" w14:textId="77777777" w:rsidR="00F85E46" w:rsidRPr="00A22E0C" w:rsidRDefault="00F85E46" w:rsidP="00676595">
            <w:pPr>
              <w:rPr>
                <w:lang w:eastAsia="fr-FR"/>
              </w:rPr>
            </w:pPr>
          </w:p>
        </w:tc>
      </w:tr>
      <w:tr w:rsidR="00F85E46" w:rsidRPr="00A22E0C" w14:paraId="14EE570B" w14:textId="77777777" w:rsidTr="00676595">
        <w:trPr>
          <w:trHeight w:val="312"/>
        </w:trPr>
        <w:tc>
          <w:tcPr>
            <w:tcW w:w="1495" w:type="dxa"/>
            <w:vMerge w:val="restart"/>
            <w:tcBorders>
              <w:top w:val="single" w:sz="4" w:space="0" w:color="000000"/>
              <w:left w:val="single" w:sz="4" w:space="0" w:color="000000"/>
              <w:bottom w:val="single" w:sz="4" w:space="0" w:color="000000"/>
            </w:tcBorders>
            <w:shd w:val="clear" w:color="auto" w:fill="auto"/>
            <w:vAlign w:val="center"/>
          </w:tcPr>
          <w:p w14:paraId="5AEE2572" w14:textId="77777777" w:rsidR="00F85E46" w:rsidRPr="00A22E0C" w:rsidRDefault="00F85E46" w:rsidP="00676595">
            <w:pPr>
              <w:pStyle w:val="Standard"/>
              <w:rPr>
                <w:rFonts w:hint="eastAsia"/>
                <w:lang w:val="en-GB"/>
              </w:rPr>
            </w:pPr>
            <w:r w:rsidRPr="00A22E0C">
              <w:rPr>
                <w:rFonts w:eastAsia="Times New Roman" w:cs="Times New Roman"/>
                <w:sz w:val="20"/>
                <w:szCs w:val="20"/>
                <w:lang w:val="en-GB" w:eastAsia="fr-FR"/>
              </w:rPr>
              <w:t>Single cell batteries</w:t>
            </w:r>
            <w:r w:rsidRPr="00A22E0C">
              <w:rPr>
                <w:rFonts w:eastAsia="Times New Roman" w:cs="Times New Roman"/>
                <w:sz w:val="20"/>
                <w:szCs w:val="20"/>
                <w:vertAlign w:val="superscript"/>
                <w:lang w:val="en-GB" w:eastAsia="fr-FR"/>
              </w:rPr>
              <w:t>b</w:t>
            </w:r>
          </w:p>
        </w:tc>
        <w:tc>
          <w:tcPr>
            <w:tcW w:w="2858" w:type="dxa"/>
            <w:tcBorders>
              <w:top w:val="single" w:sz="4" w:space="0" w:color="000000"/>
              <w:left w:val="single" w:sz="4" w:space="0" w:color="000000"/>
              <w:bottom w:val="single" w:sz="4" w:space="0" w:color="000000"/>
            </w:tcBorders>
            <w:shd w:val="clear" w:color="auto" w:fill="auto"/>
            <w:vAlign w:val="bottom"/>
          </w:tcPr>
          <w:p w14:paraId="7D1F705C" w14:textId="77777777" w:rsidR="00F85E46" w:rsidRPr="00A22E0C" w:rsidRDefault="00F85E46" w:rsidP="00676595">
            <w:pPr>
              <w:pStyle w:val="Standard"/>
              <w:jc w:val="both"/>
              <w:rPr>
                <w:rFonts w:eastAsia="Times New Roman" w:cs="Times New Roman"/>
                <w:sz w:val="20"/>
                <w:szCs w:val="20"/>
                <w:lang w:val="en-GB" w:eastAsia="fr-FR"/>
              </w:rPr>
            </w:pPr>
            <w:r w:rsidRPr="00A22E0C">
              <w:rPr>
                <w:rFonts w:eastAsia="Times New Roman" w:cs="Times New Roman"/>
                <w:sz w:val="20"/>
                <w:szCs w:val="20"/>
                <w:lang w:val="en-GB" w:eastAsia="fr-FR"/>
              </w:rPr>
              <w:t>first cycle, fully charged state</w:t>
            </w:r>
          </w:p>
        </w:tc>
        <w:tc>
          <w:tcPr>
            <w:tcW w:w="2855" w:type="dxa"/>
            <w:gridSpan w:val="5"/>
            <w:tcBorders>
              <w:top w:val="single" w:sz="4" w:space="0" w:color="000000"/>
              <w:left w:val="single" w:sz="4" w:space="0" w:color="000000"/>
              <w:bottom w:val="single" w:sz="4" w:space="0" w:color="000000"/>
            </w:tcBorders>
            <w:shd w:val="clear" w:color="auto" w:fill="auto"/>
            <w:vAlign w:val="bottom"/>
          </w:tcPr>
          <w:p w14:paraId="3A26737B" w14:textId="77777777" w:rsidR="00F85E46" w:rsidRPr="00A22E0C" w:rsidRDefault="00F85E46" w:rsidP="00676595">
            <w:pPr>
              <w:pStyle w:val="Standard"/>
              <w:jc w:val="center"/>
              <w:rPr>
                <w:rFonts w:eastAsia="Times New Roman" w:cs="Times New Roman"/>
                <w:sz w:val="20"/>
                <w:szCs w:val="20"/>
                <w:lang w:val="en-GB" w:eastAsia="fr-FR"/>
              </w:rPr>
            </w:pPr>
            <w:r w:rsidRPr="00A22E0C">
              <w:rPr>
                <w:rFonts w:eastAsia="Times New Roman" w:cs="Times New Roman"/>
                <w:sz w:val="20"/>
                <w:szCs w:val="20"/>
                <w:lang w:val="en-GB" w:eastAsia="fr-FR"/>
              </w:rPr>
              <w:t>3</w:t>
            </w:r>
          </w:p>
        </w:tc>
        <w:tc>
          <w:tcPr>
            <w:tcW w:w="596" w:type="dxa"/>
            <w:tcBorders>
              <w:top w:val="single" w:sz="4" w:space="0" w:color="000000"/>
              <w:left w:val="single" w:sz="4" w:space="0" w:color="000000"/>
              <w:bottom w:val="single" w:sz="4" w:space="0" w:color="000000"/>
            </w:tcBorders>
            <w:shd w:val="clear" w:color="auto" w:fill="auto"/>
            <w:vAlign w:val="bottom"/>
          </w:tcPr>
          <w:p w14:paraId="70290B79" w14:textId="77777777" w:rsidR="00F85E46" w:rsidRPr="00A22E0C" w:rsidRDefault="00F85E46" w:rsidP="00676595">
            <w:pPr>
              <w:pStyle w:val="Standard"/>
              <w:jc w:val="center"/>
              <w:rPr>
                <w:rFonts w:eastAsia="Times New Roman" w:cs="Times New Roman"/>
                <w:sz w:val="20"/>
                <w:szCs w:val="20"/>
                <w:lang w:val="en-GB" w:eastAsia="fr-FR"/>
              </w:rPr>
            </w:pPr>
            <w:r w:rsidRPr="00A22E0C">
              <w:rPr>
                <w:rFonts w:eastAsia="Times New Roman" w:cs="Times New Roman"/>
                <w:sz w:val="20"/>
                <w:szCs w:val="20"/>
                <w:lang w:val="en-GB" w:eastAsia="fr-FR"/>
              </w:rPr>
              <w:t>3</w:t>
            </w:r>
          </w:p>
        </w:tc>
        <w:tc>
          <w:tcPr>
            <w:tcW w:w="583" w:type="dxa"/>
            <w:tcBorders>
              <w:top w:val="single" w:sz="4" w:space="0" w:color="000000"/>
              <w:left w:val="single" w:sz="4" w:space="0" w:color="000000"/>
              <w:bottom w:val="single" w:sz="4" w:space="0" w:color="000000"/>
            </w:tcBorders>
            <w:shd w:val="clear" w:color="auto" w:fill="auto"/>
            <w:vAlign w:val="bottom"/>
          </w:tcPr>
          <w:p w14:paraId="71AA2055" w14:textId="77777777" w:rsidR="00F85E46" w:rsidRPr="00A22E0C" w:rsidRDefault="00F85E46" w:rsidP="00676595">
            <w:pPr>
              <w:pStyle w:val="Standard"/>
              <w:jc w:val="center"/>
              <w:rPr>
                <w:rFonts w:eastAsia="Times New Roman" w:cs="Times New Roman"/>
                <w:sz w:val="20"/>
                <w:szCs w:val="20"/>
                <w:lang w:val="en-GB" w:eastAsia="fr-FR"/>
              </w:rPr>
            </w:pPr>
            <w:r w:rsidRPr="00A22E0C">
              <w:rPr>
                <w:rFonts w:eastAsia="Times New Roman" w:cs="Times New Roman"/>
                <w:sz w:val="20"/>
                <w:szCs w:val="20"/>
                <w:lang w:val="en-GB" w:eastAsia="fr-FR"/>
              </w:rPr>
              <w:t>3</w:t>
            </w:r>
          </w:p>
        </w:tc>
        <w:tc>
          <w:tcPr>
            <w:tcW w:w="581" w:type="dxa"/>
            <w:tcBorders>
              <w:top w:val="single" w:sz="4" w:space="0" w:color="000000"/>
              <w:left w:val="single" w:sz="4" w:space="0" w:color="000000"/>
              <w:bottom w:val="single" w:sz="4" w:space="0" w:color="000000"/>
            </w:tcBorders>
            <w:shd w:val="clear" w:color="auto" w:fill="auto"/>
            <w:vAlign w:val="bottom"/>
          </w:tcPr>
          <w:p w14:paraId="26A754FE" w14:textId="77777777" w:rsidR="00F85E46" w:rsidRPr="00A22E0C" w:rsidRDefault="00F85E46" w:rsidP="00676595">
            <w:pPr>
              <w:pStyle w:val="Standard"/>
              <w:snapToGrid w:val="0"/>
              <w:jc w:val="center"/>
              <w:rPr>
                <w:rFonts w:ascii="Times New Roman" w:hAnsi="Times New Roman" w:cs="Times New Roman"/>
                <w:sz w:val="20"/>
                <w:szCs w:val="20"/>
                <w:lang w:val="en-GB" w:eastAsia="fr-FR"/>
              </w:rPr>
            </w:pPr>
          </w:p>
        </w:tc>
        <w:tc>
          <w:tcPr>
            <w:tcW w:w="6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C744E57" w14:textId="77777777" w:rsidR="00F85E46" w:rsidRPr="00A22E0C" w:rsidRDefault="00F85E46" w:rsidP="00676595">
            <w:pPr>
              <w:pStyle w:val="Standard"/>
              <w:jc w:val="center"/>
              <w:rPr>
                <w:rFonts w:eastAsia="Times New Roman" w:cs="Times New Roman"/>
                <w:sz w:val="20"/>
                <w:szCs w:val="20"/>
                <w:lang w:val="en-GB" w:eastAsia="fr-FR"/>
              </w:rPr>
            </w:pPr>
            <w:r w:rsidRPr="00A22E0C">
              <w:rPr>
                <w:rFonts w:eastAsia="Times New Roman" w:cs="Times New Roman"/>
                <w:sz w:val="20"/>
                <w:szCs w:val="20"/>
                <w:lang w:val="en-GB" w:eastAsia="fr-FR"/>
              </w:rPr>
              <w:t>15</w:t>
            </w:r>
          </w:p>
        </w:tc>
      </w:tr>
      <w:tr w:rsidR="00F85E46" w:rsidRPr="00A22E0C" w14:paraId="0C72C0EE" w14:textId="77777777" w:rsidTr="00676595">
        <w:trPr>
          <w:trHeight w:val="312"/>
        </w:trPr>
        <w:tc>
          <w:tcPr>
            <w:tcW w:w="1495" w:type="dxa"/>
            <w:vMerge/>
            <w:tcBorders>
              <w:top w:val="single" w:sz="4" w:space="0" w:color="000000"/>
              <w:left w:val="single" w:sz="4" w:space="0" w:color="000000"/>
              <w:bottom w:val="single" w:sz="4" w:space="0" w:color="000000"/>
            </w:tcBorders>
            <w:shd w:val="clear" w:color="auto" w:fill="auto"/>
            <w:vAlign w:val="center"/>
          </w:tcPr>
          <w:p w14:paraId="168E0928" w14:textId="77777777" w:rsidR="00F85E46" w:rsidRPr="00A22E0C" w:rsidRDefault="00F85E46" w:rsidP="00676595"/>
        </w:tc>
        <w:tc>
          <w:tcPr>
            <w:tcW w:w="2858" w:type="dxa"/>
            <w:tcBorders>
              <w:top w:val="single" w:sz="4" w:space="0" w:color="000000"/>
              <w:left w:val="single" w:sz="4" w:space="0" w:color="000000"/>
              <w:bottom w:val="single" w:sz="4" w:space="0" w:color="000000"/>
            </w:tcBorders>
            <w:shd w:val="clear" w:color="auto" w:fill="auto"/>
            <w:vAlign w:val="bottom"/>
          </w:tcPr>
          <w:p w14:paraId="6201F3EF" w14:textId="77777777" w:rsidR="00F85E46" w:rsidRPr="00A22E0C" w:rsidRDefault="00F85E46" w:rsidP="00676595">
            <w:pPr>
              <w:pStyle w:val="Standard"/>
              <w:jc w:val="both"/>
              <w:rPr>
                <w:rFonts w:eastAsia="Times New Roman" w:cs="Times New Roman"/>
                <w:sz w:val="20"/>
                <w:szCs w:val="20"/>
                <w:lang w:val="en-GB" w:eastAsia="fr-FR"/>
              </w:rPr>
            </w:pPr>
            <w:r w:rsidRPr="00A22E0C">
              <w:rPr>
                <w:rFonts w:eastAsia="Times New Roman" w:cs="Times New Roman"/>
                <w:sz w:val="20"/>
                <w:szCs w:val="20"/>
                <w:lang w:val="en-GB" w:eastAsia="fr-FR"/>
              </w:rPr>
              <w:t>25th cycle, fully charged state</w:t>
            </w:r>
          </w:p>
        </w:tc>
        <w:tc>
          <w:tcPr>
            <w:tcW w:w="2855" w:type="dxa"/>
            <w:gridSpan w:val="5"/>
            <w:tcBorders>
              <w:top w:val="single" w:sz="4" w:space="0" w:color="000000"/>
              <w:left w:val="single" w:sz="4" w:space="0" w:color="000000"/>
              <w:bottom w:val="single" w:sz="4" w:space="0" w:color="000000"/>
            </w:tcBorders>
            <w:shd w:val="clear" w:color="auto" w:fill="auto"/>
            <w:vAlign w:val="bottom"/>
          </w:tcPr>
          <w:p w14:paraId="7FF7FEB2" w14:textId="77777777" w:rsidR="00F85E46" w:rsidRPr="00A22E0C" w:rsidRDefault="00F85E46" w:rsidP="00676595">
            <w:pPr>
              <w:pStyle w:val="Standard"/>
              <w:jc w:val="center"/>
              <w:rPr>
                <w:rFonts w:eastAsia="Times New Roman" w:cs="Times New Roman"/>
                <w:sz w:val="20"/>
                <w:szCs w:val="20"/>
                <w:lang w:val="en-GB" w:eastAsia="fr-FR"/>
              </w:rPr>
            </w:pPr>
            <w:r w:rsidRPr="00A22E0C">
              <w:rPr>
                <w:rFonts w:eastAsia="Times New Roman" w:cs="Times New Roman"/>
                <w:sz w:val="20"/>
                <w:szCs w:val="20"/>
                <w:lang w:val="en-GB" w:eastAsia="fr-FR"/>
              </w:rPr>
              <w:t>3</w:t>
            </w:r>
          </w:p>
        </w:tc>
        <w:tc>
          <w:tcPr>
            <w:tcW w:w="596" w:type="dxa"/>
            <w:tcBorders>
              <w:top w:val="single" w:sz="4" w:space="0" w:color="000000"/>
              <w:left w:val="single" w:sz="4" w:space="0" w:color="000000"/>
              <w:bottom w:val="single" w:sz="4" w:space="0" w:color="000000"/>
            </w:tcBorders>
            <w:shd w:val="clear" w:color="auto" w:fill="auto"/>
            <w:vAlign w:val="bottom"/>
          </w:tcPr>
          <w:p w14:paraId="67F301ED" w14:textId="77777777" w:rsidR="00F85E46" w:rsidRPr="00A22E0C" w:rsidRDefault="00F85E46" w:rsidP="00676595">
            <w:pPr>
              <w:pStyle w:val="Standard"/>
              <w:jc w:val="center"/>
              <w:rPr>
                <w:rFonts w:eastAsia="Times New Roman" w:cs="Times New Roman"/>
                <w:sz w:val="20"/>
                <w:szCs w:val="20"/>
                <w:lang w:val="en-GB" w:eastAsia="fr-FR"/>
              </w:rPr>
            </w:pPr>
            <w:r w:rsidRPr="00A22E0C">
              <w:rPr>
                <w:rFonts w:eastAsia="Times New Roman" w:cs="Times New Roman"/>
                <w:sz w:val="20"/>
                <w:szCs w:val="20"/>
                <w:lang w:val="en-GB" w:eastAsia="fr-FR"/>
              </w:rPr>
              <w:t>3</w:t>
            </w:r>
          </w:p>
        </w:tc>
        <w:tc>
          <w:tcPr>
            <w:tcW w:w="583" w:type="dxa"/>
            <w:tcBorders>
              <w:top w:val="single" w:sz="4" w:space="0" w:color="000000"/>
              <w:left w:val="single" w:sz="4" w:space="0" w:color="000000"/>
              <w:bottom w:val="single" w:sz="4" w:space="0" w:color="000000"/>
            </w:tcBorders>
            <w:shd w:val="clear" w:color="auto" w:fill="auto"/>
            <w:vAlign w:val="bottom"/>
          </w:tcPr>
          <w:p w14:paraId="709DC653" w14:textId="77777777" w:rsidR="00F85E46" w:rsidRPr="00A22E0C" w:rsidRDefault="00F85E46" w:rsidP="00676595">
            <w:pPr>
              <w:pStyle w:val="Standard"/>
              <w:snapToGrid w:val="0"/>
              <w:jc w:val="center"/>
              <w:rPr>
                <w:rFonts w:ascii="Times New Roman" w:hAnsi="Times New Roman" w:cs="Times New Roman"/>
                <w:sz w:val="20"/>
                <w:szCs w:val="20"/>
                <w:lang w:val="en-GB" w:eastAsia="fr-FR"/>
              </w:rPr>
            </w:pPr>
          </w:p>
        </w:tc>
        <w:tc>
          <w:tcPr>
            <w:tcW w:w="581" w:type="dxa"/>
            <w:tcBorders>
              <w:top w:val="single" w:sz="4" w:space="0" w:color="000000"/>
              <w:left w:val="single" w:sz="4" w:space="0" w:color="000000"/>
              <w:bottom w:val="single" w:sz="4" w:space="0" w:color="000000"/>
            </w:tcBorders>
            <w:shd w:val="clear" w:color="auto" w:fill="auto"/>
            <w:vAlign w:val="bottom"/>
          </w:tcPr>
          <w:p w14:paraId="6FCE4733" w14:textId="77777777" w:rsidR="00F85E46" w:rsidRPr="00A22E0C" w:rsidRDefault="00F85E46" w:rsidP="00676595">
            <w:pPr>
              <w:pStyle w:val="Standard"/>
              <w:snapToGrid w:val="0"/>
              <w:jc w:val="center"/>
              <w:rPr>
                <w:rFonts w:ascii="Times New Roman" w:hAnsi="Times New Roman" w:cs="Times New Roman"/>
                <w:sz w:val="20"/>
                <w:szCs w:val="20"/>
                <w:lang w:val="en-GB" w:eastAsia="fr-FR"/>
              </w:rPr>
            </w:pPr>
          </w:p>
        </w:tc>
        <w:tc>
          <w:tcPr>
            <w:tcW w:w="6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78E62D7" w14:textId="77777777" w:rsidR="00F85E46" w:rsidRPr="00A22E0C" w:rsidRDefault="00F85E46" w:rsidP="00676595">
            <w:pPr>
              <w:rPr>
                <w:lang w:eastAsia="fr-FR"/>
              </w:rPr>
            </w:pPr>
          </w:p>
        </w:tc>
      </w:tr>
      <w:tr w:rsidR="00F85E46" w:rsidRPr="00A22E0C" w14:paraId="3DFA6F03" w14:textId="77777777" w:rsidTr="00676595">
        <w:trPr>
          <w:trHeight w:val="312"/>
        </w:trPr>
        <w:tc>
          <w:tcPr>
            <w:tcW w:w="1495" w:type="dxa"/>
            <w:vMerge w:val="restart"/>
            <w:tcBorders>
              <w:top w:val="single" w:sz="4" w:space="0" w:color="000000"/>
              <w:left w:val="single" w:sz="4" w:space="0" w:color="000000"/>
              <w:bottom w:val="single" w:sz="4" w:space="0" w:color="000000"/>
            </w:tcBorders>
            <w:shd w:val="clear" w:color="auto" w:fill="auto"/>
            <w:vAlign w:val="center"/>
          </w:tcPr>
          <w:p w14:paraId="29601060" w14:textId="77777777" w:rsidR="00F85E46" w:rsidRPr="00A22E0C" w:rsidRDefault="00F85E46" w:rsidP="00676595">
            <w:pPr>
              <w:pStyle w:val="Standard"/>
              <w:rPr>
                <w:rFonts w:eastAsia="Times New Roman" w:cs="Times New Roman"/>
                <w:sz w:val="20"/>
                <w:szCs w:val="20"/>
                <w:lang w:val="en-GB" w:eastAsia="fr-FR"/>
              </w:rPr>
            </w:pPr>
            <w:r w:rsidRPr="00A22E0C">
              <w:rPr>
                <w:rFonts w:eastAsia="Times New Roman" w:cs="Times New Roman"/>
                <w:sz w:val="20"/>
                <w:szCs w:val="20"/>
                <w:lang w:val="en-GB" w:eastAsia="fr-FR"/>
              </w:rPr>
              <w:t>Small batteries</w:t>
            </w:r>
          </w:p>
        </w:tc>
        <w:tc>
          <w:tcPr>
            <w:tcW w:w="2858" w:type="dxa"/>
            <w:tcBorders>
              <w:top w:val="single" w:sz="4" w:space="0" w:color="000000"/>
              <w:left w:val="single" w:sz="4" w:space="0" w:color="000000"/>
              <w:bottom w:val="single" w:sz="4" w:space="0" w:color="000000"/>
            </w:tcBorders>
            <w:shd w:val="clear" w:color="auto" w:fill="auto"/>
            <w:vAlign w:val="bottom"/>
          </w:tcPr>
          <w:p w14:paraId="65610944" w14:textId="77777777" w:rsidR="00F85E46" w:rsidRPr="00A22E0C" w:rsidRDefault="00F85E46" w:rsidP="00676595">
            <w:pPr>
              <w:pStyle w:val="Standard"/>
              <w:jc w:val="both"/>
              <w:rPr>
                <w:rFonts w:eastAsia="Times New Roman" w:cs="Times New Roman"/>
                <w:sz w:val="20"/>
                <w:szCs w:val="20"/>
                <w:lang w:val="en-GB" w:eastAsia="fr-FR"/>
              </w:rPr>
            </w:pPr>
            <w:r w:rsidRPr="00A22E0C">
              <w:rPr>
                <w:rFonts w:eastAsia="Times New Roman" w:cs="Times New Roman"/>
                <w:sz w:val="20"/>
                <w:szCs w:val="20"/>
                <w:lang w:val="en-GB" w:eastAsia="fr-FR"/>
              </w:rPr>
              <w:t>first cycle, fully charged state</w:t>
            </w:r>
          </w:p>
        </w:tc>
        <w:tc>
          <w:tcPr>
            <w:tcW w:w="2855" w:type="dxa"/>
            <w:gridSpan w:val="5"/>
            <w:tcBorders>
              <w:top w:val="single" w:sz="4" w:space="0" w:color="000000"/>
              <w:left w:val="single" w:sz="4" w:space="0" w:color="000000"/>
              <w:bottom w:val="single" w:sz="4" w:space="0" w:color="000000"/>
            </w:tcBorders>
            <w:shd w:val="clear" w:color="auto" w:fill="auto"/>
            <w:vAlign w:val="bottom"/>
          </w:tcPr>
          <w:p w14:paraId="56AD601A" w14:textId="77777777" w:rsidR="00F85E46" w:rsidRPr="00A22E0C" w:rsidRDefault="00F85E46" w:rsidP="00676595">
            <w:pPr>
              <w:pStyle w:val="Standard"/>
              <w:jc w:val="center"/>
              <w:rPr>
                <w:rFonts w:eastAsia="Times New Roman" w:cs="Times New Roman"/>
                <w:sz w:val="20"/>
                <w:szCs w:val="20"/>
                <w:lang w:val="en-GB" w:eastAsia="fr-FR"/>
              </w:rPr>
            </w:pPr>
            <w:r w:rsidRPr="00A22E0C">
              <w:rPr>
                <w:rFonts w:eastAsia="Times New Roman" w:cs="Times New Roman"/>
                <w:sz w:val="20"/>
                <w:szCs w:val="20"/>
                <w:lang w:val="en-GB" w:eastAsia="fr-FR"/>
              </w:rPr>
              <w:t>3</w:t>
            </w:r>
          </w:p>
        </w:tc>
        <w:tc>
          <w:tcPr>
            <w:tcW w:w="596" w:type="dxa"/>
            <w:tcBorders>
              <w:top w:val="single" w:sz="4" w:space="0" w:color="000000"/>
              <w:left w:val="single" w:sz="4" w:space="0" w:color="000000"/>
              <w:bottom w:val="single" w:sz="4" w:space="0" w:color="000000"/>
            </w:tcBorders>
            <w:shd w:val="clear" w:color="auto" w:fill="auto"/>
            <w:vAlign w:val="bottom"/>
          </w:tcPr>
          <w:p w14:paraId="544C9C96" w14:textId="77777777" w:rsidR="00F85E46" w:rsidRPr="00A22E0C" w:rsidRDefault="00F85E46" w:rsidP="00676595">
            <w:pPr>
              <w:pStyle w:val="Standard"/>
              <w:snapToGrid w:val="0"/>
              <w:jc w:val="center"/>
              <w:rPr>
                <w:rFonts w:ascii="Times New Roman" w:hAnsi="Times New Roman" w:cs="Times New Roman"/>
                <w:sz w:val="20"/>
                <w:szCs w:val="20"/>
                <w:lang w:val="en-GB" w:eastAsia="fr-FR"/>
              </w:rPr>
            </w:pPr>
          </w:p>
        </w:tc>
        <w:tc>
          <w:tcPr>
            <w:tcW w:w="583" w:type="dxa"/>
            <w:tcBorders>
              <w:top w:val="single" w:sz="4" w:space="0" w:color="000000"/>
              <w:left w:val="single" w:sz="4" w:space="0" w:color="000000"/>
              <w:bottom w:val="single" w:sz="4" w:space="0" w:color="000000"/>
            </w:tcBorders>
            <w:shd w:val="clear" w:color="auto" w:fill="auto"/>
            <w:vAlign w:val="bottom"/>
          </w:tcPr>
          <w:p w14:paraId="1A2009DA" w14:textId="77777777" w:rsidR="00F85E46" w:rsidRPr="00A22E0C" w:rsidRDefault="00F85E46" w:rsidP="00676595">
            <w:pPr>
              <w:pStyle w:val="Standard"/>
              <w:jc w:val="center"/>
              <w:rPr>
                <w:rFonts w:eastAsia="Times New Roman" w:cs="Times New Roman"/>
                <w:sz w:val="20"/>
                <w:szCs w:val="20"/>
                <w:lang w:val="en-GB" w:eastAsia="fr-FR"/>
              </w:rPr>
            </w:pPr>
            <w:r w:rsidRPr="00A22E0C">
              <w:rPr>
                <w:rFonts w:eastAsia="Times New Roman" w:cs="Times New Roman"/>
                <w:sz w:val="20"/>
                <w:szCs w:val="20"/>
                <w:lang w:val="en-GB" w:eastAsia="fr-FR"/>
              </w:rPr>
              <w:t>3</w:t>
            </w:r>
          </w:p>
        </w:tc>
        <w:tc>
          <w:tcPr>
            <w:tcW w:w="581" w:type="dxa"/>
            <w:tcBorders>
              <w:top w:val="single" w:sz="4" w:space="0" w:color="000000"/>
              <w:left w:val="single" w:sz="4" w:space="0" w:color="000000"/>
              <w:bottom w:val="single" w:sz="4" w:space="0" w:color="000000"/>
            </w:tcBorders>
            <w:shd w:val="clear" w:color="auto" w:fill="auto"/>
            <w:vAlign w:val="bottom"/>
          </w:tcPr>
          <w:p w14:paraId="5A269E20" w14:textId="77777777" w:rsidR="00F85E46" w:rsidRPr="00A22E0C" w:rsidRDefault="00F85E46" w:rsidP="00676595">
            <w:pPr>
              <w:pStyle w:val="Standard"/>
              <w:snapToGrid w:val="0"/>
              <w:jc w:val="center"/>
              <w:rPr>
                <w:rFonts w:ascii="Times New Roman" w:hAnsi="Times New Roman" w:cs="Times New Roman"/>
                <w:sz w:val="20"/>
                <w:szCs w:val="20"/>
                <w:lang w:val="en-GB" w:eastAsia="fr-FR"/>
              </w:rPr>
            </w:pPr>
          </w:p>
        </w:tc>
        <w:tc>
          <w:tcPr>
            <w:tcW w:w="6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68D18BB" w14:textId="77777777" w:rsidR="00F85E46" w:rsidRPr="00A22E0C" w:rsidRDefault="00F85E46" w:rsidP="00676595">
            <w:pPr>
              <w:pStyle w:val="Standard"/>
              <w:jc w:val="center"/>
              <w:rPr>
                <w:rFonts w:eastAsia="Times New Roman" w:cs="Times New Roman"/>
                <w:sz w:val="20"/>
                <w:szCs w:val="20"/>
                <w:lang w:val="en-GB" w:eastAsia="fr-FR"/>
              </w:rPr>
            </w:pPr>
            <w:r w:rsidRPr="00A22E0C">
              <w:rPr>
                <w:rFonts w:eastAsia="Times New Roman" w:cs="Times New Roman"/>
                <w:sz w:val="20"/>
                <w:szCs w:val="20"/>
                <w:lang w:val="en-GB" w:eastAsia="fr-FR"/>
              </w:rPr>
              <w:t>12</w:t>
            </w:r>
          </w:p>
        </w:tc>
      </w:tr>
      <w:tr w:rsidR="00F85E46" w:rsidRPr="00A22E0C" w14:paraId="5120F5EE" w14:textId="77777777" w:rsidTr="00676595">
        <w:trPr>
          <w:trHeight w:val="324"/>
        </w:trPr>
        <w:tc>
          <w:tcPr>
            <w:tcW w:w="1495" w:type="dxa"/>
            <w:vMerge/>
            <w:tcBorders>
              <w:top w:val="single" w:sz="4" w:space="0" w:color="000000"/>
              <w:left w:val="single" w:sz="4" w:space="0" w:color="000000"/>
              <w:bottom w:val="single" w:sz="4" w:space="0" w:color="000000"/>
            </w:tcBorders>
            <w:shd w:val="clear" w:color="auto" w:fill="auto"/>
            <w:vAlign w:val="center"/>
          </w:tcPr>
          <w:p w14:paraId="4B819EF4" w14:textId="77777777" w:rsidR="00F85E46" w:rsidRPr="00A22E0C" w:rsidRDefault="00F85E46" w:rsidP="00676595"/>
        </w:tc>
        <w:tc>
          <w:tcPr>
            <w:tcW w:w="2858" w:type="dxa"/>
            <w:tcBorders>
              <w:top w:val="single" w:sz="4" w:space="0" w:color="000000"/>
              <w:left w:val="single" w:sz="4" w:space="0" w:color="000000"/>
              <w:bottom w:val="single" w:sz="4" w:space="0" w:color="000000"/>
            </w:tcBorders>
            <w:shd w:val="clear" w:color="auto" w:fill="auto"/>
            <w:vAlign w:val="bottom"/>
          </w:tcPr>
          <w:p w14:paraId="46BBE0D0" w14:textId="77777777" w:rsidR="00F85E46" w:rsidRPr="00A22E0C" w:rsidRDefault="00F85E46" w:rsidP="00676595">
            <w:pPr>
              <w:pStyle w:val="Standard"/>
              <w:jc w:val="both"/>
              <w:rPr>
                <w:rFonts w:eastAsia="Times New Roman" w:cs="Times New Roman"/>
                <w:sz w:val="20"/>
                <w:szCs w:val="20"/>
                <w:lang w:val="en-GB" w:eastAsia="fr-FR"/>
              </w:rPr>
            </w:pPr>
            <w:r w:rsidRPr="00A22E0C">
              <w:rPr>
                <w:rFonts w:eastAsia="Times New Roman" w:cs="Times New Roman"/>
                <w:sz w:val="20"/>
                <w:szCs w:val="20"/>
                <w:lang w:val="en-GB" w:eastAsia="fr-FR"/>
              </w:rPr>
              <w:t>25th cycle, fully charged state</w:t>
            </w:r>
          </w:p>
        </w:tc>
        <w:tc>
          <w:tcPr>
            <w:tcW w:w="2855" w:type="dxa"/>
            <w:gridSpan w:val="5"/>
            <w:tcBorders>
              <w:top w:val="single" w:sz="4" w:space="0" w:color="000000"/>
              <w:left w:val="single" w:sz="4" w:space="0" w:color="000000"/>
              <w:bottom w:val="single" w:sz="4" w:space="0" w:color="000000"/>
            </w:tcBorders>
            <w:shd w:val="clear" w:color="auto" w:fill="auto"/>
            <w:vAlign w:val="bottom"/>
          </w:tcPr>
          <w:p w14:paraId="30AC742A" w14:textId="77777777" w:rsidR="00F85E46" w:rsidRPr="00A22E0C" w:rsidRDefault="00F85E46" w:rsidP="00676595">
            <w:pPr>
              <w:pStyle w:val="Standard"/>
              <w:jc w:val="center"/>
              <w:rPr>
                <w:rFonts w:eastAsia="Times New Roman" w:cs="Times New Roman"/>
                <w:sz w:val="20"/>
                <w:szCs w:val="20"/>
                <w:lang w:val="en-GB" w:eastAsia="fr-FR"/>
              </w:rPr>
            </w:pPr>
            <w:r w:rsidRPr="00A22E0C">
              <w:rPr>
                <w:rFonts w:eastAsia="Times New Roman" w:cs="Times New Roman"/>
                <w:sz w:val="20"/>
                <w:szCs w:val="20"/>
                <w:lang w:val="en-GB" w:eastAsia="fr-FR"/>
              </w:rPr>
              <w:t>3</w:t>
            </w:r>
          </w:p>
        </w:tc>
        <w:tc>
          <w:tcPr>
            <w:tcW w:w="596" w:type="dxa"/>
            <w:tcBorders>
              <w:top w:val="single" w:sz="4" w:space="0" w:color="000000"/>
              <w:left w:val="single" w:sz="4" w:space="0" w:color="000000"/>
              <w:bottom w:val="single" w:sz="4" w:space="0" w:color="000000"/>
            </w:tcBorders>
            <w:shd w:val="clear" w:color="auto" w:fill="auto"/>
            <w:vAlign w:val="bottom"/>
          </w:tcPr>
          <w:p w14:paraId="62F1389C" w14:textId="77777777" w:rsidR="00F85E46" w:rsidRPr="00A22E0C" w:rsidRDefault="00F85E46" w:rsidP="00676595">
            <w:pPr>
              <w:pStyle w:val="Standard"/>
              <w:snapToGrid w:val="0"/>
              <w:jc w:val="center"/>
              <w:rPr>
                <w:rFonts w:ascii="Times New Roman" w:hAnsi="Times New Roman" w:cs="Times New Roman"/>
                <w:sz w:val="20"/>
                <w:szCs w:val="20"/>
                <w:lang w:val="en-GB" w:eastAsia="fr-FR"/>
              </w:rPr>
            </w:pPr>
          </w:p>
        </w:tc>
        <w:tc>
          <w:tcPr>
            <w:tcW w:w="583" w:type="dxa"/>
            <w:tcBorders>
              <w:top w:val="single" w:sz="4" w:space="0" w:color="000000"/>
              <w:left w:val="single" w:sz="4" w:space="0" w:color="000000"/>
              <w:bottom w:val="single" w:sz="4" w:space="0" w:color="000000"/>
            </w:tcBorders>
            <w:shd w:val="clear" w:color="auto" w:fill="auto"/>
            <w:vAlign w:val="bottom"/>
          </w:tcPr>
          <w:p w14:paraId="5B15B234" w14:textId="77777777" w:rsidR="00F85E46" w:rsidRPr="00A22E0C" w:rsidRDefault="00F85E46" w:rsidP="00676595">
            <w:pPr>
              <w:pStyle w:val="Standard"/>
              <w:jc w:val="center"/>
              <w:rPr>
                <w:rFonts w:eastAsia="Times New Roman" w:cs="Times New Roman"/>
                <w:sz w:val="20"/>
                <w:szCs w:val="20"/>
                <w:lang w:val="en-GB" w:eastAsia="fr-FR"/>
              </w:rPr>
            </w:pPr>
            <w:r w:rsidRPr="00A22E0C">
              <w:rPr>
                <w:rFonts w:eastAsia="Times New Roman" w:cs="Times New Roman"/>
                <w:sz w:val="20"/>
                <w:szCs w:val="20"/>
                <w:lang w:val="en-GB" w:eastAsia="fr-FR"/>
              </w:rPr>
              <w:t>3</w:t>
            </w:r>
          </w:p>
        </w:tc>
        <w:tc>
          <w:tcPr>
            <w:tcW w:w="581" w:type="dxa"/>
            <w:tcBorders>
              <w:top w:val="single" w:sz="4" w:space="0" w:color="000000"/>
              <w:left w:val="single" w:sz="4" w:space="0" w:color="000000"/>
              <w:bottom w:val="single" w:sz="4" w:space="0" w:color="000000"/>
            </w:tcBorders>
            <w:shd w:val="clear" w:color="auto" w:fill="auto"/>
            <w:vAlign w:val="bottom"/>
          </w:tcPr>
          <w:p w14:paraId="6A62668E" w14:textId="77777777" w:rsidR="00F85E46" w:rsidRPr="00A22E0C" w:rsidRDefault="00F85E46" w:rsidP="00676595">
            <w:pPr>
              <w:pStyle w:val="Standard"/>
              <w:snapToGrid w:val="0"/>
              <w:jc w:val="center"/>
              <w:rPr>
                <w:rFonts w:ascii="Times New Roman" w:hAnsi="Times New Roman" w:cs="Times New Roman"/>
                <w:sz w:val="20"/>
                <w:szCs w:val="20"/>
                <w:lang w:val="en-GB" w:eastAsia="fr-FR"/>
              </w:rPr>
            </w:pPr>
          </w:p>
        </w:tc>
        <w:tc>
          <w:tcPr>
            <w:tcW w:w="6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C05447A" w14:textId="77777777" w:rsidR="00F85E46" w:rsidRPr="00A22E0C" w:rsidRDefault="00F85E46" w:rsidP="00676595">
            <w:pPr>
              <w:rPr>
                <w:lang w:eastAsia="fr-FR"/>
              </w:rPr>
            </w:pPr>
          </w:p>
        </w:tc>
      </w:tr>
      <w:tr w:rsidR="00F85E46" w:rsidRPr="00A22E0C" w14:paraId="31D0289F" w14:textId="77777777" w:rsidTr="00676595">
        <w:trPr>
          <w:trHeight w:val="312"/>
        </w:trPr>
        <w:tc>
          <w:tcPr>
            <w:tcW w:w="1495" w:type="dxa"/>
            <w:vMerge w:val="restart"/>
            <w:tcBorders>
              <w:top w:val="single" w:sz="4" w:space="0" w:color="000000"/>
              <w:left w:val="single" w:sz="4" w:space="0" w:color="000000"/>
              <w:bottom w:val="single" w:sz="4" w:space="0" w:color="000000"/>
            </w:tcBorders>
            <w:shd w:val="clear" w:color="auto" w:fill="auto"/>
            <w:vAlign w:val="center"/>
          </w:tcPr>
          <w:p w14:paraId="78877DBB" w14:textId="77777777" w:rsidR="00F85E46" w:rsidRPr="00A22E0C" w:rsidRDefault="00F85E46" w:rsidP="00676595">
            <w:pPr>
              <w:pStyle w:val="Standard"/>
              <w:rPr>
                <w:rFonts w:eastAsia="Times New Roman" w:cs="Times New Roman"/>
                <w:sz w:val="20"/>
                <w:szCs w:val="20"/>
                <w:lang w:val="en-GB" w:eastAsia="fr-FR"/>
              </w:rPr>
            </w:pPr>
            <w:r w:rsidRPr="00A22E0C">
              <w:rPr>
                <w:rFonts w:eastAsia="Times New Roman" w:cs="Times New Roman"/>
                <w:sz w:val="20"/>
                <w:szCs w:val="20"/>
                <w:lang w:val="en-GB" w:eastAsia="fr-FR"/>
              </w:rPr>
              <w:t>Large batteries</w:t>
            </w:r>
          </w:p>
        </w:tc>
        <w:tc>
          <w:tcPr>
            <w:tcW w:w="2858" w:type="dxa"/>
            <w:tcBorders>
              <w:top w:val="single" w:sz="4" w:space="0" w:color="000000"/>
              <w:left w:val="single" w:sz="4" w:space="0" w:color="000000"/>
              <w:bottom w:val="single" w:sz="4" w:space="0" w:color="000000"/>
            </w:tcBorders>
            <w:shd w:val="clear" w:color="auto" w:fill="auto"/>
            <w:vAlign w:val="bottom"/>
          </w:tcPr>
          <w:p w14:paraId="00EF59B6" w14:textId="77777777" w:rsidR="00F85E46" w:rsidRPr="00A22E0C" w:rsidRDefault="00F85E46" w:rsidP="00676595">
            <w:pPr>
              <w:pStyle w:val="Standard"/>
              <w:jc w:val="both"/>
              <w:rPr>
                <w:rFonts w:eastAsia="Times New Roman" w:cs="Times New Roman"/>
                <w:sz w:val="20"/>
                <w:szCs w:val="20"/>
                <w:lang w:val="en-GB" w:eastAsia="fr-FR"/>
              </w:rPr>
            </w:pPr>
            <w:r w:rsidRPr="00A22E0C">
              <w:rPr>
                <w:rFonts w:eastAsia="Times New Roman" w:cs="Times New Roman"/>
                <w:sz w:val="20"/>
                <w:szCs w:val="20"/>
                <w:lang w:val="en-GB" w:eastAsia="fr-FR"/>
              </w:rPr>
              <w:t>first cycle, fully charged state</w:t>
            </w:r>
          </w:p>
        </w:tc>
        <w:tc>
          <w:tcPr>
            <w:tcW w:w="2855" w:type="dxa"/>
            <w:gridSpan w:val="5"/>
            <w:tcBorders>
              <w:top w:val="single" w:sz="4" w:space="0" w:color="000000"/>
              <w:left w:val="single" w:sz="4" w:space="0" w:color="000000"/>
              <w:bottom w:val="single" w:sz="4" w:space="0" w:color="000000"/>
            </w:tcBorders>
            <w:shd w:val="clear" w:color="auto" w:fill="auto"/>
            <w:vAlign w:val="bottom"/>
          </w:tcPr>
          <w:p w14:paraId="79514872" w14:textId="77777777" w:rsidR="00F85E46" w:rsidRPr="00A22E0C" w:rsidRDefault="00F85E46" w:rsidP="00676595">
            <w:pPr>
              <w:pStyle w:val="Standard"/>
              <w:jc w:val="center"/>
              <w:rPr>
                <w:rFonts w:eastAsia="Times New Roman" w:cs="Times New Roman"/>
                <w:sz w:val="20"/>
                <w:szCs w:val="20"/>
                <w:lang w:val="en-GB" w:eastAsia="fr-FR"/>
              </w:rPr>
            </w:pPr>
            <w:r w:rsidRPr="00A22E0C">
              <w:rPr>
                <w:rFonts w:eastAsia="Times New Roman" w:cs="Times New Roman"/>
                <w:sz w:val="20"/>
                <w:szCs w:val="20"/>
                <w:lang w:val="en-GB" w:eastAsia="fr-FR"/>
              </w:rPr>
              <w:t>2</w:t>
            </w:r>
          </w:p>
        </w:tc>
        <w:tc>
          <w:tcPr>
            <w:tcW w:w="596" w:type="dxa"/>
            <w:tcBorders>
              <w:top w:val="single" w:sz="4" w:space="0" w:color="000000"/>
              <w:left w:val="single" w:sz="4" w:space="0" w:color="000000"/>
              <w:bottom w:val="single" w:sz="4" w:space="0" w:color="000000"/>
            </w:tcBorders>
            <w:shd w:val="clear" w:color="auto" w:fill="auto"/>
            <w:vAlign w:val="bottom"/>
          </w:tcPr>
          <w:p w14:paraId="3E55397F" w14:textId="77777777" w:rsidR="00F85E46" w:rsidRPr="00A22E0C" w:rsidRDefault="00F85E46" w:rsidP="00676595">
            <w:pPr>
              <w:pStyle w:val="Standard"/>
              <w:snapToGrid w:val="0"/>
              <w:jc w:val="center"/>
              <w:rPr>
                <w:rFonts w:ascii="Times New Roman" w:hAnsi="Times New Roman" w:cs="Times New Roman"/>
                <w:sz w:val="20"/>
                <w:szCs w:val="20"/>
                <w:lang w:val="en-GB" w:eastAsia="fr-FR"/>
              </w:rPr>
            </w:pPr>
          </w:p>
        </w:tc>
        <w:tc>
          <w:tcPr>
            <w:tcW w:w="583" w:type="dxa"/>
            <w:tcBorders>
              <w:top w:val="single" w:sz="4" w:space="0" w:color="000000"/>
              <w:left w:val="single" w:sz="4" w:space="0" w:color="000000"/>
              <w:bottom w:val="single" w:sz="4" w:space="0" w:color="000000"/>
            </w:tcBorders>
            <w:shd w:val="clear" w:color="auto" w:fill="auto"/>
            <w:vAlign w:val="bottom"/>
          </w:tcPr>
          <w:p w14:paraId="668B9AB8" w14:textId="77777777" w:rsidR="00F85E46" w:rsidRPr="00A22E0C" w:rsidRDefault="00F85E46" w:rsidP="00676595">
            <w:pPr>
              <w:pStyle w:val="Standard"/>
              <w:jc w:val="center"/>
              <w:rPr>
                <w:rFonts w:eastAsia="Times New Roman" w:cs="Times New Roman"/>
                <w:sz w:val="20"/>
                <w:szCs w:val="20"/>
                <w:lang w:val="en-GB" w:eastAsia="fr-FR"/>
              </w:rPr>
            </w:pPr>
            <w:r w:rsidRPr="00A22E0C">
              <w:rPr>
                <w:rFonts w:eastAsia="Times New Roman" w:cs="Times New Roman"/>
                <w:sz w:val="20"/>
                <w:szCs w:val="20"/>
                <w:lang w:val="en-GB" w:eastAsia="fr-FR"/>
              </w:rPr>
              <w:t>2</w:t>
            </w:r>
          </w:p>
        </w:tc>
        <w:tc>
          <w:tcPr>
            <w:tcW w:w="581" w:type="dxa"/>
            <w:tcBorders>
              <w:top w:val="single" w:sz="4" w:space="0" w:color="000000"/>
              <w:left w:val="single" w:sz="4" w:space="0" w:color="000000"/>
              <w:bottom w:val="single" w:sz="4" w:space="0" w:color="000000"/>
            </w:tcBorders>
            <w:shd w:val="clear" w:color="auto" w:fill="auto"/>
            <w:vAlign w:val="bottom"/>
          </w:tcPr>
          <w:p w14:paraId="14BB8007" w14:textId="77777777" w:rsidR="00F85E46" w:rsidRPr="00A22E0C" w:rsidRDefault="00F85E46" w:rsidP="00676595">
            <w:pPr>
              <w:pStyle w:val="Standard"/>
              <w:snapToGrid w:val="0"/>
              <w:jc w:val="center"/>
              <w:rPr>
                <w:rFonts w:ascii="Times New Roman" w:hAnsi="Times New Roman" w:cs="Times New Roman"/>
                <w:sz w:val="20"/>
                <w:szCs w:val="20"/>
                <w:lang w:val="en-GB" w:eastAsia="fr-FR"/>
              </w:rPr>
            </w:pPr>
          </w:p>
        </w:tc>
        <w:tc>
          <w:tcPr>
            <w:tcW w:w="6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82B57B1" w14:textId="77777777" w:rsidR="00F85E46" w:rsidRPr="00A22E0C" w:rsidRDefault="00F85E46" w:rsidP="00676595">
            <w:pPr>
              <w:pStyle w:val="Standard"/>
              <w:jc w:val="center"/>
              <w:rPr>
                <w:rFonts w:eastAsia="Times New Roman" w:cs="Times New Roman"/>
                <w:sz w:val="20"/>
                <w:szCs w:val="20"/>
                <w:lang w:val="en-GB" w:eastAsia="fr-FR"/>
              </w:rPr>
            </w:pPr>
            <w:r w:rsidRPr="00A22E0C">
              <w:rPr>
                <w:rFonts w:eastAsia="Times New Roman" w:cs="Times New Roman"/>
                <w:sz w:val="20"/>
                <w:szCs w:val="20"/>
                <w:lang w:val="en-GB" w:eastAsia="fr-FR"/>
              </w:rPr>
              <w:t>8</w:t>
            </w:r>
          </w:p>
        </w:tc>
      </w:tr>
      <w:tr w:rsidR="00F85E46" w:rsidRPr="00A22E0C" w14:paraId="43A64F31" w14:textId="77777777" w:rsidTr="00676595">
        <w:trPr>
          <w:trHeight w:val="324"/>
        </w:trPr>
        <w:tc>
          <w:tcPr>
            <w:tcW w:w="1495" w:type="dxa"/>
            <w:vMerge/>
            <w:tcBorders>
              <w:top w:val="single" w:sz="4" w:space="0" w:color="000000"/>
              <w:left w:val="single" w:sz="4" w:space="0" w:color="000000"/>
              <w:bottom w:val="single" w:sz="4" w:space="0" w:color="000000"/>
            </w:tcBorders>
            <w:shd w:val="clear" w:color="auto" w:fill="auto"/>
            <w:vAlign w:val="center"/>
          </w:tcPr>
          <w:p w14:paraId="19B33767" w14:textId="77777777" w:rsidR="00F85E46" w:rsidRPr="00A22E0C" w:rsidRDefault="00F85E46" w:rsidP="00676595"/>
        </w:tc>
        <w:tc>
          <w:tcPr>
            <w:tcW w:w="2858" w:type="dxa"/>
            <w:tcBorders>
              <w:top w:val="single" w:sz="4" w:space="0" w:color="000000"/>
              <w:left w:val="single" w:sz="4" w:space="0" w:color="000000"/>
              <w:bottom w:val="single" w:sz="4" w:space="0" w:color="000000"/>
            </w:tcBorders>
            <w:shd w:val="clear" w:color="auto" w:fill="auto"/>
            <w:vAlign w:val="bottom"/>
          </w:tcPr>
          <w:p w14:paraId="0B612384" w14:textId="77777777" w:rsidR="00F85E46" w:rsidRPr="00A22E0C" w:rsidRDefault="00F85E46" w:rsidP="00676595">
            <w:pPr>
              <w:pStyle w:val="Standard"/>
              <w:jc w:val="both"/>
              <w:rPr>
                <w:rFonts w:eastAsia="Times New Roman" w:cs="Times New Roman"/>
                <w:sz w:val="20"/>
                <w:szCs w:val="20"/>
                <w:lang w:val="en-GB" w:eastAsia="fr-FR"/>
              </w:rPr>
            </w:pPr>
            <w:r w:rsidRPr="00A22E0C">
              <w:rPr>
                <w:rFonts w:eastAsia="Times New Roman" w:cs="Times New Roman"/>
                <w:sz w:val="20"/>
                <w:szCs w:val="20"/>
                <w:lang w:val="en-GB" w:eastAsia="fr-FR"/>
              </w:rPr>
              <w:t>25th cycle, fully charged state</w:t>
            </w:r>
          </w:p>
        </w:tc>
        <w:tc>
          <w:tcPr>
            <w:tcW w:w="2855" w:type="dxa"/>
            <w:gridSpan w:val="5"/>
            <w:tcBorders>
              <w:top w:val="single" w:sz="4" w:space="0" w:color="000000"/>
              <w:left w:val="single" w:sz="4" w:space="0" w:color="000000"/>
              <w:bottom w:val="single" w:sz="4" w:space="0" w:color="000000"/>
            </w:tcBorders>
            <w:shd w:val="clear" w:color="auto" w:fill="auto"/>
            <w:vAlign w:val="bottom"/>
          </w:tcPr>
          <w:p w14:paraId="289C422A" w14:textId="77777777" w:rsidR="00F85E46" w:rsidRPr="00A22E0C" w:rsidRDefault="00F85E46" w:rsidP="00676595">
            <w:pPr>
              <w:pStyle w:val="Standard"/>
              <w:jc w:val="center"/>
              <w:rPr>
                <w:rFonts w:eastAsia="Times New Roman" w:cs="Times New Roman"/>
                <w:sz w:val="20"/>
                <w:szCs w:val="20"/>
                <w:lang w:val="en-GB" w:eastAsia="fr-FR"/>
              </w:rPr>
            </w:pPr>
            <w:r w:rsidRPr="00A22E0C">
              <w:rPr>
                <w:rFonts w:eastAsia="Times New Roman" w:cs="Times New Roman"/>
                <w:sz w:val="20"/>
                <w:szCs w:val="20"/>
                <w:lang w:val="en-GB" w:eastAsia="fr-FR"/>
              </w:rPr>
              <w:t>2</w:t>
            </w:r>
          </w:p>
        </w:tc>
        <w:tc>
          <w:tcPr>
            <w:tcW w:w="596" w:type="dxa"/>
            <w:tcBorders>
              <w:top w:val="single" w:sz="4" w:space="0" w:color="000000"/>
              <w:left w:val="single" w:sz="4" w:space="0" w:color="000000"/>
              <w:bottom w:val="single" w:sz="4" w:space="0" w:color="000000"/>
            </w:tcBorders>
            <w:shd w:val="clear" w:color="auto" w:fill="auto"/>
            <w:vAlign w:val="bottom"/>
          </w:tcPr>
          <w:p w14:paraId="0DA31C7A" w14:textId="77777777" w:rsidR="00F85E46" w:rsidRPr="00A22E0C" w:rsidRDefault="00F85E46" w:rsidP="00676595">
            <w:pPr>
              <w:pStyle w:val="Standard"/>
              <w:snapToGrid w:val="0"/>
              <w:jc w:val="center"/>
              <w:rPr>
                <w:rFonts w:ascii="Times New Roman" w:hAnsi="Times New Roman" w:cs="Times New Roman"/>
                <w:sz w:val="20"/>
                <w:szCs w:val="20"/>
                <w:lang w:val="en-GB" w:eastAsia="fr-FR"/>
              </w:rPr>
            </w:pPr>
          </w:p>
        </w:tc>
        <w:tc>
          <w:tcPr>
            <w:tcW w:w="583" w:type="dxa"/>
            <w:tcBorders>
              <w:top w:val="single" w:sz="4" w:space="0" w:color="000000"/>
              <w:left w:val="single" w:sz="4" w:space="0" w:color="000000"/>
              <w:bottom w:val="single" w:sz="4" w:space="0" w:color="000000"/>
            </w:tcBorders>
            <w:shd w:val="clear" w:color="auto" w:fill="auto"/>
            <w:vAlign w:val="bottom"/>
          </w:tcPr>
          <w:p w14:paraId="45883848" w14:textId="77777777" w:rsidR="00F85E46" w:rsidRPr="00A22E0C" w:rsidRDefault="00F85E46" w:rsidP="00676595">
            <w:pPr>
              <w:pStyle w:val="Standard"/>
              <w:jc w:val="center"/>
              <w:rPr>
                <w:rFonts w:eastAsia="Times New Roman" w:cs="Times New Roman"/>
                <w:sz w:val="20"/>
                <w:szCs w:val="20"/>
                <w:lang w:val="en-GB" w:eastAsia="fr-FR"/>
              </w:rPr>
            </w:pPr>
            <w:r w:rsidRPr="00A22E0C">
              <w:rPr>
                <w:rFonts w:eastAsia="Times New Roman" w:cs="Times New Roman"/>
                <w:sz w:val="20"/>
                <w:szCs w:val="20"/>
                <w:lang w:val="en-GB" w:eastAsia="fr-FR"/>
              </w:rPr>
              <w:t>2</w:t>
            </w:r>
          </w:p>
        </w:tc>
        <w:tc>
          <w:tcPr>
            <w:tcW w:w="581" w:type="dxa"/>
            <w:tcBorders>
              <w:top w:val="single" w:sz="4" w:space="0" w:color="000000"/>
              <w:left w:val="single" w:sz="4" w:space="0" w:color="000000"/>
              <w:bottom w:val="single" w:sz="4" w:space="0" w:color="000000"/>
            </w:tcBorders>
            <w:shd w:val="clear" w:color="auto" w:fill="auto"/>
            <w:vAlign w:val="bottom"/>
          </w:tcPr>
          <w:p w14:paraId="15E3F255" w14:textId="77777777" w:rsidR="00F85E46" w:rsidRPr="00A22E0C" w:rsidRDefault="00F85E46" w:rsidP="00676595">
            <w:pPr>
              <w:pStyle w:val="Standard"/>
              <w:snapToGrid w:val="0"/>
              <w:jc w:val="center"/>
              <w:rPr>
                <w:rFonts w:ascii="Times New Roman" w:hAnsi="Times New Roman" w:cs="Times New Roman"/>
                <w:sz w:val="20"/>
                <w:szCs w:val="20"/>
                <w:lang w:val="en-GB" w:eastAsia="fr-FR"/>
              </w:rPr>
            </w:pPr>
          </w:p>
        </w:tc>
        <w:tc>
          <w:tcPr>
            <w:tcW w:w="6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4D467FD" w14:textId="77777777" w:rsidR="00F85E46" w:rsidRPr="00A22E0C" w:rsidRDefault="00F85E46" w:rsidP="00676595">
            <w:pPr>
              <w:rPr>
                <w:lang w:eastAsia="fr-FR"/>
              </w:rPr>
            </w:pPr>
          </w:p>
        </w:tc>
      </w:tr>
      <w:tr w:rsidR="00F85E46" w:rsidRPr="00A22E0C" w14:paraId="2A06433F" w14:textId="77777777" w:rsidTr="00676595">
        <w:trPr>
          <w:trHeight w:val="948"/>
        </w:trPr>
        <w:tc>
          <w:tcPr>
            <w:tcW w:w="1495" w:type="dxa"/>
            <w:tcBorders>
              <w:top w:val="single" w:sz="4" w:space="0" w:color="000000"/>
              <w:left w:val="single" w:sz="4" w:space="0" w:color="000000"/>
              <w:bottom w:val="single" w:sz="4" w:space="0" w:color="000000"/>
            </w:tcBorders>
            <w:shd w:val="clear" w:color="auto" w:fill="auto"/>
            <w:vAlign w:val="center"/>
          </w:tcPr>
          <w:p w14:paraId="5E38F56C" w14:textId="77777777" w:rsidR="00F85E46" w:rsidRPr="00A22E0C" w:rsidRDefault="00F85E46" w:rsidP="00676595">
            <w:pPr>
              <w:pStyle w:val="Standard"/>
              <w:rPr>
                <w:rFonts w:hint="eastAsia"/>
                <w:lang w:val="en-GB"/>
              </w:rPr>
            </w:pPr>
            <w:r w:rsidRPr="00A22E0C">
              <w:rPr>
                <w:rFonts w:eastAsia="Times New Roman" w:cs="Times New Roman"/>
                <w:sz w:val="20"/>
                <w:szCs w:val="20"/>
                <w:lang w:val="en-GB" w:eastAsia="fr-FR"/>
              </w:rPr>
              <w:t>Batteries assembled</w:t>
            </w:r>
            <w:r w:rsidRPr="00A22E0C">
              <w:rPr>
                <w:sz w:val="20"/>
                <w:szCs w:val="20"/>
                <w:lang w:val="en-GB"/>
              </w:rPr>
              <w:br/>
            </w:r>
            <w:r w:rsidRPr="00A22E0C">
              <w:rPr>
                <w:rFonts w:eastAsia="Times New Roman" w:cs="Times New Roman"/>
                <w:sz w:val="20"/>
                <w:szCs w:val="20"/>
                <w:lang w:val="en-GB" w:eastAsia="fr-FR"/>
              </w:rPr>
              <w:t>with tested batteries</w:t>
            </w:r>
            <w:r w:rsidRPr="00A22E0C">
              <w:rPr>
                <w:sz w:val="20"/>
                <w:szCs w:val="20"/>
                <w:lang w:val="en-GB"/>
              </w:rPr>
              <w:br/>
            </w:r>
            <w:r w:rsidRPr="00A22E0C">
              <w:rPr>
                <w:rFonts w:eastAsia="Times New Roman" w:cs="Times New Roman"/>
                <w:sz w:val="20"/>
                <w:szCs w:val="20"/>
                <w:lang w:val="en-GB" w:eastAsia="fr-FR"/>
              </w:rPr>
              <w:t>≤ 6 200 Wh</w:t>
            </w:r>
          </w:p>
        </w:tc>
        <w:tc>
          <w:tcPr>
            <w:tcW w:w="2858" w:type="dxa"/>
            <w:tcBorders>
              <w:top w:val="single" w:sz="4" w:space="0" w:color="000000"/>
              <w:left w:val="single" w:sz="4" w:space="0" w:color="000000"/>
              <w:bottom w:val="single" w:sz="4" w:space="0" w:color="000000"/>
            </w:tcBorders>
            <w:shd w:val="clear" w:color="auto" w:fill="auto"/>
            <w:vAlign w:val="center"/>
          </w:tcPr>
          <w:p w14:paraId="4A2C1C48" w14:textId="77777777" w:rsidR="00F85E46" w:rsidRPr="00A22E0C" w:rsidRDefault="00F85E46" w:rsidP="00676595">
            <w:pPr>
              <w:pStyle w:val="Standard"/>
              <w:jc w:val="both"/>
              <w:rPr>
                <w:rFonts w:eastAsia="Times New Roman" w:cs="Times New Roman"/>
                <w:sz w:val="20"/>
                <w:szCs w:val="20"/>
                <w:lang w:val="en-GB" w:eastAsia="fr-FR"/>
              </w:rPr>
            </w:pPr>
            <w:r w:rsidRPr="00A22E0C">
              <w:rPr>
                <w:rFonts w:eastAsia="Times New Roman" w:cs="Times New Roman"/>
                <w:sz w:val="20"/>
                <w:szCs w:val="20"/>
                <w:lang w:val="en-GB" w:eastAsia="fr-FR"/>
              </w:rPr>
              <w:t>fully charged state</w:t>
            </w:r>
          </w:p>
        </w:tc>
        <w:tc>
          <w:tcPr>
            <w:tcW w:w="600" w:type="dxa"/>
            <w:tcBorders>
              <w:top w:val="single" w:sz="4" w:space="0" w:color="000000"/>
              <w:left w:val="single" w:sz="4" w:space="0" w:color="000000"/>
              <w:bottom w:val="single" w:sz="4" w:space="0" w:color="000000"/>
            </w:tcBorders>
            <w:shd w:val="clear" w:color="auto" w:fill="auto"/>
            <w:vAlign w:val="center"/>
          </w:tcPr>
          <w:p w14:paraId="1945CD27" w14:textId="77777777" w:rsidR="00F85E46" w:rsidRPr="00A22E0C" w:rsidRDefault="00F85E46" w:rsidP="00676595">
            <w:pPr>
              <w:pStyle w:val="Standard"/>
              <w:snapToGrid w:val="0"/>
              <w:jc w:val="center"/>
              <w:rPr>
                <w:rFonts w:ascii="Times New Roman" w:hAnsi="Times New Roman" w:cs="Times New Roman"/>
                <w:sz w:val="20"/>
                <w:szCs w:val="20"/>
                <w:lang w:val="en-GB" w:eastAsia="fr-FR"/>
              </w:rPr>
            </w:pPr>
          </w:p>
        </w:tc>
        <w:tc>
          <w:tcPr>
            <w:tcW w:w="599" w:type="dxa"/>
            <w:tcBorders>
              <w:top w:val="single" w:sz="4" w:space="0" w:color="000000"/>
              <w:left w:val="single" w:sz="4" w:space="0" w:color="000000"/>
              <w:bottom w:val="single" w:sz="4" w:space="0" w:color="000000"/>
            </w:tcBorders>
            <w:shd w:val="clear" w:color="auto" w:fill="auto"/>
            <w:vAlign w:val="center"/>
          </w:tcPr>
          <w:p w14:paraId="25DC003A" w14:textId="77777777" w:rsidR="00F85E46" w:rsidRPr="00A22E0C" w:rsidRDefault="00F85E46" w:rsidP="00676595">
            <w:pPr>
              <w:pStyle w:val="Standard"/>
              <w:snapToGrid w:val="0"/>
              <w:jc w:val="center"/>
              <w:rPr>
                <w:rFonts w:ascii="Times New Roman" w:hAnsi="Times New Roman" w:cs="Times New Roman"/>
                <w:sz w:val="20"/>
                <w:szCs w:val="20"/>
                <w:lang w:val="en-GB" w:eastAsia="fr-FR"/>
              </w:rPr>
            </w:pPr>
          </w:p>
        </w:tc>
        <w:tc>
          <w:tcPr>
            <w:tcW w:w="1656" w:type="dxa"/>
            <w:gridSpan w:val="3"/>
            <w:tcBorders>
              <w:top w:val="single" w:sz="4" w:space="0" w:color="000000"/>
              <w:left w:val="single" w:sz="4" w:space="0" w:color="000000"/>
              <w:bottom w:val="single" w:sz="4" w:space="0" w:color="000000"/>
            </w:tcBorders>
            <w:shd w:val="clear" w:color="auto" w:fill="auto"/>
            <w:vAlign w:val="center"/>
          </w:tcPr>
          <w:p w14:paraId="0401673F" w14:textId="77777777" w:rsidR="00F85E46" w:rsidRPr="00A22E0C" w:rsidRDefault="00F85E46" w:rsidP="00676595">
            <w:pPr>
              <w:pStyle w:val="Standard"/>
              <w:jc w:val="center"/>
              <w:rPr>
                <w:rFonts w:eastAsia="Times New Roman" w:cs="Times New Roman"/>
                <w:sz w:val="20"/>
                <w:szCs w:val="20"/>
                <w:lang w:val="en-GB" w:eastAsia="fr-FR"/>
              </w:rPr>
            </w:pPr>
            <w:r w:rsidRPr="00A22E0C">
              <w:rPr>
                <w:rFonts w:eastAsia="Times New Roman" w:cs="Times New Roman"/>
                <w:sz w:val="20"/>
                <w:szCs w:val="20"/>
                <w:lang w:val="en-GB" w:eastAsia="fr-FR"/>
              </w:rPr>
              <w:t>1</w:t>
            </w:r>
          </w:p>
        </w:tc>
        <w:tc>
          <w:tcPr>
            <w:tcW w:w="596" w:type="dxa"/>
            <w:tcBorders>
              <w:top w:val="single" w:sz="4" w:space="0" w:color="000000"/>
              <w:left w:val="single" w:sz="4" w:space="0" w:color="000000"/>
              <w:bottom w:val="single" w:sz="4" w:space="0" w:color="000000"/>
            </w:tcBorders>
            <w:shd w:val="clear" w:color="auto" w:fill="auto"/>
            <w:vAlign w:val="center"/>
          </w:tcPr>
          <w:p w14:paraId="44E29BE0" w14:textId="77777777" w:rsidR="00F85E46" w:rsidRPr="00A22E0C" w:rsidRDefault="00F85E46" w:rsidP="00676595">
            <w:pPr>
              <w:pStyle w:val="Standard"/>
              <w:snapToGrid w:val="0"/>
              <w:jc w:val="center"/>
              <w:rPr>
                <w:rFonts w:ascii="Times New Roman" w:hAnsi="Times New Roman" w:cs="Times New Roman"/>
                <w:sz w:val="20"/>
                <w:szCs w:val="20"/>
                <w:lang w:val="en-GB" w:eastAsia="fr-FR"/>
              </w:rPr>
            </w:pPr>
          </w:p>
        </w:tc>
        <w:tc>
          <w:tcPr>
            <w:tcW w:w="583" w:type="dxa"/>
            <w:tcBorders>
              <w:top w:val="single" w:sz="4" w:space="0" w:color="000000"/>
              <w:left w:val="single" w:sz="4" w:space="0" w:color="000000"/>
              <w:bottom w:val="single" w:sz="4" w:space="0" w:color="000000"/>
            </w:tcBorders>
            <w:shd w:val="clear" w:color="auto" w:fill="auto"/>
            <w:vAlign w:val="center"/>
          </w:tcPr>
          <w:p w14:paraId="4482BEDC" w14:textId="77777777" w:rsidR="00F85E46" w:rsidRPr="00A22E0C" w:rsidRDefault="00F85E46" w:rsidP="00676595">
            <w:pPr>
              <w:pStyle w:val="Standard"/>
              <w:jc w:val="center"/>
              <w:rPr>
                <w:rFonts w:eastAsia="Times New Roman" w:cs="Times New Roman"/>
                <w:sz w:val="20"/>
                <w:szCs w:val="20"/>
                <w:lang w:val="en-GB" w:eastAsia="fr-FR"/>
              </w:rPr>
            </w:pPr>
            <w:r w:rsidRPr="00A22E0C">
              <w:rPr>
                <w:rFonts w:eastAsia="Times New Roman" w:cs="Times New Roman"/>
                <w:sz w:val="20"/>
                <w:szCs w:val="20"/>
                <w:lang w:val="en-GB" w:eastAsia="fr-FR"/>
              </w:rPr>
              <w:t>1</w:t>
            </w:r>
          </w:p>
        </w:tc>
        <w:tc>
          <w:tcPr>
            <w:tcW w:w="581" w:type="dxa"/>
            <w:tcBorders>
              <w:top w:val="single" w:sz="4" w:space="0" w:color="000000"/>
              <w:left w:val="single" w:sz="4" w:space="0" w:color="000000"/>
              <w:bottom w:val="single" w:sz="4" w:space="0" w:color="000000"/>
            </w:tcBorders>
            <w:shd w:val="clear" w:color="auto" w:fill="auto"/>
            <w:vAlign w:val="bottom"/>
          </w:tcPr>
          <w:p w14:paraId="66E0D9A2" w14:textId="77777777" w:rsidR="00F85E46" w:rsidRPr="00A22E0C" w:rsidRDefault="00F85E46" w:rsidP="00676595">
            <w:pPr>
              <w:pStyle w:val="Standard"/>
              <w:snapToGrid w:val="0"/>
              <w:jc w:val="center"/>
              <w:rPr>
                <w:rFonts w:ascii="Times New Roman" w:hAnsi="Times New Roman" w:cs="Times New Roman"/>
                <w:sz w:val="20"/>
                <w:szCs w:val="20"/>
                <w:lang w:val="en-GB" w:eastAsia="fr-FR"/>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0A0247" w14:textId="77777777" w:rsidR="00F85E46" w:rsidRPr="00A22E0C" w:rsidRDefault="00F85E46" w:rsidP="00676595">
            <w:pPr>
              <w:pStyle w:val="Standard"/>
              <w:jc w:val="center"/>
              <w:rPr>
                <w:rFonts w:eastAsia="Times New Roman" w:cs="Times New Roman"/>
                <w:sz w:val="20"/>
                <w:szCs w:val="20"/>
                <w:lang w:val="en-GB" w:eastAsia="fr-FR"/>
              </w:rPr>
            </w:pPr>
            <w:r w:rsidRPr="00A22E0C">
              <w:rPr>
                <w:rFonts w:eastAsia="Times New Roman" w:cs="Times New Roman"/>
                <w:sz w:val="20"/>
                <w:szCs w:val="20"/>
                <w:lang w:val="en-GB" w:eastAsia="fr-FR"/>
              </w:rPr>
              <w:t>2</w:t>
            </w:r>
          </w:p>
        </w:tc>
      </w:tr>
      <w:tr w:rsidR="00F85E46" w:rsidRPr="00A22E0C" w14:paraId="5B39B38F" w14:textId="77777777" w:rsidTr="00676595">
        <w:trPr>
          <w:trHeight w:val="948"/>
        </w:trPr>
        <w:tc>
          <w:tcPr>
            <w:tcW w:w="1495" w:type="dxa"/>
            <w:tcBorders>
              <w:top w:val="single" w:sz="4" w:space="0" w:color="000000"/>
              <w:left w:val="single" w:sz="4" w:space="0" w:color="000000"/>
              <w:bottom w:val="single" w:sz="4" w:space="0" w:color="000000"/>
            </w:tcBorders>
            <w:shd w:val="clear" w:color="auto" w:fill="auto"/>
            <w:vAlign w:val="center"/>
          </w:tcPr>
          <w:p w14:paraId="4D4E9F7A" w14:textId="77777777" w:rsidR="00F85E46" w:rsidRPr="00A22E0C" w:rsidRDefault="00F85E46" w:rsidP="00676595">
            <w:pPr>
              <w:pStyle w:val="Standard"/>
              <w:rPr>
                <w:rFonts w:hint="eastAsia"/>
                <w:lang w:val="en-GB"/>
              </w:rPr>
            </w:pPr>
            <w:r w:rsidRPr="00A22E0C">
              <w:rPr>
                <w:rFonts w:eastAsia="Times New Roman" w:cs="Times New Roman"/>
                <w:sz w:val="20"/>
                <w:szCs w:val="20"/>
                <w:lang w:val="en-GB" w:eastAsia="fr-FR"/>
              </w:rPr>
              <w:t>Batteries assembled</w:t>
            </w:r>
            <w:r w:rsidRPr="00A22E0C">
              <w:rPr>
                <w:sz w:val="20"/>
                <w:szCs w:val="20"/>
                <w:lang w:val="en-GB"/>
              </w:rPr>
              <w:br/>
            </w:r>
            <w:r w:rsidRPr="00A22E0C">
              <w:rPr>
                <w:rFonts w:eastAsia="Times New Roman" w:cs="Times New Roman"/>
                <w:sz w:val="20"/>
                <w:szCs w:val="20"/>
                <w:lang w:val="en-GB" w:eastAsia="fr-FR"/>
              </w:rPr>
              <w:t>with tested batteries</w:t>
            </w:r>
            <w:r w:rsidRPr="00A22E0C">
              <w:rPr>
                <w:sz w:val="20"/>
                <w:szCs w:val="20"/>
                <w:lang w:val="en-GB"/>
              </w:rPr>
              <w:br/>
            </w:r>
            <w:r w:rsidRPr="00A22E0C">
              <w:rPr>
                <w:rFonts w:eastAsia="Times New Roman" w:cs="Times New Roman"/>
                <w:sz w:val="20"/>
                <w:szCs w:val="20"/>
                <w:lang w:val="en-GB" w:eastAsia="fr-FR"/>
              </w:rPr>
              <w:t>&gt; 6 200 Wh</w:t>
            </w:r>
            <w:r w:rsidRPr="00A22E0C">
              <w:rPr>
                <w:sz w:val="20"/>
                <w:szCs w:val="20"/>
                <w:vertAlign w:val="superscript"/>
                <w:lang w:val="en-GB"/>
              </w:rPr>
              <w:t>c</w:t>
            </w:r>
          </w:p>
        </w:tc>
        <w:tc>
          <w:tcPr>
            <w:tcW w:w="2858" w:type="dxa"/>
            <w:tcBorders>
              <w:top w:val="single" w:sz="4" w:space="0" w:color="000000"/>
              <w:left w:val="single" w:sz="4" w:space="0" w:color="000000"/>
              <w:bottom w:val="single" w:sz="4" w:space="0" w:color="000000"/>
            </w:tcBorders>
            <w:shd w:val="clear" w:color="auto" w:fill="auto"/>
            <w:vAlign w:val="bottom"/>
          </w:tcPr>
          <w:p w14:paraId="5C48F21F" w14:textId="77777777" w:rsidR="00F85E46" w:rsidRPr="00A22E0C" w:rsidRDefault="00F85E46" w:rsidP="00676595">
            <w:pPr>
              <w:pStyle w:val="Standard"/>
              <w:jc w:val="both"/>
              <w:rPr>
                <w:rFonts w:eastAsia="Times New Roman" w:cs="Times New Roman"/>
                <w:sz w:val="20"/>
                <w:szCs w:val="20"/>
                <w:lang w:val="en-GB" w:eastAsia="fr-FR"/>
              </w:rPr>
            </w:pPr>
            <w:r w:rsidRPr="00A22E0C">
              <w:rPr>
                <w:rFonts w:eastAsia="Times New Roman" w:cs="Times New Roman"/>
                <w:sz w:val="20"/>
                <w:szCs w:val="20"/>
                <w:lang w:val="en-GB" w:eastAsia="fr-FR"/>
              </w:rPr>
              <w:t> </w:t>
            </w:r>
          </w:p>
        </w:tc>
        <w:tc>
          <w:tcPr>
            <w:tcW w:w="600" w:type="dxa"/>
            <w:tcBorders>
              <w:top w:val="single" w:sz="4" w:space="0" w:color="000000"/>
              <w:left w:val="single" w:sz="4" w:space="0" w:color="000000"/>
              <w:bottom w:val="single" w:sz="4" w:space="0" w:color="000000"/>
            </w:tcBorders>
            <w:shd w:val="clear" w:color="auto" w:fill="auto"/>
            <w:vAlign w:val="bottom"/>
          </w:tcPr>
          <w:p w14:paraId="757D7131" w14:textId="77777777" w:rsidR="00F85E46" w:rsidRPr="00A22E0C" w:rsidRDefault="00F85E46" w:rsidP="00676595">
            <w:pPr>
              <w:pStyle w:val="Standard"/>
              <w:snapToGrid w:val="0"/>
              <w:jc w:val="center"/>
              <w:rPr>
                <w:rFonts w:ascii="Times New Roman" w:hAnsi="Times New Roman" w:cs="Times New Roman"/>
                <w:sz w:val="20"/>
                <w:szCs w:val="20"/>
                <w:lang w:val="en-GB" w:eastAsia="fr-FR"/>
              </w:rPr>
            </w:pPr>
          </w:p>
        </w:tc>
        <w:tc>
          <w:tcPr>
            <w:tcW w:w="599" w:type="dxa"/>
            <w:tcBorders>
              <w:top w:val="single" w:sz="4" w:space="0" w:color="000000"/>
              <w:left w:val="single" w:sz="4" w:space="0" w:color="000000"/>
              <w:bottom w:val="single" w:sz="4" w:space="0" w:color="000000"/>
            </w:tcBorders>
            <w:shd w:val="clear" w:color="auto" w:fill="auto"/>
            <w:vAlign w:val="bottom"/>
          </w:tcPr>
          <w:p w14:paraId="686C4E26" w14:textId="77777777" w:rsidR="00F85E46" w:rsidRPr="00A22E0C" w:rsidRDefault="00F85E46" w:rsidP="00676595">
            <w:pPr>
              <w:pStyle w:val="Standard"/>
              <w:snapToGrid w:val="0"/>
              <w:jc w:val="center"/>
              <w:rPr>
                <w:rFonts w:ascii="Times New Roman" w:hAnsi="Times New Roman" w:cs="Times New Roman"/>
                <w:sz w:val="20"/>
                <w:szCs w:val="20"/>
                <w:lang w:val="en-GB" w:eastAsia="fr-FR"/>
              </w:rPr>
            </w:pPr>
          </w:p>
        </w:tc>
        <w:tc>
          <w:tcPr>
            <w:tcW w:w="600" w:type="dxa"/>
            <w:tcBorders>
              <w:top w:val="single" w:sz="4" w:space="0" w:color="000000"/>
              <w:left w:val="single" w:sz="4" w:space="0" w:color="000000"/>
              <w:bottom w:val="single" w:sz="4" w:space="0" w:color="000000"/>
            </w:tcBorders>
            <w:shd w:val="clear" w:color="auto" w:fill="auto"/>
            <w:vAlign w:val="bottom"/>
          </w:tcPr>
          <w:p w14:paraId="1DFEF0A2" w14:textId="77777777" w:rsidR="00F85E46" w:rsidRPr="00A22E0C" w:rsidRDefault="00F85E46" w:rsidP="00676595">
            <w:pPr>
              <w:pStyle w:val="Standard"/>
              <w:snapToGrid w:val="0"/>
              <w:jc w:val="center"/>
              <w:rPr>
                <w:rFonts w:ascii="Times New Roman" w:hAnsi="Times New Roman" w:cs="Times New Roman"/>
                <w:sz w:val="20"/>
                <w:szCs w:val="20"/>
                <w:lang w:val="en-GB" w:eastAsia="fr-FR"/>
              </w:rPr>
            </w:pPr>
          </w:p>
        </w:tc>
        <w:tc>
          <w:tcPr>
            <w:tcW w:w="533" w:type="dxa"/>
            <w:tcBorders>
              <w:top w:val="single" w:sz="4" w:space="0" w:color="000000"/>
              <w:left w:val="single" w:sz="4" w:space="0" w:color="000000"/>
              <w:bottom w:val="single" w:sz="4" w:space="0" w:color="000000"/>
            </w:tcBorders>
            <w:shd w:val="clear" w:color="auto" w:fill="auto"/>
            <w:vAlign w:val="bottom"/>
          </w:tcPr>
          <w:p w14:paraId="58622EBF" w14:textId="77777777" w:rsidR="00F85E46" w:rsidRPr="00A22E0C" w:rsidRDefault="00F85E46" w:rsidP="00676595">
            <w:pPr>
              <w:pStyle w:val="Standard"/>
              <w:snapToGrid w:val="0"/>
              <w:jc w:val="center"/>
              <w:rPr>
                <w:rFonts w:ascii="Times New Roman" w:hAnsi="Times New Roman" w:cs="Times New Roman"/>
                <w:sz w:val="20"/>
                <w:szCs w:val="20"/>
                <w:lang w:val="en-GB" w:eastAsia="fr-FR"/>
              </w:rPr>
            </w:pPr>
          </w:p>
        </w:tc>
        <w:tc>
          <w:tcPr>
            <w:tcW w:w="523" w:type="dxa"/>
            <w:tcBorders>
              <w:top w:val="single" w:sz="4" w:space="0" w:color="000000"/>
              <w:left w:val="single" w:sz="4" w:space="0" w:color="000000"/>
              <w:bottom w:val="single" w:sz="4" w:space="0" w:color="000000"/>
            </w:tcBorders>
            <w:shd w:val="clear" w:color="auto" w:fill="auto"/>
            <w:vAlign w:val="bottom"/>
          </w:tcPr>
          <w:p w14:paraId="49A8428F" w14:textId="77777777" w:rsidR="00F85E46" w:rsidRPr="00A22E0C" w:rsidRDefault="00F85E46" w:rsidP="00676595">
            <w:pPr>
              <w:pStyle w:val="Standard"/>
              <w:snapToGrid w:val="0"/>
              <w:jc w:val="center"/>
              <w:rPr>
                <w:rFonts w:ascii="Times New Roman" w:hAnsi="Times New Roman" w:cs="Times New Roman"/>
                <w:sz w:val="20"/>
                <w:szCs w:val="20"/>
                <w:lang w:val="en-GB" w:eastAsia="fr-FR"/>
              </w:rPr>
            </w:pPr>
          </w:p>
        </w:tc>
        <w:tc>
          <w:tcPr>
            <w:tcW w:w="596" w:type="dxa"/>
            <w:tcBorders>
              <w:top w:val="single" w:sz="4" w:space="0" w:color="000000"/>
              <w:left w:val="single" w:sz="4" w:space="0" w:color="000000"/>
              <w:bottom w:val="single" w:sz="4" w:space="0" w:color="000000"/>
            </w:tcBorders>
            <w:shd w:val="clear" w:color="auto" w:fill="auto"/>
            <w:vAlign w:val="bottom"/>
          </w:tcPr>
          <w:p w14:paraId="570E3460" w14:textId="77777777" w:rsidR="00F85E46" w:rsidRPr="00A22E0C" w:rsidRDefault="00F85E46" w:rsidP="00676595">
            <w:pPr>
              <w:pStyle w:val="Standard"/>
              <w:snapToGrid w:val="0"/>
              <w:jc w:val="center"/>
              <w:rPr>
                <w:rFonts w:ascii="Times New Roman" w:hAnsi="Times New Roman" w:cs="Times New Roman"/>
                <w:sz w:val="20"/>
                <w:szCs w:val="20"/>
                <w:lang w:val="en-GB" w:eastAsia="fr-FR"/>
              </w:rPr>
            </w:pPr>
          </w:p>
        </w:tc>
        <w:tc>
          <w:tcPr>
            <w:tcW w:w="583" w:type="dxa"/>
            <w:tcBorders>
              <w:top w:val="single" w:sz="4" w:space="0" w:color="000000"/>
              <w:left w:val="single" w:sz="4" w:space="0" w:color="000000"/>
              <w:bottom w:val="single" w:sz="4" w:space="0" w:color="000000"/>
            </w:tcBorders>
            <w:shd w:val="clear" w:color="auto" w:fill="auto"/>
            <w:vAlign w:val="bottom"/>
          </w:tcPr>
          <w:p w14:paraId="56FC2B34" w14:textId="77777777" w:rsidR="00F85E46" w:rsidRPr="00A22E0C" w:rsidRDefault="00F85E46" w:rsidP="00676595">
            <w:pPr>
              <w:pStyle w:val="Standard"/>
              <w:snapToGrid w:val="0"/>
              <w:jc w:val="center"/>
              <w:rPr>
                <w:rFonts w:ascii="Times New Roman" w:hAnsi="Times New Roman" w:cs="Times New Roman"/>
                <w:sz w:val="20"/>
                <w:szCs w:val="20"/>
                <w:lang w:val="en-GB" w:eastAsia="fr-FR"/>
              </w:rPr>
            </w:pPr>
          </w:p>
        </w:tc>
        <w:tc>
          <w:tcPr>
            <w:tcW w:w="581" w:type="dxa"/>
            <w:tcBorders>
              <w:top w:val="single" w:sz="4" w:space="0" w:color="000000"/>
              <w:left w:val="single" w:sz="4" w:space="0" w:color="000000"/>
              <w:bottom w:val="single" w:sz="4" w:space="0" w:color="000000"/>
            </w:tcBorders>
            <w:shd w:val="clear" w:color="auto" w:fill="auto"/>
            <w:vAlign w:val="bottom"/>
          </w:tcPr>
          <w:p w14:paraId="23124C0C" w14:textId="77777777" w:rsidR="00F85E46" w:rsidRPr="00A22E0C" w:rsidRDefault="00F85E46" w:rsidP="00676595">
            <w:pPr>
              <w:pStyle w:val="Standard"/>
              <w:snapToGrid w:val="0"/>
              <w:jc w:val="center"/>
              <w:rPr>
                <w:rFonts w:ascii="Times New Roman" w:hAnsi="Times New Roman" w:cs="Times New Roman"/>
                <w:sz w:val="20"/>
                <w:szCs w:val="20"/>
                <w:lang w:val="en-GB" w:eastAsia="fr-FR"/>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FC4041" w14:textId="77777777" w:rsidR="00F85E46" w:rsidRPr="00A22E0C" w:rsidRDefault="00F85E46" w:rsidP="00676595">
            <w:pPr>
              <w:pStyle w:val="Standard"/>
              <w:jc w:val="center"/>
              <w:rPr>
                <w:rFonts w:eastAsia="Times New Roman" w:cs="Times New Roman"/>
                <w:sz w:val="20"/>
                <w:szCs w:val="20"/>
                <w:lang w:val="en-GB" w:eastAsia="fr-FR"/>
              </w:rPr>
            </w:pPr>
            <w:r w:rsidRPr="00A22E0C">
              <w:rPr>
                <w:rFonts w:eastAsia="Times New Roman" w:cs="Times New Roman"/>
                <w:sz w:val="20"/>
                <w:szCs w:val="20"/>
                <w:lang w:val="en-GB" w:eastAsia="fr-FR"/>
              </w:rPr>
              <w:t>0</w:t>
            </w:r>
          </w:p>
        </w:tc>
      </w:tr>
    </w:tbl>
    <w:p w14:paraId="4FAA6CC2" w14:textId="77777777" w:rsidR="00F85E46" w:rsidRPr="00A22E0C" w:rsidRDefault="00F85E46" w:rsidP="00F85E46">
      <w:pPr>
        <w:pStyle w:val="SingleTxtG"/>
        <w:spacing w:before="120" w:after="0"/>
      </w:pPr>
      <w:r w:rsidRPr="00A22E0C">
        <w:rPr>
          <w:i/>
          <w:iCs/>
          <w:szCs w:val="22"/>
          <w:u w:val="single"/>
          <w:vertAlign w:val="superscript"/>
          <w:lang w:eastAsia="es-ES"/>
        </w:rPr>
        <w:t>a</w:t>
      </w:r>
      <w:r w:rsidRPr="00A22E0C">
        <w:rPr>
          <w:i/>
          <w:iCs/>
          <w:szCs w:val="22"/>
          <w:u w:val="single"/>
          <w:vertAlign w:val="superscript"/>
          <w:lang w:eastAsia="es-ES"/>
        </w:rPr>
        <w:tab/>
      </w:r>
      <w:r w:rsidRPr="00A22E0C">
        <w:rPr>
          <w:i/>
          <w:iCs/>
          <w:u w:val="single"/>
          <w:lang w:eastAsia="es-ES"/>
        </w:rPr>
        <w:t>Batteries or single cell batteries not equipped with battery overcharge protection that are designed for use only as a component in another battery or in equipment, which affords such protection, are not subject to the requirements of this test;</w:t>
      </w:r>
    </w:p>
    <w:p w14:paraId="581B3953" w14:textId="77777777" w:rsidR="00F85E46" w:rsidRPr="00A22E0C" w:rsidRDefault="00F85E46" w:rsidP="00F85E46">
      <w:pPr>
        <w:pStyle w:val="SingleTxtG"/>
      </w:pPr>
      <w:r w:rsidRPr="00A22E0C">
        <w:rPr>
          <w:i/>
          <w:iCs/>
          <w:u w:val="single"/>
          <w:vertAlign w:val="superscript"/>
        </w:rPr>
        <w:t>b</w:t>
      </w:r>
      <w:r w:rsidRPr="00A22E0C">
        <w:rPr>
          <w:rFonts w:cs="Lucida Sans"/>
          <w:i/>
          <w:iCs/>
          <w:u w:val="single"/>
        </w:rPr>
        <w:tab/>
      </w:r>
      <w:r w:rsidRPr="00A22E0C">
        <w:rPr>
          <w:i/>
          <w:iCs/>
          <w:u w:val="single"/>
        </w:rPr>
        <w:t>Except for the T.7 Overcharge test, a single cell battery containing one tested cell does not require testing unless a change in cell design could result in the failure of any test;</w:t>
      </w:r>
    </w:p>
    <w:p w14:paraId="2772FFBE" w14:textId="77777777" w:rsidR="00F85E46" w:rsidRPr="00A22E0C" w:rsidRDefault="00F85E46" w:rsidP="00F85E46">
      <w:pPr>
        <w:pStyle w:val="SingleTxtG"/>
      </w:pPr>
      <w:r w:rsidRPr="00A22E0C">
        <w:rPr>
          <w:i/>
          <w:iCs/>
          <w:u w:val="single"/>
          <w:vertAlign w:val="superscript"/>
        </w:rPr>
        <w:t>c</w:t>
      </w:r>
      <w:r w:rsidRPr="00A22E0C">
        <w:rPr>
          <w:rFonts w:cs="Lucida Sans"/>
          <w:i/>
          <w:iCs/>
          <w:u w:val="single"/>
        </w:rPr>
        <w:tab/>
      </w:r>
      <w:r w:rsidRPr="00A22E0C">
        <w:rPr>
          <w:i/>
          <w:iCs/>
          <w:u w:val="single"/>
        </w:rPr>
        <w:t>If the assembled battery is of a type that has been verified as preventing:</w:t>
      </w:r>
    </w:p>
    <w:p w14:paraId="01C9E6A8" w14:textId="77777777" w:rsidR="00F85E46" w:rsidRPr="00A22E0C" w:rsidRDefault="00F85E46" w:rsidP="00F85E46">
      <w:pPr>
        <w:pStyle w:val="SingleTxtG"/>
        <w:ind w:firstLine="567"/>
        <w:rPr>
          <w:i/>
          <w:iCs/>
          <w:u w:val="single"/>
        </w:rPr>
      </w:pPr>
      <w:r w:rsidRPr="00A22E0C">
        <w:rPr>
          <w:i/>
          <w:iCs/>
          <w:u w:val="single"/>
        </w:rPr>
        <w:t>(i)</w:t>
      </w:r>
      <w:r w:rsidRPr="00A22E0C">
        <w:rPr>
          <w:i/>
          <w:iCs/>
          <w:u w:val="single"/>
        </w:rPr>
        <w:tab/>
        <w:t>Overcharge;</w:t>
      </w:r>
    </w:p>
    <w:p w14:paraId="39A26B36" w14:textId="77777777" w:rsidR="00F85E46" w:rsidRPr="00A22E0C" w:rsidRDefault="00F85E46" w:rsidP="00F85E46">
      <w:pPr>
        <w:pStyle w:val="SingleTxtG"/>
        <w:ind w:firstLine="567"/>
        <w:rPr>
          <w:i/>
          <w:iCs/>
          <w:u w:val="single"/>
        </w:rPr>
      </w:pPr>
      <w:r w:rsidRPr="00A22E0C">
        <w:rPr>
          <w:i/>
          <w:iCs/>
          <w:u w:val="single"/>
        </w:rPr>
        <w:t>(ii)</w:t>
      </w:r>
      <w:r w:rsidRPr="00A22E0C">
        <w:rPr>
          <w:i/>
          <w:iCs/>
          <w:u w:val="single"/>
        </w:rPr>
        <w:tab/>
        <w:t>Short circuits; and</w:t>
      </w:r>
    </w:p>
    <w:p w14:paraId="26F7C898" w14:textId="77777777" w:rsidR="00F85E46" w:rsidRPr="00A22E0C" w:rsidRDefault="00F85E46" w:rsidP="00F85E46">
      <w:pPr>
        <w:pStyle w:val="SingleTxtG"/>
        <w:ind w:firstLine="567"/>
        <w:rPr>
          <w:i/>
          <w:iCs/>
          <w:u w:val="single"/>
        </w:rPr>
      </w:pPr>
      <w:r w:rsidRPr="00A22E0C">
        <w:rPr>
          <w:i/>
          <w:iCs/>
          <w:u w:val="single"/>
        </w:rPr>
        <w:t>(iii)</w:t>
      </w:r>
      <w:r w:rsidRPr="00A22E0C">
        <w:rPr>
          <w:i/>
          <w:iCs/>
          <w:u w:val="single"/>
        </w:rPr>
        <w:tab/>
        <w:t>Over discharge between the batteries.</w:t>
      </w:r>
    </w:p>
    <w:p w14:paraId="0AD72EC3" w14:textId="77777777" w:rsidR="00F85E46" w:rsidRPr="00A22E0C" w:rsidRDefault="00F85E46" w:rsidP="00F85E46">
      <w:pPr>
        <w:pStyle w:val="SingleTxtG"/>
      </w:pPr>
      <w:r w:rsidRPr="00A22E0C">
        <w:rPr>
          <w:i/>
          <w:iCs/>
          <w:u w:val="single"/>
          <w:vertAlign w:val="superscript"/>
          <w:lang w:eastAsia="es-ES"/>
        </w:rPr>
        <w:t>d</w:t>
      </w:r>
      <w:r w:rsidRPr="00A22E0C">
        <w:rPr>
          <w:rFonts w:cs="Lucida Sans"/>
          <w:i/>
          <w:iCs/>
          <w:u w:val="single"/>
          <w:lang w:eastAsia="es-ES"/>
        </w:rPr>
        <w:tab/>
      </w:r>
      <w:r w:rsidRPr="00A22E0C">
        <w:rPr>
          <w:i/>
          <w:iCs/>
          <w:u w:val="single"/>
          <w:lang w:eastAsia="es-ES"/>
        </w:rPr>
        <w:t xml:space="preserve">The </w:t>
      </w:r>
      <w:r w:rsidRPr="00A22E0C">
        <w:rPr>
          <w:i/>
          <w:iCs/>
          <w:u w:val="single"/>
        </w:rPr>
        <w:t>sum</w:t>
      </w:r>
      <w:r w:rsidRPr="00A22E0C">
        <w:rPr>
          <w:i/>
          <w:iCs/>
          <w:u w:val="single"/>
          <w:lang w:eastAsia="es-ES"/>
        </w:rPr>
        <w:t xml:space="preserve"> represents the number of tests required, not the number of cells or batteries tested</w:t>
      </w:r>
      <w:r w:rsidRPr="00A22E0C">
        <w:rPr>
          <w:u w:val="single"/>
          <w:lang w:eastAsia="es-ES"/>
        </w:rPr>
        <w:t>.”</w:t>
      </w:r>
    </w:p>
    <w:p w14:paraId="068BEC51" w14:textId="5628DB9B" w:rsidR="00F85E46" w:rsidRPr="00A22E0C" w:rsidRDefault="00F85E46" w:rsidP="00F85E46">
      <w:pPr>
        <w:pStyle w:val="SingleTxtG"/>
      </w:pPr>
      <w:r w:rsidRPr="00A22E0C">
        <w:rPr>
          <w:lang w:eastAsia="es-ES"/>
        </w:rPr>
        <w:t>A</w:t>
      </w:r>
      <w:r w:rsidR="00F54989" w:rsidRPr="00A22E0C">
        <w:rPr>
          <w:lang w:eastAsia="es-ES"/>
        </w:rPr>
        <w:t>m</w:t>
      </w:r>
      <w:r w:rsidRPr="00A22E0C">
        <w:rPr>
          <w:lang w:eastAsia="es-ES"/>
        </w:rPr>
        <w:t>end section 38.3.5 as follows:</w:t>
      </w:r>
    </w:p>
    <w:p w14:paraId="40F582A4" w14:textId="4A3AD2FE" w:rsidR="00F85E46" w:rsidRPr="00A22E0C" w:rsidRDefault="00F85E46" w:rsidP="00F85E46">
      <w:pPr>
        <w:pStyle w:val="SingleTxtG"/>
        <w:rPr>
          <w:b/>
          <w:bCs/>
        </w:rPr>
      </w:pPr>
      <w:r w:rsidRPr="00A22E0C">
        <w:rPr>
          <w:b/>
          <w:bCs/>
        </w:rPr>
        <w:tab/>
        <w:t>“38.3.5</w:t>
      </w:r>
      <w:r w:rsidRPr="00A22E0C">
        <w:rPr>
          <w:b/>
          <w:bCs/>
        </w:rPr>
        <w:tab/>
      </w:r>
      <w:r w:rsidRPr="00A22E0C">
        <w:rPr>
          <w:b/>
          <w:bCs/>
          <w:strike/>
        </w:rPr>
        <w:t xml:space="preserve">Lithium </w:t>
      </w:r>
      <w:r w:rsidRPr="00A22E0C">
        <w:rPr>
          <w:b/>
          <w:bCs/>
          <w:u w:val="single"/>
        </w:rPr>
        <w:t>C</w:t>
      </w:r>
      <w:r w:rsidRPr="00A22E0C">
        <w:rPr>
          <w:b/>
          <w:bCs/>
        </w:rPr>
        <w:t>ell and battery test summary</w:t>
      </w:r>
    </w:p>
    <w:p w14:paraId="25A1B5A8" w14:textId="77777777" w:rsidR="00F85E46" w:rsidRPr="00A22E0C" w:rsidRDefault="00F85E46" w:rsidP="00F85E46">
      <w:pPr>
        <w:pStyle w:val="SingleTxtG"/>
      </w:pPr>
      <w:r w:rsidRPr="00A22E0C">
        <w:t>The following test summary shall be made available:</w:t>
      </w:r>
    </w:p>
    <w:tbl>
      <w:tblPr>
        <w:tblW w:w="7796"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 w:type="dxa"/>
          <w:right w:w="5" w:type="dxa"/>
        </w:tblCellMar>
        <w:tblLook w:val="04A0" w:firstRow="1" w:lastRow="0" w:firstColumn="1" w:lastColumn="0" w:noHBand="0" w:noVBand="1"/>
      </w:tblPr>
      <w:tblGrid>
        <w:gridCol w:w="7796"/>
      </w:tblGrid>
      <w:tr w:rsidR="00F85E46" w:rsidRPr="00A22E0C" w14:paraId="1272961D" w14:textId="77777777" w:rsidTr="00676595">
        <w:tc>
          <w:tcPr>
            <w:tcW w:w="7796" w:type="dxa"/>
            <w:tcBorders>
              <w:top w:val="single" w:sz="4" w:space="0" w:color="000000"/>
              <w:left w:val="single" w:sz="4" w:space="0" w:color="000000"/>
              <w:bottom w:val="single" w:sz="4" w:space="0" w:color="000000"/>
              <w:right w:val="single" w:sz="4" w:space="0" w:color="000000"/>
            </w:tcBorders>
            <w:shd w:val="clear" w:color="auto" w:fill="auto"/>
          </w:tcPr>
          <w:p w14:paraId="47C2ACF9" w14:textId="77777777" w:rsidR="00F85E46" w:rsidRPr="00A22E0C" w:rsidRDefault="00F85E46" w:rsidP="00676595">
            <w:r w:rsidRPr="00A22E0C">
              <w:rPr>
                <w:rFonts w:cstheme="majorBidi"/>
                <w:b/>
                <w:strike/>
              </w:rPr>
              <w:t>Lithium c</w:t>
            </w:r>
            <w:r w:rsidRPr="00A22E0C">
              <w:rPr>
                <w:rFonts w:cstheme="majorBidi"/>
                <w:b/>
                <w:u w:val="single"/>
              </w:rPr>
              <w:t>C</w:t>
            </w:r>
            <w:r w:rsidRPr="00A22E0C">
              <w:rPr>
                <w:rFonts w:cstheme="majorBidi"/>
                <w:b/>
              </w:rPr>
              <w:t xml:space="preserve">ell or battery test summary in accordance with sub-section 38.3 </w:t>
            </w:r>
            <w:r w:rsidRPr="00A22E0C">
              <w:rPr>
                <w:rFonts w:cstheme="majorBidi"/>
                <w:b/>
              </w:rPr>
              <w:br/>
              <w:t>of Manual of Tests and Criteria</w:t>
            </w:r>
          </w:p>
        </w:tc>
      </w:tr>
    </w:tbl>
    <w:p w14:paraId="50F59F37" w14:textId="0C2E625E" w:rsidR="00F85E46" w:rsidRPr="00A22E0C" w:rsidRDefault="00F85E46" w:rsidP="00F85E46">
      <w:pPr>
        <w:pStyle w:val="SingleTxtG"/>
        <w:spacing w:before="120"/>
        <w:ind w:firstLine="567"/>
      </w:pPr>
      <w:r w:rsidRPr="00A22E0C">
        <w:t>(f)</w:t>
      </w:r>
      <w:r w:rsidRPr="00A22E0C">
        <w:tab/>
        <w:t>Description of cell or battery to include at a minimum:</w:t>
      </w:r>
    </w:p>
    <w:p w14:paraId="7EB8CE1F" w14:textId="6A8065CB" w:rsidR="00B77BA6" w:rsidRPr="00A22E0C" w:rsidRDefault="00F85E46" w:rsidP="003264C8">
      <w:pPr>
        <w:pStyle w:val="SingleTxtG"/>
        <w:ind w:left="1701" w:firstLine="567"/>
        <w:rPr>
          <w:b/>
          <w:bCs/>
        </w:rPr>
      </w:pPr>
      <w:r w:rsidRPr="00A22E0C">
        <w:rPr>
          <w:b/>
          <w:bCs/>
        </w:rPr>
        <w:t>(i)</w:t>
      </w:r>
      <w:r w:rsidRPr="00A22E0C">
        <w:rPr>
          <w:b/>
          <w:bCs/>
        </w:rPr>
        <w:tab/>
      </w:r>
      <w:r w:rsidRPr="00A22E0C">
        <w:rPr>
          <w:b/>
          <w:bCs/>
          <w:u w:val="single"/>
        </w:rPr>
        <w:t>Sodium ion,</w:t>
      </w:r>
      <w:r w:rsidRPr="00A22E0C">
        <w:rPr>
          <w:b/>
          <w:bCs/>
        </w:rPr>
        <w:t xml:space="preserve"> </w:t>
      </w:r>
      <w:r w:rsidR="00F54989" w:rsidRPr="00A22E0C">
        <w:rPr>
          <w:b/>
          <w:bCs/>
        </w:rPr>
        <w:t>l</w:t>
      </w:r>
      <w:r w:rsidRPr="00A22E0C">
        <w:rPr>
          <w:b/>
          <w:bCs/>
        </w:rPr>
        <w:t>ithium ion or lithium metal cell or battery;”</w:t>
      </w:r>
    </w:p>
    <w:p w14:paraId="1A14D079" w14:textId="2B8E6416" w:rsidR="00A17619" w:rsidRPr="00A17619" w:rsidRDefault="00A17619" w:rsidP="00A17619">
      <w:pPr>
        <w:spacing w:before="240"/>
        <w:jc w:val="center"/>
        <w:rPr>
          <w:u w:val="single"/>
        </w:rPr>
      </w:pPr>
      <w:r>
        <w:rPr>
          <w:u w:val="single"/>
        </w:rPr>
        <w:tab/>
      </w:r>
      <w:r>
        <w:rPr>
          <w:u w:val="single"/>
        </w:rPr>
        <w:tab/>
      </w:r>
      <w:r>
        <w:rPr>
          <w:u w:val="single"/>
        </w:rPr>
        <w:tab/>
      </w:r>
    </w:p>
    <w:sectPr w:rsidR="00A17619" w:rsidRPr="00A17619" w:rsidSect="00547641">
      <w:headerReference w:type="even" r:id="rId11"/>
      <w:headerReference w:type="default" r:id="rId12"/>
      <w:footerReference w:type="even" r:id="rId13"/>
      <w:footerReference w:type="defaul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59171" w14:textId="77777777" w:rsidR="00BE18B6" w:rsidRPr="00C47B2E" w:rsidRDefault="00BE18B6" w:rsidP="00C47B2E">
      <w:pPr>
        <w:pStyle w:val="Footer"/>
      </w:pPr>
    </w:p>
  </w:endnote>
  <w:endnote w:type="continuationSeparator" w:id="0">
    <w:p w14:paraId="35589452" w14:textId="77777777" w:rsidR="00BE18B6" w:rsidRPr="00C47B2E" w:rsidRDefault="00BE18B6" w:rsidP="00C47B2E">
      <w:pPr>
        <w:pStyle w:val="Footer"/>
      </w:pPr>
    </w:p>
  </w:endnote>
  <w:endnote w:type="continuationNotice" w:id="1">
    <w:p w14:paraId="5E9CE773" w14:textId="77777777" w:rsidR="00BE18B6" w:rsidRPr="00C47B2E" w:rsidRDefault="00BE18B6"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iberation Serif;Times New Roma">
    <w:altName w:val="Times New Roman"/>
    <w:panose1 w:val="00000000000000000000"/>
    <w:charset w:val="00"/>
    <w:family w:val="roman"/>
    <w:notTrueType/>
    <w:pitch w:val="default"/>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F75C7" w14:textId="5CBFB5DF" w:rsidR="00AB4A89" w:rsidRPr="00D57F64" w:rsidRDefault="00AB4A89" w:rsidP="00D57F64">
    <w:pPr>
      <w:pStyle w:val="Footer"/>
      <w:tabs>
        <w:tab w:val="right" w:pos="9598"/>
        <w:tab w:val="right" w:pos="9638"/>
      </w:tabs>
      <w:rPr>
        <w:sz w:val="18"/>
      </w:rPr>
    </w:pPr>
    <w:r w:rsidRPr="00D57F64">
      <w:rPr>
        <w:b/>
        <w:sz w:val="18"/>
      </w:rPr>
      <w:fldChar w:fldCharType="begin"/>
    </w:r>
    <w:r w:rsidRPr="00D57F64">
      <w:rPr>
        <w:b/>
        <w:sz w:val="18"/>
      </w:rPr>
      <w:instrText xml:space="preserve"> PAGE  \* MERGEFORMAT </w:instrText>
    </w:r>
    <w:r w:rsidRPr="00D57F64">
      <w:rPr>
        <w:b/>
        <w:sz w:val="18"/>
      </w:rPr>
      <w:fldChar w:fldCharType="separate"/>
    </w:r>
    <w:r w:rsidR="00CB381A">
      <w:rPr>
        <w:b/>
        <w:noProof/>
        <w:sz w:val="18"/>
      </w:rPr>
      <w:t>4</w:t>
    </w:r>
    <w:r w:rsidRPr="00D57F6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B6328" w14:textId="0E608D8E" w:rsidR="00AB4A89" w:rsidRPr="00D57F64" w:rsidRDefault="00AB4A89" w:rsidP="00B77BA6">
    <w:pPr>
      <w:pStyle w:val="Footer"/>
      <w:tabs>
        <w:tab w:val="left" w:pos="8505"/>
        <w:tab w:val="right" w:pos="9598"/>
        <w:tab w:val="right" w:pos="9638"/>
      </w:tabs>
      <w:rPr>
        <w:sz w:val="18"/>
      </w:rPr>
    </w:pPr>
    <w:r>
      <w:rPr>
        <w:b/>
        <w:sz w:val="18"/>
      </w:rPr>
      <w:tab/>
    </w:r>
    <w:r w:rsidRPr="00D57F64">
      <w:rPr>
        <w:sz w:val="18"/>
      </w:rPr>
      <w:fldChar w:fldCharType="begin"/>
    </w:r>
    <w:r w:rsidRPr="00D57F64">
      <w:rPr>
        <w:sz w:val="18"/>
      </w:rPr>
      <w:instrText xml:space="preserve"> PAGE  \* MERGEFORMAT </w:instrText>
    </w:r>
    <w:r w:rsidRPr="00D57F64">
      <w:rPr>
        <w:sz w:val="18"/>
      </w:rPr>
      <w:fldChar w:fldCharType="separate"/>
    </w:r>
    <w:r w:rsidR="00CB381A">
      <w:rPr>
        <w:noProof/>
        <w:sz w:val="18"/>
      </w:rPr>
      <w:t>3</w:t>
    </w:r>
    <w:r w:rsidRPr="00D57F64">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E7BEB" w14:textId="77777777" w:rsidR="00BE18B6" w:rsidRPr="00C47B2E" w:rsidRDefault="00BE18B6" w:rsidP="00C47B2E">
      <w:pPr>
        <w:tabs>
          <w:tab w:val="right" w:pos="2155"/>
        </w:tabs>
        <w:spacing w:after="80" w:line="240" w:lineRule="auto"/>
        <w:ind w:left="680"/>
      </w:pPr>
      <w:r>
        <w:rPr>
          <w:u w:val="single"/>
        </w:rPr>
        <w:tab/>
      </w:r>
    </w:p>
  </w:footnote>
  <w:footnote w:type="continuationSeparator" w:id="0">
    <w:p w14:paraId="65C96C13" w14:textId="77777777" w:rsidR="00BE18B6" w:rsidRPr="00C47B2E" w:rsidRDefault="00BE18B6" w:rsidP="005E716E">
      <w:pPr>
        <w:tabs>
          <w:tab w:val="right" w:pos="2155"/>
        </w:tabs>
        <w:spacing w:after="80" w:line="240" w:lineRule="auto"/>
        <w:ind w:left="680"/>
      </w:pPr>
      <w:r>
        <w:rPr>
          <w:u w:val="single"/>
        </w:rPr>
        <w:tab/>
      </w:r>
    </w:p>
  </w:footnote>
  <w:footnote w:type="continuationNotice" w:id="1">
    <w:p w14:paraId="7D43C5FA" w14:textId="77777777" w:rsidR="00BE18B6" w:rsidRPr="00C47B2E" w:rsidRDefault="00BE18B6" w:rsidP="00C47B2E">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F0F12" w14:textId="5AA0B927" w:rsidR="00AB4A89" w:rsidRPr="00EB4710" w:rsidRDefault="00EB4710" w:rsidP="00EB4710">
    <w:pPr>
      <w:pStyle w:val="Header"/>
    </w:pPr>
    <w:r w:rsidRPr="00340E2C">
      <w:rPr>
        <w:lang w:val="nl-NL"/>
      </w:rPr>
      <w:t>UN/SCETDG/5</w:t>
    </w:r>
    <w:r>
      <w:rPr>
        <w:lang w:val="nl-NL"/>
      </w:rPr>
      <w:t>7</w:t>
    </w:r>
    <w:r w:rsidRPr="00340E2C">
      <w:rPr>
        <w:lang w:val="nl-NL"/>
      </w:rPr>
      <w:t>/INF.</w:t>
    </w:r>
    <w:r w:rsidR="00A17619">
      <w:rPr>
        <w:lang w:val="nl-NL"/>
      </w:rPr>
      <w:t>39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9D9CB" w14:textId="60728166" w:rsidR="000174F1" w:rsidRPr="000174F1" w:rsidRDefault="000174F1" w:rsidP="000174F1">
    <w:pPr>
      <w:pStyle w:val="Header"/>
      <w:jc w:val="right"/>
    </w:pPr>
    <w:r w:rsidRPr="000174F1">
      <w:rPr>
        <w:lang w:val="nl-NL"/>
      </w:rPr>
      <w:t>UN/SCETDG/57/INF.</w:t>
    </w:r>
    <w:r w:rsidR="009F180F">
      <w:rPr>
        <w:lang w:val="nl-NL"/>
      </w:rPr>
      <w:t>39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891F21"/>
    <w:multiLevelType w:val="hybridMultilevel"/>
    <w:tmpl w:val="F35A7A1A"/>
    <w:lvl w:ilvl="0" w:tplc="FAE4B376">
      <w:start w:val="1"/>
      <w:numFmt w:val="bullet"/>
      <w:lvlText w:val="•"/>
      <w:lvlJc w:val="left"/>
      <w:pPr>
        <w:ind w:left="2847" w:hanging="360"/>
      </w:pPr>
      <w:rPr>
        <w:rFonts w:ascii="Times New Roman" w:hAnsi="Times New Roman" w:hint="default"/>
      </w:rPr>
    </w:lvl>
    <w:lvl w:ilvl="1" w:tplc="04070003" w:tentative="1">
      <w:start w:val="1"/>
      <w:numFmt w:val="bullet"/>
      <w:lvlText w:val="o"/>
      <w:lvlJc w:val="left"/>
      <w:pPr>
        <w:ind w:left="3567" w:hanging="360"/>
      </w:pPr>
      <w:rPr>
        <w:rFonts w:ascii="Courier New" w:hAnsi="Courier New" w:hint="default"/>
      </w:rPr>
    </w:lvl>
    <w:lvl w:ilvl="2" w:tplc="04070005" w:tentative="1">
      <w:start w:val="1"/>
      <w:numFmt w:val="bullet"/>
      <w:lvlText w:val=""/>
      <w:lvlJc w:val="left"/>
      <w:pPr>
        <w:ind w:left="4287" w:hanging="360"/>
      </w:pPr>
      <w:rPr>
        <w:rFonts w:ascii="Wingdings" w:hAnsi="Wingdings" w:hint="default"/>
      </w:rPr>
    </w:lvl>
    <w:lvl w:ilvl="3" w:tplc="04070001" w:tentative="1">
      <w:start w:val="1"/>
      <w:numFmt w:val="bullet"/>
      <w:lvlText w:val=""/>
      <w:lvlJc w:val="left"/>
      <w:pPr>
        <w:ind w:left="5007" w:hanging="360"/>
      </w:pPr>
      <w:rPr>
        <w:rFonts w:ascii="Symbol" w:hAnsi="Symbol" w:hint="default"/>
      </w:rPr>
    </w:lvl>
    <w:lvl w:ilvl="4" w:tplc="04070003" w:tentative="1">
      <w:start w:val="1"/>
      <w:numFmt w:val="bullet"/>
      <w:lvlText w:val="o"/>
      <w:lvlJc w:val="left"/>
      <w:pPr>
        <w:ind w:left="5727" w:hanging="360"/>
      </w:pPr>
      <w:rPr>
        <w:rFonts w:ascii="Courier New" w:hAnsi="Courier New" w:hint="default"/>
      </w:rPr>
    </w:lvl>
    <w:lvl w:ilvl="5" w:tplc="04070005" w:tentative="1">
      <w:start w:val="1"/>
      <w:numFmt w:val="bullet"/>
      <w:lvlText w:val=""/>
      <w:lvlJc w:val="left"/>
      <w:pPr>
        <w:ind w:left="6447" w:hanging="360"/>
      </w:pPr>
      <w:rPr>
        <w:rFonts w:ascii="Wingdings" w:hAnsi="Wingdings" w:hint="default"/>
      </w:rPr>
    </w:lvl>
    <w:lvl w:ilvl="6" w:tplc="04070001" w:tentative="1">
      <w:start w:val="1"/>
      <w:numFmt w:val="bullet"/>
      <w:lvlText w:val=""/>
      <w:lvlJc w:val="left"/>
      <w:pPr>
        <w:ind w:left="7167" w:hanging="360"/>
      </w:pPr>
      <w:rPr>
        <w:rFonts w:ascii="Symbol" w:hAnsi="Symbol" w:hint="default"/>
      </w:rPr>
    </w:lvl>
    <w:lvl w:ilvl="7" w:tplc="04070003" w:tentative="1">
      <w:start w:val="1"/>
      <w:numFmt w:val="bullet"/>
      <w:lvlText w:val="o"/>
      <w:lvlJc w:val="left"/>
      <w:pPr>
        <w:ind w:left="7887" w:hanging="360"/>
      </w:pPr>
      <w:rPr>
        <w:rFonts w:ascii="Courier New" w:hAnsi="Courier New" w:hint="default"/>
      </w:rPr>
    </w:lvl>
    <w:lvl w:ilvl="8" w:tplc="04070005" w:tentative="1">
      <w:start w:val="1"/>
      <w:numFmt w:val="bullet"/>
      <w:lvlText w:val=""/>
      <w:lvlJc w:val="left"/>
      <w:pPr>
        <w:ind w:left="8607" w:hanging="360"/>
      </w:pPr>
      <w:rPr>
        <w:rFonts w:ascii="Wingdings" w:hAnsi="Wingdings" w:hint="default"/>
      </w:r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pPr>
      <w:rPr>
        <w:rFonts w:ascii="Times New Roman" w:hAnsi="Times New Roman" w:cs="Times New Roman" w:hint="default"/>
        <w:b w:val="0"/>
        <w:i w:val="0"/>
        <w:sz w:val="20"/>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77A4C3A"/>
    <w:multiLevelType w:val="hybridMultilevel"/>
    <w:tmpl w:val="2BA8276A"/>
    <w:lvl w:ilvl="0" w:tplc="204C48DA">
      <w:start w:val="1"/>
      <w:numFmt w:val="decimal"/>
      <w:lvlText w:val="%1."/>
      <w:lvlJc w:val="left"/>
      <w:pPr>
        <w:ind w:left="1689" w:hanging="555"/>
      </w:pPr>
      <w:rPr>
        <w:rFonts w:cs="Times New Roman" w:hint="default"/>
      </w:rPr>
    </w:lvl>
    <w:lvl w:ilvl="1" w:tplc="04070019" w:tentative="1">
      <w:start w:val="1"/>
      <w:numFmt w:val="lowerLetter"/>
      <w:lvlText w:val="%2."/>
      <w:lvlJc w:val="left"/>
      <w:pPr>
        <w:ind w:left="2214" w:hanging="360"/>
      </w:pPr>
      <w:rPr>
        <w:rFonts w:cs="Times New Roman"/>
      </w:rPr>
    </w:lvl>
    <w:lvl w:ilvl="2" w:tplc="0407001B" w:tentative="1">
      <w:start w:val="1"/>
      <w:numFmt w:val="lowerRoman"/>
      <w:lvlText w:val="%3."/>
      <w:lvlJc w:val="right"/>
      <w:pPr>
        <w:ind w:left="2934" w:hanging="180"/>
      </w:pPr>
      <w:rPr>
        <w:rFonts w:cs="Times New Roman"/>
      </w:rPr>
    </w:lvl>
    <w:lvl w:ilvl="3" w:tplc="0407000F" w:tentative="1">
      <w:start w:val="1"/>
      <w:numFmt w:val="decimal"/>
      <w:lvlText w:val="%4."/>
      <w:lvlJc w:val="left"/>
      <w:pPr>
        <w:ind w:left="3654" w:hanging="360"/>
      </w:pPr>
      <w:rPr>
        <w:rFonts w:cs="Times New Roman"/>
      </w:rPr>
    </w:lvl>
    <w:lvl w:ilvl="4" w:tplc="04070019" w:tentative="1">
      <w:start w:val="1"/>
      <w:numFmt w:val="lowerLetter"/>
      <w:lvlText w:val="%5."/>
      <w:lvlJc w:val="left"/>
      <w:pPr>
        <w:ind w:left="4374" w:hanging="360"/>
      </w:pPr>
      <w:rPr>
        <w:rFonts w:cs="Times New Roman"/>
      </w:rPr>
    </w:lvl>
    <w:lvl w:ilvl="5" w:tplc="0407001B" w:tentative="1">
      <w:start w:val="1"/>
      <w:numFmt w:val="lowerRoman"/>
      <w:lvlText w:val="%6."/>
      <w:lvlJc w:val="right"/>
      <w:pPr>
        <w:ind w:left="5094" w:hanging="180"/>
      </w:pPr>
      <w:rPr>
        <w:rFonts w:cs="Times New Roman"/>
      </w:rPr>
    </w:lvl>
    <w:lvl w:ilvl="6" w:tplc="0407000F" w:tentative="1">
      <w:start w:val="1"/>
      <w:numFmt w:val="decimal"/>
      <w:lvlText w:val="%7."/>
      <w:lvlJc w:val="left"/>
      <w:pPr>
        <w:ind w:left="5814" w:hanging="360"/>
      </w:pPr>
      <w:rPr>
        <w:rFonts w:cs="Times New Roman"/>
      </w:rPr>
    </w:lvl>
    <w:lvl w:ilvl="7" w:tplc="04070019" w:tentative="1">
      <w:start w:val="1"/>
      <w:numFmt w:val="lowerLetter"/>
      <w:lvlText w:val="%8."/>
      <w:lvlJc w:val="left"/>
      <w:pPr>
        <w:ind w:left="6534" w:hanging="360"/>
      </w:pPr>
      <w:rPr>
        <w:rFonts w:cs="Times New Roman"/>
      </w:rPr>
    </w:lvl>
    <w:lvl w:ilvl="8" w:tplc="0407001B" w:tentative="1">
      <w:start w:val="1"/>
      <w:numFmt w:val="lowerRoman"/>
      <w:lvlText w:val="%9."/>
      <w:lvlJc w:val="right"/>
      <w:pPr>
        <w:ind w:left="7254" w:hanging="180"/>
      </w:pPr>
      <w:rPr>
        <w:rFonts w:cs="Times New Roman"/>
      </w:rPr>
    </w:lvl>
  </w:abstractNum>
  <w:abstractNum w:abstractNumId="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433BE6"/>
    <w:multiLevelType w:val="hybridMultilevel"/>
    <w:tmpl w:val="794CCF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E14789E"/>
    <w:multiLevelType w:val="hybridMultilevel"/>
    <w:tmpl w:val="E4C4D916"/>
    <w:lvl w:ilvl="0" w:tplc="51DE3230">
      <w:start w:val="6"/>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C81830"/>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48DD7BCA"/>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53216EA"/>
    <w:multiLevelType w:val="multilevel"/>
    <w:tmpl w:val="0407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3" w15:restartNumberingAfterBreak="0">
    <w:nsid w:val="5E412300"/>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5" w15:restartNumberingAfterBreak="0">
    <w:nsid w:val="61FD63EB"/>
    <w:multiLevelType w:val="hybridMultilevel"/>
    <w:tmpl w:val="DE66820C"/>
    <w:lvl w:ilvl="0" w:tplc="FAE4B376">
      <w:start w:val="1"/>
      <w:numFmt w:val="bullet"/>
      <w:lvlText w:val="•"/>
      <w:lvlJc w:val="left"/>
      <w:pPr>
        <w:ind w:left="1854" w:hanging="360"/>
      </w:pPr>
      <w:rPr>
        <w:rFonts w:ascii="Times New Roman" w:hAnsi="Times New Roman" w:hint="default"/>
      </w:rPr>
    </w:lvl>
    <w:lvl w:ilvl="1" w:tplc="04070003">
      <w:start w:val="1"/>
      <w:numFmt w:val="bullet"/>
      <w:lvlText w:val="o"/>
      <w:lvlJc w:val="left"/>
      <w:pPr>
        <w:ind w:left="2574" w:hanging="360"/>
      </w:pPr>
      <w:rPr>
        <w:rFonts w:ascii="Courier New" w:hAnsi="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6" w15:restartNumberingAfterBreak="0">
    <w:nsid w:val="62300B37"/>
    <w:multiLevelType w:val="hybridMultilevel"/>
    <w:tmpl w:val="CF3A8206"/>
    <w:lvl w:ilvl="0" w:tplc="04070003">
      <w:start w:val="1"/>
      <w:numFmt w:val="bullet"/>
      <w:lvlText w:val="o"/>
      <w:lvlJc w:val="left"/>
      <w:pPr>
        <w:ind w:left="1854" w:hanging="360"/>
      </w:pPr>
      <w:rPr>
        <w:rFonts w:ascii="Courier New" w:hAnsi="Courier New" w:cs="Courier New" w:hint="default"/>
      </w:rPr>
    </w:lvl>
    <w:lvl w:ilvl="1" w:tplc="04070003">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start w:val="1"/>
      <w:numFmt w:val="bullet"/>
      <w:lvlText w:val=""/>
      <w:lvlJc w:val="left"/>
      <w:pPr>
        <w:ind w:left="4014" w:hanging="360"/>
      </w:pPr>
      <w:rPr>
        <w:rFonts w:ascii="Symbol" w:hAnsi="Symbol" w:hint="default"/>
      </w:rPr>
    </w:lvl>
    <w:lvl w:ilvl="4" w:tplc="04070003">
      <w:start w:val="1"/>
      <w:numFmt w:val="bullet"/>
      <w:lvlText w:val="o"/>
      <w:lvlJc w:val="left"/>
      <w:pPr>
        <w:ind w:left="4734" w:hanging="360"/>
      </w:pPr>
      <w:rPr>
        <w:rFonts w:ascii="Courier New" w:hAnsi="Courier New" w:cs="Courier New" w:hint="default"/>
      </w:rPr>
    </w:lvl>
    <w:lvl w:ilvl="5" w:tplc="04070005">
      <w:start w:val="1"/>
      <w:numFmt w:val="bullet"/>
      <w:lvlText w:val=""/>
      <w:lvlJc w:val="left"/>
      <w:pPr>
        <w:ind w:left="5454" w:hanging="360"/>
      </w:pPr>
      <w:rPr>
        <w:rFonts w:ascii="Wingdings" w:hAnsi="Wingdings" w:hint="default"/>
      </w:rPr>
    </w:lvl>
    <w:lvl w:ilvl="6" w:tplc="04070001">
      <w:start w:val="1"/>
      <w:numFmt w:val="bullet"/>
      <w:lvlText w:val=""/>
      <w:lvlJc w:val="left"/>
      <w:pPr>
        <w:ind w:left="6174" w:hanging="360"/>
      </w:pPr>
      <w:rPr>
        <w:rFonts w:ascii="Symbol" w:hAnsi="Symbol" w:hint="default"/>
      </w:rPr>
    </w:lvl>
    <w:lvl w:ilvl="7" w:tplc="04070003">
      <w:start w:val="1"/>
      <w:numFmt w:val="bullet"/>
      <w:lvlText w:val="o"/>
      <w:lvlJc w:val="left"/>
      <w:pPr>
        <w:ind w:left="6894" w:hanging="360"/>
      </w:pPr>
      <w:rPr>
        <w:rFonts w:ascii="Courier New" w:hAnsi="Courier New" w:cs="Courier New" w:hint="default"/>
      </w:rPr>
    </w:lvl>
    <w:lvl w:ilvl="8" w:tplc="04070005">
      <w:start w:val="1"/>
      <w:numFmt w:val="bullet"/>
      <w:lvlText w:val=""/>
      <w:lvlJc w:val="left"/>
      <w:pPr>
        <w:ind w:left="7614" w:hanging="360"/>
      </w:pPr>
      <w:rPr>
        <w:rFonts w:ascii="Wingdings" w:hAnsi="Wingdings" w:hint="default"/>
      </w:rPr>
    </w:lvl>
  </w:abstractNum>
  <w:abstractNum w:abstractNumId="17" w15:restartNumberingAfterBreak="0">
    <w:nsid w:val="67CE09E9"/>
    <w:multiLevelType w:val="hybridMultilevel"/>
    <w:tmpl w:val="0C404DF8"/>
    <w:lvl w:ilvl="0" w:tplc="ED4E7182">
      <w:numFmt w:val="bullet"/>
      <w:lvlText w:val="-"/>
      <w:lvlJc w:val="left"/>
      <w:pPr>
        <w:ind w:left="1494" w:hanging="360"/>
      </w:pPr>
      <w:rPr>
        <w:rFonts w:ascii="Times New Roman" w:eastAsia="SimSun" w:hAnsi="Times New Roman" w:hint="default"/>
      </w:rPr>
    </w:lvl>
    <w:lvl w:ilvl="1" w:tplc="04070003" w:tentative="1">
      <w:start w:val="1"/>
      <w:numFmt w:val="bullet"/>
      <w:lvlText w:val="o"/>
      <w:lvlJc w:val="left"/>
      <w:pPr>
        <w:ind w:left="2214" w:hanging="360"/>
      </w:pPr>
      <w:rPr>
        <w:rFonts w:ascii="Courier New" w:hAnsi="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18" w15:restartNumberingAfterBreak="0">
    <w:nsid w:val="68486DB0"/>
    <w:multiLevelType w:val="hybridMultilevel"/>
    <w:tmpl w:val="8438C0E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6B7347"/>
    <w:multiLevelType w:val="hybridMultilevel"/>
    <w:tmpl w:val="67C2E93A"/>
    <w:lvl w:ilvl="0" w:tplc="04070001">
      <w:start w:val="1"/>
      <w:numFmt w:val="bullet"/>
      <w:lvlText w:val=""/>
      <w:lvlJc w:val="left"/>
      <w:pPr>
        <w:ind w:left="1854" w:hanging="360"/>
      </w:pPr>
      <w:rPr>
        <w:rFonts w:ascii="Symbol" w:hAnsi="Symbol" w:hint="default"/>
      </w:rPr>
    </w:lvl>
    <w:lvl w:ilvl="1" w:tplc="04070003">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start w:val="1"/>
      <w:numFmt w:val="bullet"/>
      <w:lvlText w:val=""/>
      <w:lvlJc w:val="left"/>
      <w:pPr>
        <w:ind w:left="4014" w:hanging="360"/>
      </w:pPr>
      <w:rPr>
        <w:rFonts w:ascii="Symbol" w:hAnsi="Symbol" w:hint="default"/>
      </w:rPr>
    </w:lvl>
    <w:lvl w:ilvl="4" w:tplc="04070003">
      <w:start w:val="1"/>
      <w:numFmt w:val="bullet"/>
      <w:lvlText w:val="o"/>
      <w:lvlJc w:val="left"/>
      <w:pPr>
        <w:ind w:left="4734" w:hanging="360"/>
      </w:pPr>
      <w:rPr>
        <w:rFonts w:ascii="Courier New" w:hAnsi="Courier New" w:cs="Courier New" w:hint="default"/>
      </w:rPr>
    </w:lvl>
    <w:lvl w:ilvl="5" w:tplc="04070005">
      <w:start w:val="1"/>
      <w:numFmt w:val="bullet"/>
      <w:lvlText w:val=""/>
      <w:lvlJc w:val="left"/>
      <w:pPr>
        <w:ind w:left="5454" w:hanging="360"/>
      </w:pPr>
      <w:rPr>
        <w:rFonts w:ascii="Wingdings" w:hAnsi="Wingdings" w:hint="default"/>
      </w:rPr>
    </w:lvl>
    <w:lvl w:ilvl="6" w:tplc="04070001">
      <w:start w:val="1"/>
      <w:numFmt w:val="bullet"/>
      <w:lvlText w:val=""/>
      <w:lvlJc w:val="left"/>
      <w:pPr>
        <w:ind w:left="6174" w:hanging="360"/>
      </w:pPr>
      <w:rPr>
        <w:rFonts w:ascii="Symbol" w:hAnsi="Symbol" w:hint="default"/>
      </w:rPr>
    </w:lvl>
    <w:lvl w:ilvl="7" w:tplc="04070003">
      <w:start w:val="1"/>
      <w:numFmt w:val="bullet"/>
      <w:lvlText w:val="o"/>
      <w:lvlJc w:val="left"/>
      <w:pPr>
        <w:ind w:left="6894" w:hanging="360"/>
      </w:pPr>
      <w:rPr>
        <w:rFonts w:ascii="Courier New" w:hAnsi="Courier New" w:cs="Courier New" w:hint="default"/>
      </w:rPr>
    </w:lvl>
    <w:lvl w:ilvl="8" w:tplc="04070005">
      <w:start w:val="1"/>
      <w:numFmt w:val="bullet"/>
      <w:lvlText w:val=""/>
      <w:lvlJc w:val="left"/>
      <w:pPr>
        <w:ind w:left="7614" w:hanging="360"/>
      </w:pPr>
      <w:rPr>
        <w:rFonts w:ascii="Wingdings" w:hAnsi="Wingdings" w:hint="default"/>
      </w:rPr>
    </w:lvl>
  </w:abstractNum>
  <w:abstractNum w:abstractNumId="21" w15:restartNumberingAfterBreak="0">
    <w:nsid w:val="77501293"/>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8703ABA"/>
    <w:multiLevelType w:val="multilevel"/>
    <w:tmpl w:val="0809001D"/>
    <w:styleLink w:val="1ai"/>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15:restartNumberingAfterBreak="0">
    <w:nsid w:val="7DAF6763"/>
    <w:multiLevelType w:val="hybridMultilevel"/>
    <w:tmpl w:val="AF30625C"/>
    <w:lvl w:ilvl="0" w:tplc="1D0A6D32">
      <w:start w:val="6"/>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0"/>
  </w:num>
  <w:num w:numId="4">
    <w:abstractNumId w:val="13"/>
  </w:num>
  <w:num w:numId="5">
    <w:abstractNumId w:val="14"/>
  </w:num>
  <w:num w:numId="6">
    <w:abstractNumId w:val="22"/>
  </w:num>
  <w:num w:numId="7">
    <w:abstractNumId w:val="4"/>
  </w:num>
  <w:num w:numId="8">
    <w:abstractNumId w:val="1"/>
  </w:num>
  <w:num w:numId="9">
    <w:abstractNumId w:val="19"/>
  </w:num>
  <w:num w:numId="10">
    <w:abstractNumId w:val="1"/>
  </w:num>
  <w:num w:numId="11">
    <w:abstractNumId w:val="19"/>
  </w:num>
  <w:num w:numId="12">
    <w:abstractNumId w:val="3"/>
  </w:num>
  <w:num w:numId="13">
    <w:abstractNumId w:val="3"/>
  </w:num>
  <w:num w:numId="14">
    <w:abstractNumId w:val="15"/>
  </w:num>
  <w:num w:numId="15">
    <w:abstractNumId w:val="17"/>
  </w:num>
  <w:num w:numId="16">
    <w:abstractNumId w:val="2"/>
  </w:num>
  <w:num w:numId="17">
    <w:abstractNumId w:val="23"/>
  </w:num>
  <w:num w:numId="18">
    <w:abstractNumId w:val="8"/>
  </w:num>
  <w:num w:numId="19">
    <w:abstractNumId w:val="18"/>
  </w:num>
  <w:num w:numId="20">
    <w:abstractNumId w:val="5"/>
  </w:num>
  <w:num w:numId="21">
    <w:abstractNumId w:val="12"/>
  </w:num>
  <w:num w:numId="22">
    <w:abstractNumId w:val="10"/>
  </w:num>
  <w:num w:numId="23">
    <w:abstractNumId w:val="21"/>
  </w:num>
  <w:num w:numId="24">
    <w:abstractNumId w:val="11"/>
  </w:num>
  <w:num w:numId="25">
    <w:abstractNumId w:val="20"/>
  </w:num>
  <w:num w:numId="26">
    <w:abstractNumId w:val="16"/>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ttachedTemplate r:id="rId1"/>
  <w:defaultTabStop w:val="567"/>
  <w:hyphenationZone w:val="425"/>
  <w:evenAndOddHeaders/>
  <w:characterSpacingControl w:val="doNotCompress"/>
  <w:hdrShapeDefaults>
    <o:shapedefaults v:ext="edit" spidmax="15362"/>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F64"/>
    <w:rsid w:val="00005782"/>
    <w:rsid w:val="000174F1"/>
    <w:rsid w:val="00036819"/>
    <w:rsid w:val="0004244F"/>
    <w:rsid w:val="00046907"/>
    <w:rsid w:val="00046E92"/>
    <w:rsid w:val="0004701B"/>
    <w:rsid w:val="00063C90"/>
    <w:rsid w:val="000678A1"/>
    <w:rsid w:val="0007363F"/>
    <w:rsid w:val="000A2D90"/>
    <w:rsid w:val="000A6BBA"/>
    <w:rsid w:val="000A7C54"/>
    <w:rsid w:val="000C7792"/>
    <w:rsid w:val="000D737C"/>
    <w:rsid w:val="000E256C"/>
    <w:rsid w:val="00101B98"/>
    <w:rsid w:val="00107BE5"/>
    <w:rsid w:val="00123963"/>
    <w:rsid w:val="001514D1"/>
    <w:rsid w:val="00156639"/>
    <w:rsid w:val="00157969"/>
    <w:rsid w:val="00174987"/>
    <w:rsid w:val="00176565"/>
    <w:rsid w:val="00183128"/>
    <w:rsid w:val="001A2944"/>
    <w:rsid w:val="001A5AC7"/>
    <w:rsid w:val="001B1852"/>
    <w:rsid w:val="001E3963"/>
    <w:rsid w:val="001E3D58"/>
    <w:rsid w:val="001F6C02"/>
    <w:rsid w:val="00245980"/>
    <w:rsid w:val="00247E2C"/>
    <w:rsid w:val="00253BF6"/>
    <w:rsid w:val="0025412B"/>
    <w:rsid w:val="00272E1A"/>
    <w:rsid w:val="00285C80"/>
    <w:rsid w:val="002A32CB"/>
    <w:rsid w:val="002C659A"/>
    <w:rsid w:val="002D1BC4"/>
    <w:rsid w:val="002D22F5"/>
    <w:rsid w:val="002D5B2C"/>
    <w:rsid w:val="002D6C53"/>
    <w:rsid w:val="002F5595"/>
    <w:rsid w:val="00302446"/>
    <w:rsid w:val="00314DD3"/>
    <w:rsid w:val="00320D6D"/>
    <w:rsid w:val="003264C8"/>
    <w:rsid w:val="00334F6A"/>
    <w:rsid w:val="00342AC8"/>
    <w:rsid w:val="00343302"/>
    <w:rsid w:val="00343BD8"/>
    <w:rsid w:val="0035091E"/>
    <w:rsid w:val="00361891"/>
    <w:rsid w:val="0036704F"/>
    <w:rsid w:val="00373380"/>
    <w:rsid w:val="0038537D"/>
    <w:rsid w:val="00395A47"/>
    <w:rsid w:val="003979DE"/>
    <w:rsid w:val="003A0872"/>
    <w:rsid w:val="003A1115"/>
    <w:rsid w:val="003B4550"/>
    <w:rsid w:val="003D2A18"/>
    <w:rsid w:val="003E199E"/>
    <w:rsid w:val="003E6D59"/>
    <w:rsid w:val="003F448B"/>
    <w:rsid w:val="003F492A"/>
    <w:rsid w:val="003F6317"/>
    <w:rsid w:val="00405152"/>
    <w:rsid w:val="00413386"/>
    <w:rsid w:val="0041767E"/>
    <w:rsid w:val="00424C35"/>
    <w:rsid w:val="00431788"/>
    <w:rsid w:val="004367A2"/>
    <w:rsid w:val="00460EFE"/>
    <w:rsid w:val="00461253"/>
    <w:rsid w:val="004858F5"/>
    <w:rsid w:val="004A1E91"/>
    <w:rsid w:val="004A2519"/>
    <w:rsid w:val="004A2814"/>
    <w:rsid w:val="004C0622"/>
    <w:rsid w:val="005042C2"/>
    <w:rsid w:val="00523711"/>
    <w:rsid w:val="00527DF7"/>
    <w:rsid w:val="005300EF"/>
    <w:rsid w:val="00534873"/>
    <w:rsid w:val="00543269"/>
    <w:rsid w:val="00547641"/>
    <w:rsid w:val="0056313B"/>
    <w:rsid w:val="005712FF"/>
    <w:rsid w:val="0059112E"/>
    <w:rsid w:val="005A38A0"/>
    <w:rsid w:val="005C504B"/>
    <w:rsid w:val="005E4E06"/>
    <w:rsid w:val="005E716E"/>
    <w:rsid w:val="005F306C"/>
    <w:rsid w:val="00605A03"/>
    <w:rsid w:val="006130EB"/>
    <w:rsid w:val="006204BD"/>
    <w:rsid w:val="00626507"/>
    <w:rsid w:val="00640E2E"/>
    <w:rsid w:val="006475CF"/>
    <w:rsid w:val="006476E1"/>
    <w:rsid w:val="00650047"/>
    <w:rsid w:val="006500BA"/>
    <w:rsid w:val="006569CA"/>
    <w:rsid w:val="006604DF"/>
    <w:rsid w:val="00671529"/>
    <w:rsid w:val="00676595"/>
    <w:rsid w:val="0069083F"/>
    <w:rsid w:val="006A1E57"/>
    <w:rsid w:val="006A3CB9"/>
    <w:rsid w:val="006C4F50"/>
    <w:rsid w:val="006D0865"/>
    <w:rsid w:val="007021AF"/>
    <w:rsid w:val="0070489D"/>
    <w:rsid w:val="00707ADF"/>
    <w:rsid w:val="007116F5"/>
    <w:rsid w:val="00712A22"/>
    <w:rsid w:val="00726345"/>
    <w:rsid w:val="007268F9"/>
    <w:rsid w:val="00750282"/>
    <w:rsid w:val="007535A0"/>
    <w:rsid w:val="0075561E"/>
    <w:rsid w:val="0075674E"/>
    <w:rsid w:val="00764440"/>
    <w:rsid w:val="0077101B"/>
    <w:rsid w:val="00775A2F"/>
    <w:rsid w:val="007771C2"/>
    <w:rsid w:val="0078552F"/>
    <w:rsid w:val="007B0C0F"/>
    <w:rsid w:val="007B4E3F"/>
    <w:rsid w:val="007C52B0"/>
    <w:rsid w:val="007C6033"/>
    <w:rsid w:val="007D0590"/>
    <w:rsid w:val="007D204D"/>
    <w:rsid w:val="007D56FE"/>
    <w:rsid w:val="007E77B6"/>
    <w:rsid w:val="007F40FD"/>
    <w:rsid w:val="008072AA"/>
    <w:rsid w:val="0081169B"/>
    <w:rsid w:val="008147C8"/>
    <w:rsid w:val="0081674C"/>
    <w:rsid w:val="0081753A"/>
    <w:rsid w:val="008179C0"/>
    <w:rsid w:val="008262A7"/>
    <w:rsid w:val="00833B8F"/>
    <w:rsid w:val="00841C54"/>
    <w:rsid w:val="008428D9"/>
    <w:rsid w:val="00844E29"/>
    <w:rsid w:val="00857D23"/>
    <w:rsid w:val="0088276E"/>
    <w:rsid w:val="00884FAF"/>
    <w:rsid w:val="0089063E"/>
    <w:rsid w:val="008A176E"/>
    <w:rsid w:val="008A4E03"/>
    <w:rsid w:val="008A745D"/>
    <w:rsid w:val="008C75B5"/>
    <w:rsid w:val="008D4EA1"/>
    <w:rsid w:val="008E1E46"/>
    <w:rsid w:val="008F7FDD"/>
    <w:rsid w:val="00904101"/>
    <w:rsid w:val="009043FB"/>
    <w:rsid w:val="00914DD7"/>
    <w:rsid w:val="00921633"/>
    <w:rsid w:val="009411B4"/>
    <w:rsid w:val="00946F1D"/>
    <w:rsid w:val="009605A4"/>
    <w:rsid w:val="009750CC"/>
    <w:rsid w:val="00986DAC"/>
    <w:rsid w:val="00992B3A"/>
    <w:rsid w:val="009940A4"/>
    <w:rsid w:val="009D0139"/>
    <w:rsid w:val="009D717D"/>
    <w:rsid w:val="009F180F"/>
    <w:rsid w:val="009F5CDC"/>
    <w:rsid w:val="00A072D7"/>
    <w:rsid w:val="00A116E5"/>
    <w:rsid w:val="00A17619"/>
    <w:rsid w:val="00A22E0C"/>
    <w:rsid w:val="00A2642D"/>
    <w:rsid w:val="00A668D4"/>
    <w:rsid w:val="00A775CF"/>
    <w:rsid w:val="00AB4A89"/>
    <w:rsid w:val="00AD155F"/>
    <w:rsid w:val="00AD1A9C"/>
    <w:rsid w:val="00AE0D17"/>
    <w:rsid w:val="00AE0ECC"/>
    <w:rsid w:val="00AF2D23"/>
    <w:rsid w:val="00AF5DE1"/>
    <w:rsid w:val="00B005A6"/>
    <w:rsid w:val="00B04196"/>
    <w:rsid w:val="00B06045"/>
    <w:rsid w:val="00B206DD"/>
    <w:rsid w:val="00B2119B"/>
    <w:rsid w:val="00B330B3"/>
    <w:rsid w:val="00B4141F"/>
    <w:rsid w:val="00B52EF4"/>
    <w:rsid w:val="00B6635D"/>
    <w:rsid w:val="00B7005F"/>
    <w:rsid w:val="00B762C5"/>
    <w:rsid w:val="00B777AD"/>
    <w:rsid w:val="00B77BA6"/>
    <w:rsid w:val="00BA52A3"/>
    <w:rsid w:val="00BC032F"/>
    <w:rsid w:val="00BD4466"/>
    <w:rsid w:val="00BE18B6"/>
    <w:rsid w:val="00BE33B3"/>
    <w:rsid w:val="00BE7121"/>
    <w:rsid w:val="00BF1BC1"/>
    <w:rsid w:val="00C03015"/>
    <w:rsid w:val="00C0358D"/>
    <w:rsid w:val="00C042F4"/>
    <w:rsid w:val="00C05293"/>
    <w:rsid w:val="00C1321E"/>
    <w:rsid w:val="00C25557"/>
    <w:rsid w:val="00C35A27"/>
    <w:rsid w:val="00C4284C"/>
    <w:rsid w:val="00C45617"/>
    <w:rsid w:val="00C47B2E"/>
    <w:rsid w:val="00C564AD"/>
    <w:rsid w:val="00C57C69"/>
    <w:rsid w:val="00C62486"/>
    <w:rsid w:val="00C751A4"/>
    <w:rsid w:val="00CB381A"/>
    <w:rsid w:val="00CE519F"/>
    <w:rsid w:val="00D06A75"/>
    <w:rsid w:val="00D12496"/>
    <w:rsid w:val="00D20A95"/>
    <w:rsid w:val="00D24042"/>
    <w:rsid w:val="00D31A13"/>
    <w:rsid w:val="00D522CC"/>
    <w:rsid w:val="00D55F8C"/>
    <w:rsid w:val="00D57E8C"/>
    <w:rsid w:val="00D57F64"/>
    <w:rsid w:val="00D63CD2"/>
    <w:rsid w:val="00D63D25"/>
    <w:rsid w:val="00D87DC2"/>
    <w:rsid w:val="00D90591"/>
    <w:rsid w:val="00D94B05"/>
    <w:rsid w:val="00DE431C"/>
    <w:rsid w:val="00E02C2B"/>
    <w:rsid w:val="00E21C27"/>
    <w:rsid w:val="00E26BCF"/>
    <w:rsid w:val="00E35AB1"/>
    <w:rsid w:val="00E44461"/>
    <w:rsid w:val="00E52109"/>
    <w:rsid w:val="00E61D99"/>
    <w:rsid w:val="00E725DF"/>
    <w:rsid w:val="00E75317"/>
    <w:rsid w:val="00E90749"/>
    <w:rsid w:val="00E90CB7"/>
    <w:rsid w:val="00EA22AD"/>
    <w:rsid w:val="00EA44DB"/>
    <w:rsid w:val="00EB10DD"/>
    <w:rsid w:val="00EB4710"/>
    <w:rsid w:val="00EC0CE6"/>
    <w:rsid w:val="00EC7C1D"/>
    <w:rsid w:val="00ED0546"/>
    <w:rsid w:val="00ED6C48"/>
    <w:rsid w:val="00ED7F74"/>
    <w:rsid w:val="00EE3045"/>
    <w:rsid w:val="00F14D39"/>
    <w:rsid w:val="00F54989"/>
    <w:rsid w:val="00F55BF2"/>
    <w:rsid w:val="00F648CC"/>
    <w:rsid w:val="00F65F5D"/>
    <w:rsid w:val="00F666D9"/>
    <w:rsid w:val="00F819BD"/>
    <w:rsid w:val="00F8313A"/>
    <w:rsid w:val="00F835A2"/>
    <w:rsid w:val="00F85E46"/>
    <w:rsid w:val="00F86A3A"/>
    <w:rsid w:val="00F86E1D"/>
    <w:rsid w:val="00F91B17"/>
    <w:rsid w:val="00FD6AB9"/>
    <w:rsid w:val="00FE17BC"/>
    <w:rsid w:val="00FE1FD5"/>
    <w:rsid w:val="00FE218D"/>
    <w:rsid w:val="00FE415F"/>
    <w:rsid w:val="00FF7340"/>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14:docId w14:val="526D2DF2"/>
  <w15:docId w15:val="{404005A5-5D11-4EC9-8A58-61EF69F4E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semiHidden="1" w:unhideWhenUsed="1"/>
    <w:lsdException w:name="header" w:locked="1" w:semiHidden="1" w:uiPriority="0" w:unhideWhenUsed="1" w:qFormat="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line="240" w:lineRule="atLeast"/>
    </w:pPr>
    <w:rPr>
      <w:sz w:val="20"/>
      <w:szCs w:val="20"/>
      <w:lang w:val="en-GB" w:eastAsia="zh-CN"/>
    </w:rPr>
  </w:style>
  <w:style w:type="paragraph" w:styleId="Heading1">
    <w:name w:val="heading 1"/>
    <w:aliases w:val="Table_G"/>
    <w:basedOn w:val="SingleTxtG"/>
    <w:next w:val="SingleTxtG"/>
    <w:link w:val="Heading1Char"/>
    <w:uiPriority w:val="99"/>
    <w:qFormat/>
    <w:rsid w:val="004A2814"/>
    <w:pPr>
      <w:spacing w:after="0" w:line="240" w:lineRule="auto"/>
      <w:ind w:right="0"/>
      <w:jc w:val="left"/>
      <w:outlineLvl w:val="0"/>
    </w:pPr>
  </w:style>
  <w:style w:type="paragraph" w:styleId="Heading2">
    <w:name w:val="heading 2"/>
    <w:basedOn w:val="Normal"/>
    <w:next w:val="Normal"/>
    <w:link w:val="Heading2Char"/>
    <w:uiPriority w:val="99"/>
    <w:qFormat/>
    <w:rsid w:val="004A2814"/>
    <w:pPr>
      <w:spacing w:line="240" w:lineRule="auto"/>
      <w:outlineLvl w:val="1"/>
    </w:pPr>
  </w:style>
  <w:style w:type="paragraph" w:styleId="Heading3">
    <w:name w:val="heading 3"/>
    <w:basedOn w:val="Normal"/>
    <w:next w:val="Normal"/>
    <w:link w:val="Heading3Char"/>
    <w:uiPriority w:val="99"/>
    <w:qFormat/>
    <w:rsid w:val="004A2814"/>
    <w:pPr>
      <w:spacing w:line="240" w:lineRule="auto"/>
      <w:outlineLvl w:val="2"/>
    </w:pPr>
  </w:style>
  <w:style w:type="paragraph" w:styleId="Heading4">
    <w:name w:val="heading 4"/>
    <w:basedOn w:val="Normal"/>
    <w:next w:val="Normal"/>
    <w:link w:val="Heading4Char"/>
    <w:uiPriority w:val="99"/>
    <w:qFormat/>
    <w:rsid w:val="004A2814"/>
    <w:pPr>
      <w:spacing w:line="240" w:lineRule="auto"/>
      <w:outlineLvl w:val="3"/>
    </w:pPr>
  </w:style>
  <w:style w:type="paragraph" w:styleId="Heading5">
    <w:name w:val="heading 5"/>
    <w:basedOn w:val="Normal"/>
    <w:next w:val="Normal"/>
    <w:link w:val="Heading5Char"/>
    <w:uiPriority w:val="99"/>
    <w:qFormat/>
    <w:rsid w:val="004A2814"/>
    <w:pPr>
      <w:spacing w:line="240" w:lineRule="auto"/>
      <w:outlineLvl w:val="4"/>
    </w:pPr>
  </w:style>
  <w:style w:type="paragraph" w:styleId="Heading6">
    <w:name w:val="heading 6"/>
    <w:basedOn w:val="Normal"/>
    <w:next w:val="Normal"/>
    <w:link w:val="Heading6Char"/>
    <w:uiPriority w:val="99"/>
    <w:qFormat/>
    <w:rsid w:val="004A2814"/>
    <w:pPr>
      <w:spacing w:line="240" w:lineRule="auto"/>
      <w:outlineLvl w:val="5"/>
    </w:pPr>
  </w:style>
  <w:style w:type="paragraph" w:styleId="Heading7">
    <w:name w:val="heading 7"/>
    <w:basedOn w:val="Normal"/>
    <w:next w:val="Normal"/>
    <w:link w:val="Heading7Char"/>
    <w:uiPriority w:val="99"/>
    <w:qFormat/>
    <w:rsid w:val="004A2814"/>
    <w:pPr>
      <w:spacing w:line="240" w:lineRule="auto"/>
      <w:outlineLvl w:val="6"/>
    </w:pPr>
  </w:style>
  <w:style w:type="paragraph" w:styleId="Heading8">
    <w:name w:val="heading 8"/>
    <w:basedOn w:val="Normal"/>
    <w:next w:val="Normal"/>
    <w:link w:val="Heading8Char"/>
    <w:uiPriority w:val="99"/>
    <w:qFormat/>
    <w:rsid w:val="004A2814"/>
    <w:pPr>
      <w:spacing w:line="240" w:lineRule="auto"/>
      <w:outlineLvl w:val="7"/>
    </w:pPr>
  </w:style>
  <w:style w:type="paragraph" w:styleId="Heading9">
    <w:name w:val="heading 9"/>
    <w:basedOn w:val="Normal"/>
    <w:next w:val="Normal"/>
    <w:link w:val="Heading9Char"/>
    <w:uiPriority w:val="99"/>
    <w:qFormat/>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uiPriority w:val="99"/>
    <w:locked/>
    <w:rsid w:val="003B4550"/>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uiPriority w:val="99"/>
    <w:semiHidden/>
    <w:locked/>
    <w:rsid w:val="003B4550"/>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uiPriority w:val="99"/>
    <w:semiHidden/>
    <w:locked/>
    <w:rsid w:val="003B4550"/>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uiPriority w:val="99"/>
    <w:semiHidden/>
    <w:locked/>
    <w:rsid w:val="003B4550"/>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uiPriority w:val="99"/>
    <w:semiHidden/>
    <w:locked/>
    <w:rsid w:val="003B4550"/>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uiPriority w:val="99"/>
    <w:semiHidden/>
    <w:locked/>
    <w:rsid w:val="003B4550"/>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uiPriority w:val="99"/>
    <w:semiHidden/>
    <w:locked/>
    <w:rsid w:val="003B4550"/>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uiPriority w:val="99"/>
    <w:semiHidden/>
    <w:locked/>
    <w:rsid w:val="003B4550"/>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uiPriority w:val="99"/>
    <w:semiHidden/>
    <w:locked/>
    <w:rsid w:val="003B4550"/>
    <w:rPr>
      <w:rFonts w:ascii="Times New Roman" w:eastAsia="Times New Roman" w:hAnsi="Times New Roman" w:cs="Times New Roman"/>
      <w:sz w:val="20"/>
      <w:szCs w:val="20"/>
      <w:lang w:eastAsia="en-US"/>
    </w:rPr>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locked/>
    <w:rsid w:val="003B4550"/>
    <w:rPr>
      <w:rFonts w:ascii="Times New Roman" w:eastAsia="Times New Roman" w:hAnsi="Times New Roman" w:cs="Times New Roman"/>
      <w:b/>
      <w:sz w:val="20"/>
      <w:szCs w:val="20"/>
      <w:lang w:eastAsia="en-US"/>
    </w:rPr>
  </w:style>
  <w:style w:type="paragraph" w:styleId="Footer">
    <w:name w:val="footer"/>
    <w:aliases w:val="3_G"/>
    <w:basedOn w:val="Normal"/>
    <w:link w:val="FooterChar"/>
    <w:uiPriority w:val="99"/>
    <w:rsid w:val="004A2814"/>
    <w:pPr>
      <w:spacing w:line="240" w:lineRule="auto"/>
    </w:pPr>
    <w:rPr>
      <w:sz w:val="16"/>
    </w:rPr>
  </w:style>
  <w:style w:type="character" w:customStyle="1" w:styleId="FooterChar">
    <w:name w:val="Footer Char"/>
    <w:aliases w:val="3_G Char"/>
    <w:basedOn w:val="DefaultParagraphFont"/>
    <w:link w:val="Footer"/>
    <w:uiPriority w:val="99"/>
    <w:locked/>
    <w:rsid w:val="00247E2C"/>
    <w:rPr>
      <w:rFonts w:ascii="Times New Roman" w:eastAsia="Times New Roman" w:hAnsi="Times New Roman" w:cs="Times New Roman"/>
      <w:sz w:val="20"/>
      <w:szCs w:val="20"/>
      <w:lang w:eastAsia="en-US"/>
    </w:rPr>
  </w:style>
  <w:style w:type="paragraph" w:customStyle="1" w:styleId="HMG">
    <w:name w:val="_ H __M_G"/>
    <w:basedOn w:val="Normal"/>
    <w:next w:val="Normal"/>
    <w:uiPriority w:val="99"/>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lang w:val="de-DE" w:eastAsia="de-DE"/>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uiPriority w:val="99"/>
    <w:rsid w:val="004A2814"/>
    <w:pPr>
      <w:keepNext/>
      <w:keepLines/>
      <w:spacing w:before="240" w:after="240" w:line="580" w:lineRule="exact"/>
      <w:ind w:left="1134" w:right="1134"/>
    </w:pPr>
    <w:rPr>
      <w:b/>
      <w:sz w:val="56"/>
    </w:rPr>
  </w:style>
  <w:style w:type="paragraph" w:customStyle="1" w:styleId="SMG">
    <w:name w:val="__S_M_G"/>
    <w:basedOn w:val="Normal"/>
    <w:next w:val="Normal"/>
    <w:uiPriority w:val="99"/>
    <w:rsid w:val="004A2814"/>
    <w:pPr>
      <w:keepNext/>
      <w:keepLines/>
      <w:spacing w:before="240" w:after="240" w:line="420" w:lineRule="exact"/>
      <w:ind w:left="1134" w:right="1134"/>
    </w:pPr>
    <w:rPr>
      <w:b/>
      <w:sz w:val="40"/>
    </w:rPr>
  </w:style>
  <w:style w:type="paragraph" w:customStyle="1" w:styleId="SSG">
    <w:name w:val="__S_S_G"/>
    <w:basedOn w:val="Normal"/>
    <w:next w:val="Normal"/>
    <w:uiPriority w:val="99"/>
    <w:rsid w:val="004A2814"/>
    <w:pPr>
      <w:keepNext/>
      <w:keepLines/>
      <w:spacing w:before="240" w:after="240" w:line="300" w:lineRule="exact"/>
      <w:ind w:left="1134" w:right="1134"/>
    </w:pPr>
    <w:rPr>
      <w:b/>
      <w:sz w:val="28"/>
    </w:rPr>
  </w:style>
  <w:style w:type="paragraph" w:customStyle="1" w:styleId="XLargeG">
    <w:name w:val="__XLarge_G"/>
    <w:basedOn w:val="Normal"/>
    <w:next w:val="Normal"/>
    <w:uiPriority w:val="99"/>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uiPriority w:val="99"/>
    <w:rsid w:val="004A2814"/>
    <w:pPr>
      <w:numPr>
        <w:numId w:val="11"/>
      </w:numPr>
      <w:spacing w:after="120"/>
      <w:ind w:right="1134"/>
      <w:jc w:val="both"/>
    </w:pPr>
  </w:style>
  <w:style w:type="paragraph" w:customStyle="1" w:styleId="ParNoG">
    <w:name w:val="_ParNo_G"/>
    <w:basedOn w:val="SingleTxtG"/>
    <w:uiPriority w:val="99"/>
    <w:rsid w:val="00B206DD"/>
    <w:pPr>
      <w:numPr>
        <w:numId w:val="13"/>
      </w:numPr>
      <w:suppressAutoHyphens w:val="0"/>
      <w:kinsoku/>
      <w:overflowPunct/>
      <w:autoSpaceDE/>
      <w:autoSpaceDN/>
      <w:adjustRightInd/>
      <w:snapToGrid/>
    </w:pPr>
  </w:style>
  <w:style w:type="character" w:styleId="EndnoteReference">
    <w:name w:val="endnote reference"/>
    <w:aliases w:val="1_G"/>
    <w:basedOn w:val="DefaultParagraphFont"/>
    <w:uiPriority w:val="99"/>
    <w:rsid w:val="004A2814"/>
    <w:rPr>
      <w:rFonts w:ascii="Times New Roman" w:hAnsi="Times New Roman" w:cs="Times New Roman"/>
      <w:sz w:val="18"/>
      <w:vertAlign w:val="superscript"/>
    </w:rPr>
  </w:style>
  <w:style w:type="paragraph" w:styleId="FootnoteText">
    <w:name w:val="footnote text"/>
    <w:aliases w:val="5_G"/>
    <w:basedOn w:val="Normal"/>
    <w:link w:val="FootnoteTextChar"/>
    <w:uiPriority w:val="99"/>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locked/>
    <w:rsid w:val="007268F9"/>
    <w:rPr>
      <w:rFonts w:ascii="Times New Roman" w:eastAsia="Times New Roman" w:hAnsi="Times New Roman" w:cs="Times New Roman"/>
      <w:sz w:val="20"/>
      <w:szCs w:val="20"/>
      <w:lang w:eastAsia="en-US"/>
    </w:rPr>
  </w:style>
  <w:style w:type="paragraph" w:styleId="EndnoteText">
    <w:name w:val="endnote text"/>
    <w:aliases w:val="2_G"/>
    <w:basedOn w:val="FootnoteText"/>
    <w:link w:val="EndnoteTextChar"/>
    <w:uiPriority w:val="99"/>
    <w:rsid w:val="004A2814"/>
  </w:style>
  <w:style w:type="character" w:customStyle="1" w:styleId="EndnoteTextChar">
    <w:name w:val="Endnote Text Char"/>
    <w:aliases w:val="2_G Char"/>
    <w:basedOn w:val="DefaultParagraphFont"/>
    <w:link w:val="EndnoteText"/>
    <w:uiPriority w:val="99"/>
    <w:locked/>
    <w:rsid w:val="007268F9"/>
    <w:rPr>
      <w:rFonts w:ascii="Times New Roman" w:eastAsia="Times New Roman" w:hAnsi="Times New Roman" w:cs="Times New Roman"/>
      <w:sz w:val="20"/>
      <w:szCs w:val="20"/>
      <w:lang w:eastAsia="en-US"/>
    </w:rPr>
  </w:style>
  <w:style w:type="character" w:styleId="FootnoteReference">
    <w:name w:val="footnote reference"/>
    <w:aliases w:val="4_G,Footnote Reference/"/>
    <w:basedOn w:val="DefaultParagraphFont"/>
    <w:uiPriority w:val="99"/>
    <w:rsid w:val="004A2814"/>
    <w:rPr>
      <w:rFonts w:ascii="Times New Roman" w:hAnsi="Times New Roman" w:cs="Times New Roman"/>
      <w:sz w:val="18"/>
      <w:vertAlign w:val="superscript"/>
    </w:rPr>
  </w:style>
  <w:style w:type="character" w:styleId="PageNumber">
    <w:name w:val="page number"/>
    <w:aliases w:val="7_G"/>
    <w:basedOn w:val="DefaultParagraphFont"/>
    <w:uiPriority w:val="99"/>
    <w:rsid w:val="004A2814"/>
    <w:rPr>
      <w:rFonts w:ascii="Times New Roman" w:hAnsi="Times New Roman" w:cs="Times New Roman"/>
      <w:b/>
      <w:sz w:val="18"/>
    </w:rPr>
  </w:style>
  <w:style w:type="paragraph" w:styleId="BalloonText">
    <w:name w:val="Balloon Text"/>
    <w:basedOn w:val="Normal"/>
    <w:link w:val="BalloonTextChar"/>
    <w:uiPriority w:val="99"/>
    <w:semiHidden/>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52109"/>
    <w:rPr>
      <w:rFonts w:ascii="Tahoma" w:hAnsi="Tahoma" w:cs="Tahoma"/>
      <w:sz w:val="16"/>
      <w:szCs w:val="16"/>
      <w:lang w:eastAsia="en-US"/>
    </w:rPr>
  </w:style>
  <w:style w:type="character" w:styleId="Hyperlink">
    <w:name w:val="Hyperlink"/>
    <w:basedOn w:val="DefaultParagraphFont"/>
    <w:uiPriority w:val="99"/>
    <w:rsid w:val="00EC0CE6"/>
    <w:rPr>
      <w:rFonts w:cs="Times New Roman"/>
      <w:color w:val="0000FF"/>
      <w:u w:val="none"/>
    </w:rPr>
  </w:style>
  <w:style w:type="character" w:styleId="FollowedHyperlink">
    <w:name w:val="FollowedHyperlink"/>
    <w:basedOn w:val="DefaultParagraphFont"/>
    <w:uiPriority w:val="99"/>
    <w:rsid w:val="00EC0CE6"/>
    <w:rPr>
      <w:rFonts w:cs="Times New Roman"/>
      <w:color w:val="0000FF"/>
      <w:u w:val="none"/>
    </w:rPr>
  </w:style>
  <w:style w:type="table" w:styleId="TableGrid">
    <w:name w:val="Table Grid"/>
    <w:basedOn w:val="TableNormal"/>
    <w:uiPriority w:val="99"/>
    <w:rsid w:val="004A2814"/>
    <w:pPr>
      <w:suppressAutoHyphens/>
      <w:spacing w:line="240" w:lineRule="atLeast"/>
    </w:pPr>
    <w:rPr>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1GChar">
    <w:name w:val="_ H_1_G Char"/>
    <w:link w:val="H1G"/>
    <w:uiPriority w:val="99"/>
    <w:locked/>
    <w:rsid w:val="0035091E"/>
    <w:rPr>
      <w:b/>
      <w:sz w:val="24"/>
    </w:rPr>
  </w:style>
  <w:style w:type="character" w:styleId="CommentReference">
    <w:name w:val="annotation reference"/>
    <w:basedOn w:val="DefaultParagraphFont"/>
    <w:uiPriority w:val="99"/>
    <w:semiHidden/>
    <w:rsid w:val="00D63D25"/>
    <w:rPr>
      <w:rFonts w:cs="Times New Roman"/>
      <w:sz w:val="16"/>
      <w:szCs w:val="16"/>
    </w:rPr>
  </w:style>
  <w:style w:type="paragraph" w:styleId="CommentText">
    <w:name w:val="annotation text"/>
    <w:basedOn w:val="Normal"/>
    <w:link w:val="CommentTextChar"/>
    <w:uiPriority w:val="99"/>
    <w:semiHidden/>
    <w:rsid w:val="00D63D25"/>
    <w:pPr>
      <w:spacing w:line="240" w:lineRule="auto"/>
    </w:pPr>
  </w:style>
  <w:style w:type="character" w:customStyle="1" w:styleId="CommentTextChar">
    <w:name w:val="Comment Text Char"/>
    <w:basedOn w:val="DefaultParagraphFont"/>
    <w:link w:val="CommentText"/>
    <w:uiPriority w:val="99"/>
    <w:semiHidden/>
    <w:locked/>
    <w:rsid w:val="00D63D25"/>
    <w:rPr>
      <w:rFonts w:cs="Times New Roman"/>
    </w:rPr>
  </w:style>
  <w:style w:type="paragraph" w:styleId="CommentSubject">
    <w:name w:val="annotation subject"/>
    <w:basedOn w:val="CommentText"/>
    <w:next w:val="CommentText"/>
    <w:link w:val="CommentSubjectChar"/>
    <w:uiPriority w:val="99"/>
    <w:semiHidden/>
    <w:rsid w:val="00D63D25"/>
    <w:rPr>
      <w:b/>
      <w:bCs/>
    </w:rPr>
  </w:style>
  <w:style w:type="character" w:customStyle="1" w:styleId="CommentSubjectChar">
    <w:name w:val="Comment Subject Char"/>
    <w:basedOn w:val="CommentTextChar"/>
    <w:link w:val="CommentSubject"/>
    <w:uiPriority w:val="99"/>
    <w:semiHidden/>
    <w:locked/>
    <w:rsid w:val="00D63D25"/>
    <w:rPr>
      <w:rFonts w:cs="Times New Roman"/>
      <w:b/>
      <w:bCs/>
    </w:rPr>
  </w:style>
  <w:style w:type="numbering" w:styleId="111111">
    <w:name w:val="Outline List 2"/>
    <w:basedOn w:val="NoList"/>
    <w:locked/>
    <w:rsid w:val="007A0A3A"/>
    <w:pPr>
      <w:numPr>
        <w:numId w:val="5"/>
      </w:numPr>
    </w:pPr>
  </w:style>
  <w:style w:type="numbering" w:styleId="1ai">
    <w:name w:val="Outline List 1"/>
    <w:basedOn w:val="NoList"/>
    <w:locked/>
    <w:rsid w:val="007A0A3A"/>
    <w:pPr>
      <w:numPr>
        <w:numId w:val="6"/>
      </w:numPr>
    </w:pPr>
  </w:style>
  <w:style w:type="paragraph" w:customStyle="1" w:styleId="MBodyTxt">
    <w:name w:val="MBodyTxt"/>
    <w:basedOn w:val="Normal"/>
    <w:qFormat/>
    <w:rsid w:val="00F85E46"/>
    <w:pPr>
      <w:tabs>
        <w:tab w:val="left" w:pos="1418"/>
      </w:tabs>
      <w:kinsoku/>
      <w:overflowPunct/>
      <w:autoSpaceDE/>
      <w:autoSpaceDN/>
      <w:adjustRightInd/>
      <w:snapToGrid/>
      <w:spacing w:after="240" w:line="240" w:lineRule="auto"/>
      <w:jc w:val="both"/>
    </w:pPr>
    <w:rPr>
      <w:rFonts w:ascii="Liberation Serif;Times New Roma" w:eastAsia="NSimSun" w:hAnsi="Liberation Serif;Times New Roma"/>
      <w:kern w:val="2"/>
      <w:lang w:eastAsia="fr-FR"/>
    </w:rPr>
  </w:style>
  <w:style w:type="paragraph" w:customStyle="1" w:styleId="MTabHead">
    <w:name w:val="MTabHead"/>
    <w:basedOn w:val="MBodyTxt"/>
    <w:qFormat/>
    <w:rsid w:val="00F85E46"/>
    <w:pPr>
      <w:keepNext/>
      <w:jc w:val="center"/>
    </w:pPr>
    <w:rPr>
      <w:b/>
      <w:bCs/>
    </w:rPr>
  </w:style>
  <w:style w:type="paragraph" w:customStyle="1" w:styleId="Standard">
    <w:name w:val="Standard"/>
    <w:qFormat/>
    <w:rsid w:val="00F85E46"/>
    <w:pPr>
      <w:suppressAutoHyphens/>
      <w:textAlignment w:val="baseline"/>
    </w:pPr>
    <w:rPr>
      <w:rFonts w:ascii="Liberation Serif;Times New Roma" w:eastAsia="NSimSun" w:hAnsi="Liberation Serif;Times New Roma" w:cs="Liberation Serif;Times New Roma"/>
      <w:kern w:val="2"/>
      <w:sz w:val="24"/>
      <w:szCs w:val="24"/>
      <w:lang w:val="fr-FR" w:eastAsia="zh-CN" w:bidi="hi-IN"/>
    </w:rPr>
  </w:style>
  <w:style w:type="character" w:customStyle="1" w:styleId="SingleTxtGChar">
    <w:name w:val="_ Single Txt_G Char"/>
    <w:link w:val="SingleTxtG"/>
    <w:qFormat/>
    <w:locked/>
    <w:rsid w:val="00F85E46"/>
    <w:rPr>
      <w:sz w:val="20"/>
      <w:szCs w:val="20"/>
      <w:lang w:val="en-GB" w:eastAsia="zh-CN"/>
    </w:rPr>
  </w:style>
  <w:style w:type="paragraph" w:styleId="ListParagraph">
    <w:name w:val="List Paragraph"/>
    <w:basedOn w:val="Normal"/>
    <w:uiPriority w:val="34"/>
    <w:qFormat/>
    <w:rsid w:val="00F85E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54121">
      <w:bodyDiv w:val="1"/>
      <w:marLeft w:val="0"/>
      <w:marRight w:val="0"/>
      <w:marTop w:val="0"/>
      <w:marBottom w:val="0"/>
      <w:divBdr>
        <w:top w:val="none" w:sz="0" w:space="0" w:color="auto"/>
        <w:left w:val="none" w:sz="0" w:space="0" w:color="auto"/>
        <w:bottom w:val="none" w:sz="0" w:space="0" w:color="auto"/>
        <w:right w:val="none" w:sz="0" w:space="0" w:color="auto"/>
      </w:divBdr>
    </w:div>
    <w:div w:id="175845869">
      <w:bodyDiv w:val="1"/>
      <w:marLeft w:val="0"/>
      <w:marRight w:val="0"/>
      <w:marTop w:val="0"/>
      <w:marBottom w:val="0"/>
      <w:divBdr>
        <w:top w:val="none" w:sz="0" w:space="0" w:color="auto"/>
        <w:left w:val="none" w:sz="0" w:space="0" w:color="auto"/>
        <w:bottom w:val="none" w:sz="0" w:space="0" w:color="auto"/>
        <w:right w:val="none" w:sz="0" w:space="0" w:color="auto"/>
      </w:divBdr>
    </w:div>
    <w:div w:id="521356244">
      <w:bodyDiv w:val="1"/>
      <w:marLeft w:val="0"/>
      <w:marRight w:val="0"/>
      <w:marTop w:val="0"/>
      <w:marBottom w:val="0"/>
      <w:divBdr>
        <w:top w:val="none" w:sz="0" w:space="0" w:color="auto"/>
        <w:left w:val="none" w:sz="0" w:space="0" w:color="auto"/>
        <w:bottom w:val="none" w:sz="0" w:space="0" w:color="auto"/>
        <w:right w:val="none" w:sz="0" w:space="0" w:color="auto"/>
      </w:divBdr>
    </w:div>
    <w:div w:id="827555328">
      <w:bodyDiv w:val="1"/>
      <w:marLeft w:val="0"/>
      <w:marRight w:val="0"/>
      <w:marTop w:val="0"/>
      <w:marBottom w:val="0"/>
      <w:divBdr>
        <w:top w:val="none" w:sz="0" w:space="0" w:color="auto"/>
        <w:left w:val="none" w:sz="0" w:space="0" w:color="auto"/>
        <w:bottom w:val="none" w:sz="0" w:space="0" w:color="auto"/>
        <w:right w:val="none" w:sz="0" w:space="0" w:color="auto"/>
      </w:divBdr>
    </w:div>
    <w:div w:id="1068958342">
      <w:marLeft w:val="0"/>
      <w:marRight w:val="0"/>
      <w:marTop w:val="0"/>
      <w:marBottom w:val="0"/>
      <w:divBdr>
        <w:top w:val="none" w:sz="0" w:space="0" w:color="auto"/>
        <w:left w:val="none" w:sz="0" w:space="0" w:color="auto"/>
        <w:bottom w:val="none" w:sz="0" w:space="0" w:color="auto"/>
        <w:right w:val="none" w:sz="0" w:space="0" w:color="auto"/>
      </w:divBdr>
    </w:div>
    <w:div w:id="1489397875">
      <w:bodyDiv w:val="1"/>
      <w:marLeft w:val="0"/>
      <w:marRight w:val="0"/>
      <w:marTop w:val="0"/>
      <w:marBottom w:val="0"/>
      <w:divBdr>
        <w:top w:val="none" w:sz="0" w:space="0" w:color="auto"/>
        <w:left w:val="none" w:sz="0" w:space="0" w:color="auto"/>
        <w:bottom w:val="none" w:sz="0" w:space="0" w:color="auto"/>
        <w:right w:val="none" w:sz="0" w:space="0" w:color="auto"/>
      </w:divBdr>
    </w:div>
    <w:div w:id="1689485283">
      <w:bodyDiv w:val="1"/>
      <w:marLeft w:val="0"/>
      <w:marRight w:val="0"/>
      <w:marTop w:val="0"/>
      <w:marBottom w:val="0"/>
      <w:divBdr>
        <w:top w:val="none" w:sz="0" w:space="0" w:color="auto"/>
        <w:left w:val="none" w:sz="0" w:space="0" w:color="auto"/>
        <w:bottom w:val="none" w:sz="0" w:space="0" w:color="auto"/>
        <w:right w:val="none" w:sz="0" w:space="0" w:color="auto"/>
      </w:divBdr>
    </w:div>
    <w:div w:id="1709792440">
      <w:bodyDiv w:val="1"/>
      <w:marLeft w:val="0"/>
      <w:marRight w:val="0"/>
      <w:marTop w:val="0"/>
      <w:marBottom w:val="0"/>
      <w:divBdr>
        <w:top w:val="none" w:sz="0" w:space="0" w:color="auto"/>
        <w:left w:val="none" w:sz="0" w:space="0" w:color="auto"/>
        <w:bottom w:val="none" w:sz="0" w:space="0" w:color="auto"/>
        <w:right w:val="none" w:sz="0" w:space="0" w:color="auto"/>
      </w:divBdr>
    </w:div>
    <w:div w:id="1733186907">
      <w:bodyDiv w:val="1"/>
      <w:marLeft w:val="0"/>
      <w:marRight w:val="0"/>
      <w:marTop w:val="0"/>
      <w:marBottom w:val="0"/>
      <w:divBdr>
        <w:top w:val="none" w:sz="0" w:space="0" w:color="auto"/>
        <w:left w:val="none" w:sz="0" w:space="0" w:color="auto"/>
        <w:bottom w:val="none" w:sz="0" w:space="0" w:color="auto"/>
        <w:right w:val="none" w:sz="0" w:space="0" w:color="auto"/>
      </w:divBdr>
    </w:div>
    <w:div w:id="174614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32987D-B477-4F92-A90C-8E13514C05C9}">
  <ds:schemaRefs>
    <ds:schemaRef ds:uri="http://schemas.microsoft.com/sharepoint/v3/contenttype/forms"/>
  </ds:schemaRefs>
</ds:datastoreItem>
</file>

<file path=customXml/itemProps2.xml><?xml version="1.0" encoding="utf-8"?>
<ds:datastoreItem xmlns:ds="http://schemas.openxmlformats.org/officeDocument/2006/customXml" ds:itemID="{DBF9A68D-0872-4965-B678-405C4A7E935A}">
  <ds:schemaRefs>
    <ds:schemaRef ds:uri="http://schemas.openxmlformats.org/officeDocument/2006/bibliography"/>
  </ds:schemaRefs>
</ds:datastoreItem>
</file>

<file path=customXml/itemProps3.xml><?xml version="1.0" encoding="utf-8"?>
<ds:datastoreItem xmlns:ds="http://schemas.openxmlformats.org/officeDocument/2006/customXml" ds:itemID="{D6C644D2-14A4-44E3-A629-DC1BBFA6EE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3E0DF0-FD8C-4510-89D0-C1EB8AA2ACAF}">
  <ds:schemaRefs>
    <ds:schemaRef ds:uri="http://purl.org/dc/terms/"/>
    <ds:schemaRef ds:uri="4b4a1c0d-4a69-4996-a84a-fc699b9f49de"/>
    <ds:schemaRef ds:uri="http://schemas.microsoft.com/office/2006/documentManagement/types"/>
    <ds:schemaRef ds:uri="acccb6d4-dbe5-46d2-b4d3-5733603d8cc6"/>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SGAC10_E.dotm</Template>
  <TotalTime>38</TotalTime>
  <Pages>1</Pages>
  <Words>1750</Words>
  <Characters>8926</Characters>
  <Application>Microsoft Office Word</Application>
  <DocSecurity>4</DocSecurity>
  <Lines>287</Lines>
  <Paragraphs>166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ST/SG/AC.10/C.3/2019/xx</vt:lpstr>
      <vt:lpstr>ST/SG/AC.10/C.3/2019/xx</vt:lpstr>
    </vt:vector>
  </TitlesOfParts>
  <Company>BfR</Company>
  <LinksUpToDate>false</LinksUpToDate>
  <CharactersWithSpaces>10510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ST/SG/AC.10/C.3/2019/xx</dc:title>
  <dc:subject/>
  <dc:creator>Editorial</dc:creator>
  <cp:keywords/>
  <cp:lastModifiedBy>Romain Hubert</cp:lastModifiedBy>
  <cp:revision>28</cp:revision>
  <cp:lastPrinted>2020-11-19T09:21:00Z</cp:lastPrinted>
  <dcterms:created xsi:type="dcterms:W3CDTF">2020-11-18T14:55:00Z</dcterms:created>
  <dcterms:modified xsi:type="dcterms:W3CDTF">2020-11-19T15:54:00Z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