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721CAC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3E1D88CF" w:rsidR="00446DE4" w:rsidRPr="00721CAC" w:rsidRDefault="00446DE4" w:rsidP="000216CC">
            <w:pPr>
              <w:spacing w:after="80" w:line="340" w:lineRule="exact"/>
              <w:rPr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721CAC" w:rsidRDefault="00446DE4" w:rsidP="000216CC">
            <w:pPr>
              <w:spacing w:after="80" w:line="340" w:lineRule="exact"/>
              <w:rPr>
                <w:sz w:val="28"/>
                <w:szCs w:val="28"/>
                <w:lang w:val="en-U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38D02D89" w:rsidR="00FC215C" w:rsidRPr="00721CAC" w:rsidRDefault="00FC215C" w:rsidP="00B666B2">
            <w:pPr>
              <w:jc w:val="right"/>
              <w:rPr>
                <w:b/>
                <w:sz w:val="40"/>
                <w:szCs w:val="40"/>
                <w:lang w:val="en-US"/>
              </w:rPr>
            </w:pPr>
            <w:r w:rsidRPr="00721CAC">
              <w:rPr>
                <w:b/>
                <w:sz w:val="40"/>
                <w:szCs w:val="40"/>
                <w:lang w:val="en-US"/>
              </w:rPr>
              <w:t>UN/SCETDG/</w:t>
            </w:r>
            <w:r w:rsidR="00CE74ED" w:rsidRPr="00721CAC">
              <w:rPr>
                <w:b/>
                <w:sz w:val="40"/>
                <w:szCs w:val="40"/>
                <w:lang w:val="en-US"/>
              </w:rPr>
              <w:t>5</w:t>
            </w:r>
            <w:r w:rsidR="00365AA6" w:rsidRPr="00721CAC">
              <w:rPr>
                <w:b/>
                <w:sz w:val="40"/>
                <w:szCs w:val="40"/>
                <w:lang w:val="en-US"/>
              </w:rPr>
              <w:t>7</w:t>
            </w:r>
            <w:r w:rsidRPr="00721CAC">
              <w:rPr>
                <w:b/>
                <w:sz w:val="40"/>
                <w:szCs w:val="40"/>
                <w:lang w:val="en-US"/>
              </w:rPr>
              <w:t>/</w:t>
            </w:r>
            <w:r w:rsidRPr="001D5F20">
              <w:rPr>
                <w:b/>
                <w:sz w:val="40"/>
                <w:szCs w:val="40"/>
                <w:lang w:val="en-US"/>
              </w:rPr>
              <w:t>INF.</w:t>
            </w:r>
            <w:r w:rsidR="00086B40">
              <w:rPr>
                <w:b/>
                <w:sz w:val="40"/>
                <w:szCs w:val="40"/>
                <w:lang w:val="en-US"/>
              </w:rPr>
              <w:t>34</w:t>
            </w:r>
          </w:p>
          <w:p w14:paraId="23600409" w14:textId="77777777" w:rsidR="000216CC" w:rsidRPr="00721CAC" w:rsidRDefault="000216CC" w:rsidP="00497711">
            <w:pPr>
              <w:jc w:val="right"/>
              <w:rPr>
                <w:lang w:val="en-US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721CAC" w14:paraId="49111E43" w14:textId="77777777" w:rsidTr="00D73803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63EB14AE" w:rsidR="00645A0B" w:rsidRPr="00721CAC" w:rsidRDefault="00645A0B" w:rsidP="00267085">
            <w:pPr>
              <w:tabs>
                <w:tab w:val="right" w:pos="9214"/>
              </w:tabs>
              <w:rPr>
                <w:lang w:val="en-US"/>
              </w:rPr>
            </w:pPr>
            <w:r w:rsidRPr="00721CAC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721CAC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721CAC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  <w:r w:rsidRPr="00721CAC">
              <w:rPr>
                <w:b/>
                <w:lang w:val="en-US"/>
              </w:rPr>
              <w:tab/>
            </w:r>
            <w:r w:rsidR="00FD677D">
              <w:rPr>
                <w:b/>
                <w:lang w:val="en-US"/>
              </w:rPr>
              <w:t>1</w:t>
            </w:r>
            <w:r w:rsidR="009C37AC">
              <w:rPr>
                <w:b/>
                <w:lang w:val="en-US"/>
              </w:rPr>
              <w:t>1</w:t>
            </w:r>
            <w:bookmarkStart w:id="0" w:name="_GoBack"/>
            <w:bookmarkEnd w:id="0"/>
            <w:r w:rsidR="00FD677D">
              <w:rPr>
                <w:b/>
                <w:lang w:val="en-US"/>
              </w:rPr>
              <w:t xml:space="preserve"> </w:t>
            </w:r>
            <w:r w:rsidR="00215BD2" w:rsidRPr="00FD677D">
              <w:rPr>
                <w:b/>
                <w:lang w:val="en-US"/>
              </w:rPr>
              <w:t>N</w:t>
            </w:r>
            <w:r w:rsidR="00215BD2">
              <w:rPr>
                <w:b/>
                <w:lang w:val="en-US"/>
              </w:rPr>
              <w:t>ovember</w:t>
            </w:r>
            <w:r w:rsidR="006216A1" w:rsidRPr="001D5F20">
              <w:rPr>
                <w:b/>
                <w:lang w:val="en-US"/>
              </w:rPr>
              <w:t xml:space="preserve"> </w:t>
            </w:r>
            <w:r w:rsidR="00365AA6" w:rsidRPr="001D5F20">
              <w:rPr>
                <w:b/>
                <w:lang w:val="en-US"/>
              </w:rPr>
              <w:t>2020</w:t>
            </w:r>
          </w:p>
        </w:tc>
      </w:tr>
      <w:tr w:rsidR="00645A0B" w:rsidRPr="00721CAC" w14:paraId="6574E88D" w14:textId="77777777" w:rsidTr="00D73803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0C2CA7B" w14:textId="77777777" w:rsidR="00645A0B" w:rsidRPr="00721CAC" w:rsidRDefault="00645A0B" w:rsidP="00D73803">
            <w:pPr>
              <w:spacing w:before="40"/>
              <w:rPr>
                <w:b/>
                <w:lang w:val="en-US"/>
              </w:rPr>
            </w:pPr>
            <w:r w:rsidRPr="00721CAC">
              <w:rPr>
                <w:b/>
                <w:lang w:val="en-US"/>
              </w:rPr>
              <w:t xml:space="preserve">Sub-Committee of Experts on the 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DE97DE" w14:textId="77777777" w:rsidR="00645A0B" w:rsidRPr="00721CAC" w:rsidRDefault="00645A0B" w:rsidP="00165735">
            <w:pPr>
              <w:spacing w:before="120"/>
              <w:rPr>
                <w:b/>
                <w:lang w:val="en-US"/>
              </w:rPr>
            </w:pPr>
          </w:p>
        </w:tc>
      </w:tr>
      <w:tr w:rsidR="00645A0B" w:rsidRPr="00721CAC" w14:paraId="4907F537" w14:textId="77777777" w:rsidTr="00D73803">
        <w:trPr>
          <w:trHeight w:val="201"/>
        </w:trPr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10A5F4F" w14:textId="70DE4B17" w:rsidR="00645A0B" w:rsidRPr="00721CAC" w:rsidRDefault="00CE74ED" w:rsidP="005A6301">
            <w:pPr>
              <w:spacing w:before="120" w:line="240" w:lineRule="auto"/>
              <w:ind w:left="34" w:hanging="34"/>
              <w:rPr>
                <w:b/>
                <w:lang w:val="en-US"/>
              </w:rPr>
            </w:pPr>
            <w:r w:rsidRPr="00721CAC">
              <w:rPr>
                <w:b/>
                <w:lang w:val="en-US"/>
              </w:rPr>
              <w:t>Fifty-</w:t>
            </w:r>
            <w:r w:rsidR="00365AA6" w:rsidRPr="00721CAC">
              <w:rPr>
                <w:b/>
                <w:lang w:val="en-US"/>
              </w:rPr>
              <w:t>seventh</w:t>
            </w:r>
            <w:r w:rsidRPr="00721CAC">
              <w:rPr>
                <w:b/>
                <w:lang w:val="en-US"/>
              </w:rPr>
              <w:t xml:space="preserve">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5F73DBB" w14:textId="77777777" w:rsidR="00645A0B" w:rsidRPr="00721CAC" w:rsidRDefault="00645A0B" w:rsidP="00D73803">
            <w:pPr>
              <w:spacing w:line="240" w:lineRule="auto"/>
              <w:ind w:left="34" w:hanging="34"/>
              <w:rPr>
                <w:b/>
                <w:lang w:val="en-US"/>
              </w:rPr>
            </w:pPr>
          </w:p>
        </w:tc>
      </w:tr>
      <w:tr w:rsidR="00645A0B" w:rsidRPr="00721CAC" w14:paraId="4C8F45BA" w14:textId="77777777" w:rsidTr="009C37AC">
        <w:trPr>
          <w:trHeight w:val="846"/>
        </w:trPr>
        <w:tc>
          <w:tcPr>
            <w:tcW w:w="4652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5157275B" w14:textId="7B01C95A" w:rsidR="00CE74ED" w:rsidRPr="00721CAC" w:rsidRDefault="00CE74ED" w:rsidP="001D5F20">
            <w:pPr>
              <w:tabs>
                <w:tab w:val="left" w:pos="6361"/>
                <w:tab w:val="left" w:pos="6939"/>
              </w:tabs>
              <w:outlineLvl w:val="0"/>
              <w:rPr>
                <w:bCs/>
                <w:lang w:val="en-US"/>
              </w:rPr>
            </w:pPr>
            <w:r w:rsidRPr="00721CAC">
              <w:rPr>
                <w:lang w:val="en-US"/>
              </w:rPr>
              <w:t xml:space="preserve">Geneva, </w:t>
            </w:r>
            <w:r w:rsidR="00267085">
              <w:rPr>
                <w:lang w:val="en-US"/>
              </w:rPr>
              <w:t>30 Novembe</w:t>
            </w:r>
            <w:r w:rsidR="001F2D87">
              <w:rPr>
                <w:lang w:val="en-US"/>
              </w:rPr>
              <w:t>r</w:t>
            </w:r>
            <w:r w:rsidR="008F16BA">
              <w:rPr>
                <w:lang w:val="en-US"/>
              </w:rPr>
              <w:t>-</w:t>
            </w:r>
            <w:r w:rsidR="00267085">
              <w:rPr>
                <w:lang w:val="en-US"/>
              </w:rPr>
              <w:t>8 December</w:t>
            </w:r>
            <w:r w:rsidRPr="00721CAC">
              <w:rPr>
                <w:lang w:val="en-US"/>
              </w:rPr>
              <w:t xml:space="preserve"> </w:t>
            </w:r>
            <w:r w:rsidR="00365AA6" w:rsidRPr="00721CAC">
              <w:rPr>
                <w:lang w:val="en-US"/>
              </w:rPr>
              <w:t>2020</w:t>
            </w:r>
          </w:p>
          <w:p w14:paraId="178DA8E0" w14:textId="0E966A73" w:rsidR="00645A0B" w:rsidRPr="00721CAC" w:rsidRDefault="00A83451" w:rsidP="001D5F20">
            <w:pPr>
              <w:ind w:left="34" w:hanging="34"/>
              <w:rPr>
                <w:lang w:val="en-US"/>
              </w:rPr>
            </w:pPr>
            <w:r w:rsidRPr="00721CAC">
              <w:rPr>
                <w:lang w:val="en-US"/>
              </w:rPr>
              <w:t>Item</w:t>
            </w:r>
            <w:r w:rsidR="00215BD2">
              <w:rPr>
                <w:lang w:val="en-US"/>
              </w:rPr>
              <w:t xml:space="preserve"> 4</w:t>
            </w:r>
            <w:r w:rsidR="008F16BA">
              <w:rPr>
                <w:lang w:val="en-US"/>
              </w:rPr>
              <w:t xml:space="preserve"> </w:t>
            </w:r>
            <w:r w:rsidR="00215BD2">
              <w:rPr>
                <w:lang w:val="en-US"/>
              </w:rPr>
              <w:t>(f)</w:t>
            </w:r>
            <w:r w:rsidR="00EE2966" w:rsidRPr="00721CAC">
              <w:rPr>
                <w:lang w:val="en-US"/>
              </w:rPr>
              <w:t xml:space="preserve"> </w:t>
            </w:r>
            <w:r w:rsidRPr="00721CAC">
              <w:rPr>
                <w:lang w:val="en-US"/>
              </w:rPr>
              <w:t>of the provisional agenda</w:t>
            </w:r>
          </w:p>
          <w:p w14:paraId="3094528C" w14:textId="2FC66249" w:rsidR="00645A0B" w:rsidRPr="006D0533" w:rsidRDefault="00215BD2" w:rsidP="00267085">
            <w:pPr>
              <w:rPr>
                <w:b/>
                <w:bCs/>
              </w:rPr>
            </w:pPr>
            <w:r>
              <w:rPr>
                <w:b/>
                <w:bCs/>
              </w:rPr>
              <w:t>Electric storage systems: miscellaneous</w:t>
            </w:r>
          </w:p>
        </w:tc>
        <w:tc>
          <w:tcPr>
            <w:tcW w:w="4993" w:type="dxa"/>
            <w:shd w:val="clear" w:color="auto" w:fill="auto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452F8F0A" w14:textId="77777777" w:rsidR="00645A0B" w:rsidRPr="00721CAC" w:rsidRDefault="00645A0B" w:rsidP="000B6AD1">
            <w:pPr>
              <w:spacing w:before="40"/>
              <w:rPr>
                <w:b/>
                <w:bCs/>
                <w:lang w:val="en-US"/>
              </w:rPr>
            </w:pPr>
          </w:p>
        </w:tc>
      </w:tr>
    </w:tbl>
    <w:p w14:paraId="239229EB" w14:textId="67530FA1" w:rsidR="00FB744D" w:rsidRPr="00372A88" w:rsidRDefault="00215BD2" w:rsidP="00606482">
      <w:pPr>
        <w:pStyle w:val="HChG"/>
        <w:spacing w:before="120"/>
        <w:rPr>
          <w:lang w:val="en-US"/>
        </w:rPr>
      </w:pPr>
      <w:r>
        <w:rPr>
          <w:rFonts w:eastAsia="Arial Unicode MS"/>
          <w:lang w:val="en-US"/>
        </w:rPr>
        <w:tab/>
      </w:r>
      <w:r>
        <w:rPr>
          <w:rFonts w:eastAsia="Arial Unicode MS"/>
          <w:lang w:val="en-US"/>
        </w:rPr>
        <w:tab/>
        <w:t>Proposed amendments to packing instruction LP903</w:t>
      </w:r>
      <w:r w:rsidR="00FB744D" w:rsidRPr="00372A88">
        <w:rPr>
          <w:rFonts w:eastAsia="Arial Unicode MS"/>
          <w:lang w:val="en-US"/>
        </w:rPr>
        <w:t xml:space="preserve"> </w:t>
      </w:r>
    </w:p>
    <w:p w14:paraId="395EDF5C" w14:textId="2EA38143" w:rsidR="00FB744D" w:rsidRPr="00372A88" w:rsidRDefault="00FB744D" w:rsidP="00FB744D">
      <w:pPr>
        <w:pStyle w:val="H1G"/>
        <w:rPr>
          <w:rFonts w:eastAsia="Arial Unicode MS"/>
          <w:lang w:val="en-US"/>
        </w:rPr>
      </w:pPr>
      <w:r w:rsidRPr="00372A88">
        <w:rPr>
          <w:rFonts w:eastAsia="Arial Unicode MS" w:cs="Arial Unicode MS"/>
          <w:lang w:val="en-US"/>
        </w:rPr>
        <w:tab/>
      </w:r>
      <w:r w:rsidRPr="00372A88">
        <w:rPr>
          <w:rFonts w:eastAsia="Arial Unicode MS" w:cs="Arial Unicode MS"/>
          <w:lang w:val="en-US"/>
        </w:rPr>
        <w:tab/>
      </w:r>
      <w:r w:rsidR="00215BD2">
        <w:rPr>
          <w:rFonts w:eastAsia="Arial Unicode MS"/>
          <w:lang w:val="en-US"/>
        </w:rPr>
        <w:t>Transmitted by PRBA – The Rechargeable Battery Association</w:t>
      </w:r>
    </w:p>
    <w:p w14:paraId="5B8F929E" w14:textId="5476D5FB" w:rsidR="00FB744D" w:rsidRPr="00372A88" w:rsidRDefault="00FB744D" w:rsidP="00FB744D">
      <w:pPr>
        <w:pStyle w:val="HChG"/>
        <w:rPr>
          <w:lang w:val="en-US"/>
        </w:rPr>
      </w:pPr>
      <w:r w:rsidRPr="00372A88">
        <w:rPr>
          <w:sz w:val="24"/>
          <w:szCs w:val="24"/>
          <w:lang w:val="en-US"/>
        </w:rPr>
        <w:tab/>
      </w:r>
      <w:r w:rsidRPr="00372A88">
        <w:rPr>
          <w:sz w:val="24"/>
          <w:szCs w:val="24"/>
          <w:lang w:val="en-US"/>
        </w:rPr>
        <w:tab/>
      </w:r>
      <w:r w:rsidRPr="00372A88">
        <w:rPr>
          <w:lang w:val="en-US"/>
        </w:rPr>
        <w:t>Introduction</w:t>
      </w:r>
    </w:p>
    <w:p w14:paraId="380A733E" w14:textId="237194A1" w:rsidR="00FB744D" w:rsidRPr="00372A88" w:rsidRDefault="00FB744D" w:rsidP="00FB744D">
      <w:pPr>
        <w:pStyle w:val="SingleTxtG"/>
        <w:rPr>
          <w:b/>
          <w:sz w:val="24"/>
          <w:szCs w:val="24"/>
          <w:lang w:val="en-US"/>
        </w:rPr>
      </w:pPr>
      <w:r w:rsidRPr="00372A88">
        <w:rPr>
          <w:lang w:val="en-US"/>
        </w:rPr>
        <w:tab/>
        <w:t>1.</w:t>
      </w:r>
      <w:r w:rsidRPr="00372A88">
        <w:rPr>
          <w:lang w:val="en-US"/>
        </w:rPr>
        <w:tab/>
      </w:r>
      <w:r w:rsidR="00032427">
        <w:rPr>
          <w:lang w:val="en-US"/>
        </w:rPr>
        <w:t>PRBA</w:t>
      </w:r>
      <w:r w:rsidR="00215BD2">
        <w:rPr>
          <w:lang w:val="en-US"/>
        </w:rPr>
        <w:t xml:space="preserve"> has reviewed with great interest the United Kingdom proposals in document ST/SG/AC.10/C.4/2020/52 which would amend Large Packing Instruction LP903 to allow multiple lithium batteries and multiple items of equipment containing lithium batteries </w:t>
      </w:r>
      <w:r w:rsidR="00032427">
        <w:rPr>
          <w:lang w:val="en-US"/>
        </w:rPr>
        <w:t>t</w:t>
      </w:r>
      <w:r w:rsidR="00EC5E8C">
        <w:rPr>
          <w:lang w:val="en-US"/>
        </w:rPr>
        <w:t>o be transport</w:t>
      </w:r>
      <w:r w:rsidR="001417F5">
        <w:rPr>
          <w:lang w:val="en-US"/>
        </w:rPr>
        <w:t>ed</w:t>
      </w:r>
      <w:r w:rsidR="00EC5E8C">
        <w:rPr>
          <w:lang w:val="en-US"/>
        </w:rPr>
        <w:t xml:space="preserve"> in a single large packaging. For the reason</w:t>
      </w:r>
      <w:r w:rsidR="00B32E29">
        <w:rPr>
          <w:lang w:val="en-US"/>
        </w:rPr>
        <w:t>s</w:t>
      </w:r>
      <w:r w:rsidR="00EC5E8C">
        <w:rPr>
          <w:lang w:val="en-US"/>
        </w:rPr>
        <w:t xml:space="preserve"> offered in t</w:t>
      </w:r>
      <w:r w:rsidR="003B7791">
        <w:rPr>
          <w:lang w:val="en-US"/>
        </w:rPr>
        <w:t>hat document, PRBA supports those</w:t>
      </w:r>
      <w:r w:rsidR="00EC5E8C">
        <w:rPr>
          <w:lang w:val="en-US"/>
        </w:rPr>
        <w:t xml:space="preserve"> proposal</w:t>
      </w:r>
      <w:r w:rsidR="003B7791">
        <w:rPr>
          <w:lang w:val="en-US"/>
        </w:rPr>
        <w:t>s</w:t>
      </w:r>
      <w:r w:rsidR="00EC5E8C">
        <w:rPr>
          <w:lang w:val="en-US"/>
        </w:rPr>
        <w:t xml:space="preserve"> in principle. </w:t>
      </w:r>
    </w:p>
    <w:p w14:paraId="3C7A0469" w14:textId="4C2EE0D8" w:rsidR="00FB744D" w:rsidRPr="00372A88" w:rsidRDefault="00FB744D" w:rsidP="00FB744D">
      <w:pPr>
        <w:pStyle w:val="SingleTxtG"/>
        <w:rPr>
          <w:sz w:val="24"/>
          <w:szCs w:val="24"/>
          <w:lang w:val="en-US"/>
        </w:rPr>
      </w:pPr>
      <w:r w:rsidRPr="00372A88">
        <w:rPr>
          <w:lang w:val="en-US"/>
        </w:rPr>
        <w:tab/>
        <w:t>2.</w:t>
      </w:r>
      <w:r w:rsidRPr="00372A88">
        <w:rPr>
          <w:lang w:val="en-US"/>
        </w:rPr>
        <w:tab/>
        <w:t xml:space="preserve">Technical progress </w:t>
      </w:r>
      <w:r w:rsidR="00032427">
        <w:rPr>
          <w:lang w:val="en-US"/>
        </w:rPr>
        <w:t>in the development of large format lithium b</w:t>
      </w:r>
      <w:r w:rsidR="006C68BA">
        <w:rPr>
          <w:lang w:val="en-US"/>
        </w:rPr>
        <w:t xml:space="preserve">atteries </w:t>
      </w:r>
      <w:r w:rsidR="00B32E29">
        <w:rPr>
          <w:lang w:val="en-US"/>
        </w:rPr>
        <w:t>as well as</w:t>
      </w:r>
      <w:r w:rsidR="003B7791">
        <w:rPr>
          <w:lang w:val="en-US"/>
        </w:rPr>
        <w:t xml:space="preserve"> </w:t>
      </w:r>
      <w:r w:rsidR="00B32E29">
        <w:rPr>
          <w:lang w:val="en-US"/>
        </w:rPr>
        <w:t>large lithium battery-powered</w:t>
      </w:r>
      <w:r w:rsidR="003B7791">
        <w:rPr>
          <w:lang w:val="en-US"/>
        </w:rPr>
        <w:t xml:space="preserve"> equipme</w:t>
      </w:r>
      <w:r w:rsidR="00B32E29">
        <w:rPr>
          <w:lang w:val="en-US"/>
        </w:rPr>
        <w:t>nt, has le</w:t>
      </w:r>
      <w:r w:rsidR="006C68BA">
        <w:rPr>
          <w:lang w:val="en-US"/>
        </w:rPr>
        <w:t xml:space="preserve">d to </w:t>
      </w:r>
      <w:r w:rsidR="00293A9D">
        <w:rPr>
          <w:lang w:val="en-US"/>
        </w:rPr>
        <w:t xml:space="preserve">mass production of </w:t>
      </w:r>
      <w:r w:rsidR="00032427">
        <w:rPr>
          <w:lang w:val="en-US"/>
        </w:rPr>
        <w:t>large format lithium cells. At present, these cells must be transport</w:t>
      </w:r>
      <w:r w:rsidR="006C68BA">
        <w:rPr>
          <w:lang w:val="en-US"/>
        </w:rPr>
        <w:t>ed</w:t>
      </w:r>
      <w:r w:rsidR="00032427">
        <w:rPr>
          <w:lang w:val="en-US"/>
        </w:rPr>
        <w:t xml:space="preserve"> in UN </w:t>
      </w:r>
      <w:r w:rsidR="00032427" w:rsidRPr="00FD677D">
        <w:rPr>
          <w:lang w:val="en-US"/>
        </w:rPr>
        <w:t>packagings, typically fiberboard UN 4G packages. PRBA believes it is not only appropriate, but safe</w:t>
      </w:r>
      <w:r w:rsidR="00043455" w:rsidRPr="00FD677D">
        <w:rPr>
          <w:lang w:val="en-US"/>
        </w:rPr>
        <w:t>r</w:t>
      </w:r>
      <w:r w:rsidR="00032427" w:rsidRPr="00FD677D">
        <w:rPr>
          <w:lang w:val="en-US"/>
        </w:rPr>
        <w:t xml:space="preserve"> to</w:t>
      </w:r>
      <w:r w:rsidR="00032427">
        <w:rPr>
          <w:lang w:val="en-US"/>
        </w:rPr>
        <w:t xml:space="preserve"> transport these large format cells in large packagings as authorized under Packing Instruction LP903 in a manner similar to that proposed by the U</w:t>
      </w:r>
      <w:r w:rsidR="00A73B68">
        <w:rPr>
          <w:lang w:val="en-US"/>
        </w:rPr>
        <w:t xml:space="preserve">nited </w:t>
      </w:r>
      <w:r w:rsidR="00032427">
        <w:rPr>
          <w:lang w:val="en-US"/>
        </w:rPr>
        <w:t>K</w:t>
      </w:r>
      <w:r w:rsidR="00A73B68">
        <w:rPr>
          <w:lang w:val="en-US"/>
        </w:rPr>
        <w:t>ingdom</w:t>
      </w:r>
      <w:r w:rsidR="00032427">
        <w:rPr>
          <w:lang w:val="en-US"/>
        </w:rPr>
        <w:t xml:space="preserve"> for multiple batteries</w:t>
      </w:r>
      <w:r w:rsidR="006C68BA">
        <w:rPr>
          <w:lang w:val="en-US"/>
        </w:rPr>
        <w:t xml:space="preserve">, </w:t>
      </w:r>
      <w:r w:rsidR="00032427">
        <w:rPr>
          <w:lang w:val="en-US"/>
        </w:rPr>
        <w:t>a</w:t>
      </w:r>
      <w:r w:rsidR="006C68BA">
        <w:rPr>
          <w:lang w:val="en-US"/>
        </w:rPr>
        <w:t>n</w:t>
      </w:r>
      <w:r w:rsidR="00032427">
        <w:rPr>
          <w:lang w:val="en-US"/>
        </w:rPr>
        <w:t>d request</w:t>
      </w:r>
      <w:r w:rsidR="00B32E29">
        <w:rPr>
          <w:lang w:val="en-US"/>
        </w:rPr>
        <w:t>s</w:t>
      </w:r>
      <w:r w:rsidR="00032427">
        <w:rPr>
          <w:lang w:val="en-US"/>
        </w:rPr>
        <w:t xml:space="preserve"> the Sub-Committee to consider this concept. </w:t>
      </w:r>
    </w:p>
    <w:p w14:paraId="3E99640C" w14:textId="520B515F" w:rsidR="00FB744D" w:rsidRPr="00372A88" w:rsidRDefault="00FB744D" w:rsidP="00FB744D">
      <w:pPr>
        <w:pStyle w:val="HChG"/>
        <w:rPr>
          <w:lang w:val="en-US"/>
        </w:rPr>
      </w:pPr>
      <w:r w:rsidRPr="00372A88">
        <w:rPr>
          <w:lang w:val="en-US"/>
        </w:rPr>
        <w:tab/>
      </w:r>
      <w:r w:rsidRPr="00372A88">
        <w:rPr>
          <w:lang w:val="en-US"/>
        </w:rPr>
        <w:tab/>
        <w:t>Discussion</w:t>
      </w:r>
    </w:p>
    <w:p w14:paraId="1E2E7E1D" w14:textId="63DBA099" w:rsidR="00FB744D" w:rsidRDefault="00FB744D" w:rsidP="00FB744D">
      <w:pPr>
        <w:pStyle w:val="SingleTxtG"/>
        <w:rPr>
          <w:lang w:val="en-US"/>
        </w:rPr>
      </w:pPr>
      <w:r w:rsidRPr="00372A88">
        <w:rPr>
          <w:lang w:val="en-US"/>
        </w:rPr>
        <w:tab/>
      </w:r>
      <w:r w:rsidR="00606482" w:rsidRPr="00372A88">
        <w:rPr>
          <w:lang w:val="en-US"/>
        </w:rPr>
        <w:t>3.</w:t>
      </w:r>
      <w:r w:rsidRPr="00372A88">
        <w:rPr>
          <w:lang w:val="en-US"/>
        </w:rPr>
        <w:tab/>
      </w:r>
      <w:r w:rsidR="006C68BA">
        <w:rPr>
          <w:lang w:val="en-US"/>
        </w:rPr>
        <w:t>PRBA recognizes that concern has been expressed relative to the use of large packag</w:t>
      </w:r>
      <w:r w:rsidR="00B32E29">
        <w:rPr>
          <w:lang w:val="en-US"/>
        </w:rPr>
        <w:t>ings to transport very large</w:t>
      </w:r>
      <w:r w:rsidR="006C68BA">
        <w:rPr>
          <w:lang w:val="en-US"/>
        </w:rPr>
        <w:t xml:space="preserve"> </w:t>
      </w:r>
      <w:r w:rsidR="00B32E29">
        <w:rPr>
          <w:lang w:val="en-US"/>
        </w:rPr>
        <w:t xml:space="preserve">numbers </w:t>
      </w:r>
      <w:r w:rsidR="006C68BA">
        <w:rPr>
          <w:lang w:val="en-US"/>
        </w:rPr>
        <w:t>of qui</w:t>
      </w:r>
      <w:r w:rsidR="00B32E29">
        <w:rPr>
          <w:lang w:val="en-US"/>
        </w:rPr>
        <w:t>te small cells, and PRBA acknowledges</w:t>
      </w:r>
      <w:r w:rsidR="006C68BA">
        <w:rPr>
          <w:lang w:val="en-US"/>
        </w:rPr>
        <w:t xml:space="preserve"> the reservations expressed in this regard. PRBA notes, however, that in 38.3.2 of the </w:t>
      </w:r>
      <w:r w:rsidR="006C68BA">
        <w:rPr>
          <w:i/>
          <w:lang w:val="en-US"/>
        </w:rPr>
        <w:t>Manual of Tests and Criteria</w:t>
      </w:r>
      <w:r w:rsidR="00B32E29">
        <w:rPr>
          <w:lang w:val="en-US"/>
        </w:rPr>
        <w:t xml:space="preserve">, </w:t>
      </w:r>
      <w:r w:rsidR="006C68BA">
        <w:rPr>
          <w:lang w:val="en-US"/>
        </w:rPr>
        <w:t>a “small cell” is defined as a cell with a gross mass not more than 500 g, whereas a “large cell”</w:t>
      </w:r>
      <w:r w:rsidR="006B2484">
        <w:rPr>
          <w:lang w:val="en-US"/>
        </w:rPr>
        <w:t xml:space="preserve"> is defined as</w:t>
      </w:r>
      <w:r w:rsidR="006C68BA">
        <w:rPr>
          <w:lang w:val="en-US"/>
        </w:rPr>
        <w:t xml:space="preserve"> a cell with a gross mass of more than 500 g. </w:t>
      </w:r>
      <w:r w:rsidR="006B2484">
        <w:rPr>
          <w:lang w:val="en-US"/>
        </w:rPr>
        <w:t>PRBA believes that confining the transport of cells in large packagings only to those defi</w:t>
      </w:r>
      <w:r w:rsidR="001417F5">
        <w:rPr>
          <w:lang w:val="en-US"/>
        </w:rPr>
        <w:t>n</w:t>
      </w:r>
      <w:r w:rsidR="006B2484">
        <w:rPr>
          <w:lang w:val="en-US"/>
        </w:rPr>
        <w:t xml:space="preserve">ed as “large cells” in the </w:t>
      </w:r>
      <w:r w:rsidR="006B2484">
        <w:rPr>
          <w:i/>
          <w:lang w:val="en-US"/>
        </w:rPr>
        <w:t>Manual of Tests and Criteria</w:t>
      </w:r>
      <w:r w:rsidR="006B2484">
        <w:rPr>
          <w:lang w:val="en-US"/>
        </w:rPr>
        <w:t xml:space="preserve"> will resolve the concern that extremely large numbers of very small cells would be transported in large packagings</w:t>
      </w:r>
      <w:r w:rsidR="00B32E29">
        <w:rPr>
          <w:lang w:val="en-US"/>
        </w:rPr>
        <w:t xml:space="preserve"> by, in effect, imposing a practical limit on the number of cells in any large packaging</w:t>
      </w:r>
      <w:r w:rsidR="006B2484">
        <w:rPr>
          <w:lang w:val="en-US"/>
        </w:rPr>
        <w:t>.</w:t>
      </w:r>
      <w:r w:rsidR="002A75E6">
        <w:rPr>
          <w:lang w:val="en-US"/>
        </w:rPr>
        <w:t xml:space="preserve"> We also are proposing a </w:t>
      </w:r>
      <w:r w:rsidR="00FD677D">
        <w:rPr>
          <w:lang w:val="en-US"/>
        </w:rPr>
        <w:t xml:space="preserve">maximum </w:t>
      </w:r>
      <w:r w:rsidR="002A75E6">
        <w:rPr>
          <w:lang w:val="en-US"/>
        </w:rPr>
        <w:t xml:space="preserve">gross </w:t>
      </w:r>
      <w:r w:rsidR="00FD677D">
        <w:rPr>
          <w:lang w:val="en-US"/>
        </w:rPr>
        <w:t xml:space="preserve">mass </w:t>
      </w:r>
      <w:r w:rsidR="002A75E6">
        <w:rPr>
          <w:lang w:val="en-US"/>
        </w:rPr>
        <w:t xml:space="preserve">limit of </w:t>
      </w:r>
      <w:r w:rsidR="00FD677D">
        <w:rPr>
          <w:lang w:val="en-US"/>
        </w:rPr>
        <w:t>1500 kg</w:t>
      </w:r>
      <w:r w:rsidR="00E06A5F">
        <w:rPr>
          <w:lang w:val="en-US"/>
        </w:rPr>
        <w:t xml:space="preserve"> for the packaging.</w:t>
      </w:r>
    </w:p>
    <w:p w14:paraId="103BE166" w14:textId="2B314F63" w:rsidR="00B7144E" w:rsidRDefault="00FB744D" w:rsidP="00FB744D">
      <w:pPr>
        <w:pStyle w:val="SingleTxtG"/>
        <w:rPr>
          <w:lang w:val="en-US"/>
        </w:rPr>
      </w:pPr>
      <w:r w:rsidRPr="00372A88">
        <w:rPr>
          <w:lang w:val="en-US"/>
        </w:rPr>
        <w:tab/>
      </w:r>
      <w:r w:rsidR="00606482" w:rsidRPr="00372A88">
        <w:rPr>
          <w:lang w:val="en-US"/>
        </w:rPr>
        <w:t>4.</w:t>
      </w:r>
      <w:r w:rsidRPr="00372A88">
        <w:rPr>
          <w:lang w:val="en-US"/>
        </w:rPr>
        <w:tab/>
      </w:r>
      <w:r w:rsidR="006B2484">
        <w:rPr>
          <w:lang w:val="en-US"/>
        </w:rPr>
        <w:t>In term</w:t>
      </w:r>
      <w:r w:rsidR="00B32E29">
        <w:rPr>
          <w:lang w:val="en-US"/>
        </w:rPr>
        <w:t>s</w:t>
      </w:r>
      <w:r w:rsidR="006B2484">
        <w:rPr>
          <w:lang w:val="en-US"/>
        </w:rPr>
        <w:t xml:space="preserve"> of safety, PRBA notes that a large packaging containing such large cells, properly isolated from one another, would pose no</w:t>
      </w:r>
      <w:r w:rsidR="00743AA2">
        <w:rPr>
          <w:lang w:val="en-US"/>
        </w:rPr>
        <w:t xml:space="preserve"> greater risk</w:t>
      </w:r>
      <w:r w:rsidR="001417F5">
        <w:rPr>
          <w:lang w:val="en-US"/>
        </w:rPr>
        <w:t xml:space="preserve"> than</w:t>
      </w:r>
      <w:r w:rsidR="006B2484">
        <w:rPr>
          <w:lang w:val="en-US"/>
        </w:rPr>
        <w:t xml:space="preserve"> numerous smaller 4G packages containing the same number of cells when stacked on a pallet for transport</w:t>
      </w:r>
      <w:r w:rsidR="00743AA2">
        <w:rPr>
          <w:lang w:val="en-US"/>
        </w:rPr>
        <w:t xml:space="preserve"> - which is the method currently utilized</w:t>
      </w:r>
      <w:r w:rsidR="006B2484">
        <w:rPr>
          <w:lang w:val="en-US"/>
        </w:rPr>
        <w:t xml:space="preserve">. The use of a large packaging instead of </w:t>
      </w:r>
      <w:r w:rsidR="00743AA2">
        <w:rPr>
          <w:lang w:val="en-US"/>
        </w:rPr>
        <w:t>numerous smaller p</w:t>
      </w:r>
      <w:r w:rsidR="006B2484">
        <w:rPr>
          <w:lang w:val="en-US"/>
        </w:rPr>
        <w:t>ackages contributes to safety by replacing necessary handling of multiple small packages by the mechanical</w:t>
      </w:r>
      <w:r w:rsidR="00FF2ED8">
        <w:rPr>
          <w:lang w:val="en-US"/>
        </w:rPr>
        <w:t xml:space="preserve"> handling of a single large pac</w:t>
      </w:r>
      <w:r w:rsidR="00FF2ED8" w:rsidRPr="00E06A5F">
        <w:rPr>
          <w:lang w:val="en-US"/>
        </w:rPr>
        <w:t xml:space="preserve">kaging. </w:t>
      </w:r>
      <w:r w:rsidR="00EB3B6D" w:rsidRPr="00E06A5F">
        <w:rPr>
          <w:lang w:val="en-US"/>
        </w:rPr>
        <w:t xml:space="preserve">One PRBA member estimates that </w:t>
      </w:r>
      <w:r w:rsidR="00E06A5F" w:rsidRPr="00E06A5F">
        <w:rPr>
          <w:lang w:val="en-US"/>
        </w:rPr>
        <w:t>as many as 1000 fewer truck and rail</w:t>
      </w:r>
      <w:r w:rsidR="00E06A5F">
        <w:rPr>
          <w:lang w:val="en-US"/>
        </w:rPr>
        <w:t xml:space="preserve"> </w:t>
      </w:r>
      <w:r w:rsidR="00E06A5F" w:rsidRPr="00E06A5F">
        <w:rPr>
          <w:lang w:val="en-US"/>
        </w:rPr>
        <w:t xml:space="preserve">shipments </w:t>
      </w:r>
      <w:r w:rsidR="0033248C" w:rsidRPr="00E06A5F">
        <w:rPr>
          <w:lang w:val="en-US"/>
        </w:rPr>
        <w:t>per year would</w:t>
      </w:r>
      <w:r w:rsidR="00293A9D" w:rsidRPr="00E06A5F">
        <w:rPr>
          <w:lang w:val="en-US"/>
        </w:rPr>
        <w:t xml:space="preserve"> be </w:t>
      </w:r>
      <w:r w:rsidR="0087099C" w:rsidRPr="00E06A5F">
        <w:rPr>
          <w:lang w:val="en-US"/>
        </w:rPr>
        <w:t>needed</w:t>
      </w:r>
      <w:r w:rsidR="00293A9D" w:rsidRPr="00E06A5F">
        <w:rPr>
          <w:lang w:val="en-US"/>
        </w:rPr>
        <w:t xml:space="preserve"> </w:t>
      </w:r>
      <w:r w:rsidR="0033248C" w:rsidRPr="00E06A5F">
        <w:rPr>
          <w:lang w:val="en-US"/>
        </w:rPr>
        <w:t>to transport their large cells if</w:t>
      </w:r>
      <w:r w:rsidR="00293A9D" w:rsidRPr="00E06A5F">
        <w:rPr>
          <w:lang w:val="en-US"/>
        </w:rPr>
        <w:t xml:space="preserve"> </w:t>
      </w:r>
      <w:r w:rsidR="0033248C" w:rsidRPr="00E06A5F">
        <w:rPr>
          <w:lang w:val="en-US"/>
        </w:rPr>
        <w:t xml:space="preserve">use of </w:t>
      </w:r>
      <w:r w:rsidR="00293A9D" w:rsidRPr="00E06A5F">
        <w:rPr>
          <w:lang w:val="en-US"/>
        </w:rPr>
        <w:t xml:space="preserve">large packaging </w:t>
      </w:r>
      <w:r w:rsidR="0033248C" w:rsidRPr="00E06A5F">
        <w:rPr>
          <w:lang w:val="en-US"/>
        </w:rPr>
        <w:t>was authorized</w:t>
      </w:r>
      <w:r w:rsidR="00293A9D" w:rsidRPr="00E06A5F">
        <w:rPr>
          <w:lang w:val="en-US"/>
        </w:rPr>
        <w:t>.</w:t>
      </w:r>
      <w:r w:rsidR="00B7144E" w:rsidRPr="00E06A5F">
        <w:rPr>
          <w:lang w:val="en-US"/>
        </w:rPr>
        <w:t xml:space="preserve"> </w:t>
      </w:r>
      <w:r w:rsidR="00FF2ED8" w:rsidRPr="00E06A5F">
        <w:rPr>
          <w:lang w:val="en-US"/>
        </w:rPr>
        <w:t>Th</w:t>
      </w:r>
      <w:r w:rsidR="0033248C" w:rsidRPr="00E06A5F">
        <w:rPr>
          <w:lang w:val="en-US"/>
        </w:rPr>
        <w:t xml:space="preserve">is also would result in a substantial reduction </w:t>
      </w:r>
      <w:r w:rsidR="00B7144E" w:rsidRPr="00E06A5F">
        <w:rPr>
          <w:lang w:val="en-US"/>
        </w:rPr>
        <w:t>in CO</w:t>
      </w:r>
      <w:r w:rsidR="00B7144E" w:rsidRPr="00E06A5F">
        <w:rPr>
          <w:vertAlign w:val="subscript"/>
          <w:lang w:val="en-US"/>
        </w:rPr>
        <w:t>2</w:t>
      </w:r>
      <w:r w:rsidR="00B7144E" w:rsidRPr="00E06A5F">
        <w:rPr>
          <w:lang w:val="en-US"/>
        </w:rPr>
        <w:t xml:space="preserve"> emissions from vehicles,</w:t>
      </w:r>
      <w:r w:rsidR="00B7144E">
        <w:rPr>
          <w:lang w:val="en-US"/>
        </w:rPr>
        <w:t xml:space="preserve"> </w:t>
      </w:r>
      <w:r w:rsidR="006B2484">
        <w:rPr>
          <w:lang w:val="en-US"/>
        </w:rPr>
        <w:t>redu</w:t>
      </w:r>
      <w:r w:rsidR="00FF2ED8">
        <w:rPr>
          <w:lang w:val="en-US"/>
        </w:rPr>
        <w:t>c</w:t>
      </w:r>
      <w:r w:rsidR="006B2484">
        <w:rPr>
          <w:lang w:val="en-US"/>
        </w:rPr>
        <w:t>e packaging w</w:t>
      </w:r>
      <w:r w:rsidR="00FF2ED8">
        <w:rPr>
          <w:lang w:val="en-US"/>
        </w:rPr>
        <w:t>a</w:t>
      </w:r>
      <w:r w:rsidR="006B2484">
        <w:rPr>
          <w:lang w:val="en-US"/>
        </w:rPr>
        <w:t>stes</w:t>
      </w:r>
      <w:r w:rsidR="00743AA2">
        <w:rPr>
          <w:lang w:val="en-US"/>
        </w:rPr>
        <w:t xml:space="preserve">, and, unlike 4G packages, </w:t>
      </w:r>
      <w:r w:rsidR="001417F5">
        <w:rPr>
          <w:lang w:val="en-US"/>
        </w:rPr>
        <w:t xml:space="preserve">large packagings and their internal components </w:t>
      </w:r>
      <w:r w:rsidR="00743AA2">
        <w:rPr>
          <w:lang w:val="en-US"/>
        </w:rPr>
        <w:t>are more suitable for reuse</w:t>
      </w:r>
      <w:r w:rsidR="006B2484">
        <w:rPr>
          <w:lang w:val="en-US"/>
        </w:rPr>
        <w:t>.</w:t>
      </w:r>
      <w:r w:rsidR="00FF2ED8">
        <w:rPr>
          <w:lang w:val="en-US"/>
        </w:rPr>
        <w:t xml:space="preserve"> </w:t>
      </w:r>
    </w:p>
    <w:p w14:paraId="030E666B" w14:textId="5DDB15C8" w:rsidR="00FB744D" w:rsidRPr="00372A88" w:rsidRDefault="00B7144E" w:rsidP="00FB744D">
      <w:pPr>
        <w:pStyle w:val="SingleTxtG"/>
        <w:rPr>
          <w:lang w:val="en-US"/>
        </w:rPr>
      </w:pPr>
      <w:r>
        <w:rPr>
          <w:lang w:val="en-US"/>
        </w:rPr>
        <w:lastRenderedPageBreak/>
        <w:t>5.</w:t>
      </w:r>
      <w:r>
        <w:rPr>
          <w:lang w:val="en-US"/>
        </w:rPr>
        <w:tab/>
      </w:r>
      <w:r w:rsidR="003B7791">
        <w:rPr>
          <w:lang w:val="en-US"/>
        </w:rPr>
        <w:t xml:space="preserve">This method of shipping larger format cells would be utilized primarily in supplying the cells to manufacturing facilities where they are employed in </w:t>
      </w:r>
      <w:r w:rsidR="00B32E29">
        <w:rPr>
          <w:lang w:val="en-US"/>
        </w:rPr>
        <w:t>the</w:t>
      </w:r>
      <w:r w:rsidR="003B7791">
        <w:rPr>
          <w:lang w:val="en-US"/>
        </w:rPr>
        <w:t xml:space="preserve"> manufacture</w:t>
      </w:r>
      <w:r>
        <w:rPr>
          <w:lang w:val="en-US"/>
        </w:rPr>
        <w:t xml:space="preserve"> of</w:t>
      </w:r>
      <w:r w:rsidR="003B7791">
        <w:rPr>
          <w:lang w:val="en-US"/>
        </w:rPr>
        <w:t xml:space="preserve"> large format batteries or equipment. In concept</w:t>
      </w:r>
      <w:r w:rsidR="00FF2ED8">
        <w:rPr>
          <w:lang w:val="en-US"/>
        </w:rPr>
        <w:t>,</w:t>
      </w:r>
      <w:r w:rsidR="003B7791">
        <w:rPr>
          <w:lang w:val="en-US"/>
        </w:rPr>
        <w:t xml:space="preserve"> this is not unlike the current provisions for </w:t>
      </w:r>
      <w:r w:rsidR="00FF2ED8">
        <w:rPr>
          <w:lang w:val="en-US"/>
        </w:rPr>
        <w:t>Class 9 “safety devices</w:t>
      </w:r>
      <w:r w:rsidR="003B7791">
        <w:rPr>
          <w:lang w:val="en-US"/>
        </w:rPr>
        <w:t>,</w:t>
      </w:r>
      <w:r w:rsidR="00FF2ED8">
        <w:rPr>
          <w:lang w:val="en-US"/>
        </w:rPr>
        <w:t>”</w:t>
      </w:r>
      <w:r w:rsidR="00743AA2">
        <w:rPr>
          <w:lang w:val="en-US"/>
        </w:rPr>
        <w:t xml:space="preserve"> such as air bag modules</w:t>
      </w:r>
      <w:r w:rsidR="003B7791">
        <w:rPr>
          <w:lang w:val="en-US"/>
        </w:rPr>
        <w:t xml:space="preserve"> (UN</w:t>
      </w:r>
      <w:r w:rsidR="00E26CA2">
        <w:rPr>
          <w:lang w:val="en-US"/>
        </w:rPr>
        <w:t xml:space="preserve"> </w:t>
      </w:r>
      <w:r w:rsidR="003B7791">
        <w:rPr>
          <w:lang w:val="en-US"/>
        </w:rPr>
        <w:t>3268)</w:t>
      </w:r>
      <w:r w:rsidR="00FF2ED8">
        <w:rPr>
          <w:lang w:val="en-US"/>
        </w:rPr>
        <w:t xml:space="preserve"> which include a</w:t>
      </w:r>
      <w:r w:rsidR="00743AA2">
        <w:rPr>
          <w:lang w:val="en-US"/>
        </w:rPr>
        <w:t>n expl</w:t>
      </w:r>
      <w:r w:rsidR="00FF2ED8">
        <w:rPr>
          <w:lang w:val="en-US"/>
        </w:rPr>
        <w:t>o</w:t>
      </w:r>
      <w:r w:rsidR="00743AA2">
        <w:rPr>
          <w:lang w:val="en-US"/>
        </w:rPr>
        <w:t>sives initiator</w:t>
      </w:r>
      <w:r w:rsidR="00FF2ED8">
        <w:rPr>
          <w:lang w:val="en-US"/>
        </w:rPr>
        <w:t xml:space="preserve">, </w:t>
      </w:r>
      <w:r w:rsidR="003B7791">
        <w:rPr>
          <w:lang w:val="en-US"/>
        </w:rPr>
        <w:t xml:space="preserve">which </w:t>
      </w:r>
      <w:r w:rsidR="00FF2ED8">
        <w:rPr>
          <w:lang w:val="en-US"/>
        </w:rPr>
        <w:t xml:space="preserve">are allowed </w:t>
      </w:r>
      <w:r w:rsidR="00743AA2">
        <w:rPr>
          <w:lang w:val="en-US"/>
        </w:rPr>
        <w:t xml:space="preserve">not only </w:t>
      </w:r>
      <w:r w:rsidR="00FF2ED8">
        <w:rPr>
          <w:lang w:val="en-US"/>
        </w:rPr>
        <w:t xml:space="preserve">in large packagings but </w:t>
      </w:r>
      <w:r w:rsidR="00743AA2">
        <w:rPr>
          <w:lang w:val="en-US"/>
        </w:rPr>
        <w:t>in spec</w:t>
      </w:r>
      <w:r w:rsidR="00FF2ED8">
        <w:rPr>
          <w:lang w:val="en-US"/>
        </w:rPr>
        <w:t xml:space="preserve">ial handling devices </w:t>
      </w:r>
      <w:r w:rsidR="00743AA2">
        <w:rPr>
          <w:lang w:val="en-US"/>
        </w:rPr>
        <w:t>to facil</w:t>
      </w:r>
      <w:r w:rsidR="00FF2ED8">
        <w:rPr>
          <w:lang w:val="en-US"/>
        </w:rPr>
        <w:t>it</w:t>
      </w:r>
      <w:r w:rsidR="00743AA2">
        <w:rPr>
          <w:lang w:val="en-US"/>
        </w:rPr>
        <w:t>at</w:t>
      </w:r>
      <w:r w:rsidR="00FF2ED8">
        <w:rPr>
          <w:lang w:val="en-US"/>
        </w:rPr>
        <w:t xml:space="preserve">e the </w:t>
      </w:r>
      <w:r w:rsidR="00743AA2">
        <w:rPr>
          <w:lang w:val="en-US"/>
        </w:rPr>
        <w:t>installation of th</w:t>
      </w:r>
      <w:r w:rsidR="003B7791">
        <w:rPr>
          <w:lang w:val="en-US"/>
        </w:rPr>
        <w:t>e articles at assembly plants. In a similar manner, t</w:t>
      </w:r>
      <w:r w:rsidR="00743AA2">
        <w:rPr>
          <w:lang w:val="en-US"/>
        </w:rPr>
        <w:t>he use of large packagings for large cells would ease handling and facilitate the installation of these large cells into large format batteries</w:t>
      </w:r>
      <w:r w:rsidR="001417F5">
        <w:rPr>
          <w:lang w:val="en-US"/>
        </w:rPr>
        <w:t>,</w:t>
      </w:r>
      <w:r w:rsidR="00743AA2">
        <w:rPr>
          <w:lang w:val="en-US"/>
        </w:rPr>
        <w:t xml:space="preserve"> </w:t>
      </w:r>
      <w:r w:rsidR="00FB23CD">
        <w:rPr>
          <w:lang w:val="en-US"/>
        </w:rPr>
        <w:t>or</w:t>
      </w:r>
      <w:r w:rsidR="00873AF0">
        <w:rPr>
          <w:lang w:val="en-US"/>
        </w:rPr>
        <w:t xml:space="preserve"> equipment </w:t>
      </w:r>
      <w:r w:rsidR="00FB23CD">
        <w:rPr>
          <w:lang w:val="en-US"/>
        </w:rPr>
        <w:t>employing these larger cells</w:t>
      </w:r>
      <w:r w:rsidR="001417F5">
        <w:rPr>
          <w:lang w:val="en-US"/>
        </w:rPr>
        <w:t>,</w:t>
      </w:r>
      <w:r w:rsidR="00FB23CD">
        <w:rPr>
          <w:lang w:val="en-US"/>
        </w:rPr>
        <w:t xml:space="preserve"> </w:t>
      </w:r>
      <w:r w:rsidR="00743AA2">
        <w:rPr>
          <w:lang w:val="en-US"/>
        </w:rPr>
        <w:t>a</w:t>
      </w:r>
      <w:r w:rsidR="00873AF0">
        <w:rPr>
          <w:lang w:val="en-US"/>
        </w:rPr>
        <w:t xml:space="preserve">t </w:t>
      </w:r>
      <w:r w:rsidR="00743AA2">
        <w:rPr>
          <w:lang w:val="en-US"/>
        </w:rPr>
        <w:t xml:space="preserve">assembly facilities. </w:t>
      </w:r>
    </w:p>
    <w:p w14:paraId="5397394B" w14:textId="220BE35C" w:rsidR="00FB744D" w:rsidRPr="00372A88" w:rsidRDefault="00FB744D" w:rsidP="00FB23CD">
      <w:pPr>
        <w:pStyle w:val="SingleTxtG"/>
        <w:rPr>
          <w:lang w:val="en-US"/>
        </w:rPr>
      </w:pPr>
      <w:r w:rsidRPr="00372A88">
        <w:rPr>
          <w:lang w:val="en-US"/>
        </w:rPr>
        <w:tab/>
      </w:r>
      <w:r w:rsidR="00B7144E">
        <w:rPr>
          <w:lang w:val="en-US"/>
        </w:rPr>
        <w:t>6</w:t>
      </w:r>
      <w:r w:rsidR="00606482" w:rsidRPr="00372A88">
        <w:rPr>
          <w:lang w:val="en-US"/>
        </w:rPr>
        <w:t>.</w:t>
      </w:r>
      <w:r w:rsidRPr="00372A88">
        <w:rPr>
          <w:lang w:val="en-US"/>
        </w:rPr>
        <w:tab/>
      </w:r>
      <w:r w:rsidR="00FB23CD">
        <w:rPr>
          <w:lang w:val="en-US"/>
        </w:rPr>
        <w:t>For these reasons, PRBA proposes to modify the United Kingdom proposals in document ST/SG/AC.10/C.3/2020/52 to also authorize the transport of cells in large packaging</w:t>
      </w:r>
      <w:r w:rsidR="001417F5">
        <w:rPr>
          <w:lang w:val="en-US"/>
        </w:rPr>
        <w:t>s</w:t>
      </w:r>
      <w:r w:rsidR="00FB23CD">
        <w:rPr>
          <w:lang w:val="en-US"/>
        </w:rPr>
        <w:t xml:space="preserve">, and to limit the cells that may be transported to those defined as “large cells” in the </w:t>
      </w:r>
      <w:r w:rsidR="00FB23CD">
        <w:rPr>
          <w:i/>
          <w:lang w:val="en-US"/>
        </w:rPr>
        <w:t xml:space="preserve">Manual of Tests and </w:t>
      </w:r>
      <w:r w:rsidR="00FB23CD" w:rsidRPr="00FB23CD">
        <w:rPr>
          <w:i/>
          <w:lang w:val="en-US"/>
        </w:rPr>
        <w:t>Criteria</w:t>
      </w:r>
      <w:r w:rsidR="00FB23CD">
        <w:rPr>
          <w:lang w:val="en-US"/>
        </w:rPr>
        <w:t>.</w:t>
      </w:r>
    </w:p>
    <w:p w14:paraId="5583C8B9" w14:textId="78B044D2" w:rsidR="00FB744D" w:rsidRPr="00372A88" w:rsidRDefault="00FB744D" w:rsidP="00606482">
      <w:pPr>
        <w:pStyle w:val="HChG"/>
        <w:rPr>
          <w:lang w:val="en-US"/>
        </w:rPr>
      </w:pPr>
      <w:r w:rsidRPr="00372A88">
        <w:rPr>
          <w:sz w:val="24"/>
          <w:szCs w:val="24"/>
          <w:lang w:val="en-US"/>
        </w:rPr>
        <w:tab/>
      </w:r>
      <w:r w:rsidRPr="00372A88">
        <w:rPr>
          <w:sz w:val="24"/>
          <w:szCs w:val="24"/>
          <w:lang w:val="en-US"/>
        </w:rPr>
        <w:tab/>
      </w:r>
      <w:r w:rsidR="003B7791">
        <w:rPr>
          <w:lang w:val="en-US"/>
        </w:rPr>
        <w:t>Proposal</w:t>
      </w:r>
    </w:p>
    <w:p w14:paraId="3BB837E6" w14:textId="475560B4" w:rsidR="00FB744D" w:rsidRDefault="00FB23CD" w:rsidP="00606482">
      <w:pPr>
        <w:pStyle w:val="SingleTxtG"/>
        <w:rPr>
          <w:lang w:val="en-US"/>
        </w:rPr>
      </w:pPr>
      <w:r>
        <w:rPr>
          <w:lang w:val="en-US"/>
        </w:rPr>
        <w:tab/>
      </w:r>
      <w:r w:rsidR="00B7144E">
        <w:rPr>
          <w:lang w:val="en-US"/>
        </w:rPr>
        <w:t>7</w:t>
      </w:r>
      <w:r w:rsidR="00606482" w:rsidRPr="00372A88">
        <w:rPr>
          <w:lang w:val="en-US"/>
        </w:rPr>
        <w:t>.</w:t>
      </w:r>
      <w:r w:rsidR="00606482" w:rsidRPr="00372A88">
        <w:rPr>
          <w:lang w:val="en-US"/>
        </w:rPr>
        <w:tab/>
      </w:r>
      <w:r>
        <w:rPr>
          <w:lang w:val="en-US"/>
        </w:rPr>
        <w:t xml:space="preserve">It is proposed that Large Packing Instruction LP903 be amended as </w:t>
      </w:r>
      <w:r w:rsidR="000B000F">
        <w:rPr>
          <w:lang w:val="en-US"/>
        </w:rPr>
        <w:t>prov</w:t>
      </w:r>
      <w:r w:rsidR="00E17B79">
        <w:rPr>
          <w:lang w:val="en-US"/>
        </w:rPr>
        <w:t>id</w:t>
      </w:r>
      <w:r w:rsidR="000B000F">
        <w:rPr>
          <w:lang w:val="en-US"/>
        </w:rPr>
        <w:t>ed below</w:t>
      </w:r>
      <w:r>
        <w:rPr>
          <w:lang w:val="en-US"/>
        </w:rPr>
        <w:t xml:space="preserve"> (includes amendments proposed by United Kingdom, with deleted text </w:t>
      </w:r>
      <w:r w:rsidRPr="00FB23CD">
        <w:rPr>
          <w:strike/>
          <w:lang w:val="en-US"/>
        </w:rPr>
        <w:t>struck through</w:t>
      </w:r>
      <w:r>
        <w:rPr>
          <w:lang w:val="en-US"/>
        </w:rPr>
        <w:t xml:space="preserve"> and new text </w:t>
      </w:r>
      <w:r w:rsidRPr="00FB23CD">
        <w:rPr>
          <w:u w:val="single"/>
          <w:lang w:val="en-US"/>
        </w:rPr>
        <w:t>underlined</w:t>
      </w:r>
      <w:r w:rsidR="000B000F">
        <w:rPr>
          <w:u w:val="single"/>
          <w:lang w:val="en-US"/>
        </w:rPr>
        <w:t xml:space="preserve">. PRBA amendments are also </w:t>
      </w:r>
      <w:r w:rsidR="000B000F" w:rsidRPr="000B000F">
        <w:rPr>
          <w:highlight w:val="yellow"/>
          <w:u w:val="single"/>
          <w:lang w:val="en-US"/>
        </w:rPr>
        <w:t>highlighted</w:t>
      </w:r>
      <w:r>
        <w:rPr>
          <w:lang w:val="en-US"/>
        </w:rPr>
        <w:t>)</w:t>
      </w:r>
      <w:r w:rsidR="000B000F">
        <w:rPr>
          <w:lang w:val="en-US"/>
        </w:rPr>
        <w:t>.</w:t>
      </w:r>
      <w:r>
        <w:rPr>
          <w:lang w:val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891"/>
      </w:tblGrid>
      <w:tr w:rsidR="00FB23CD" w14:paraId="421F1404" w14:textId="77777777" w:rsidTr="002635D2">
        <w:trPr>
          <w:jc w:val="center"/>
        </w:trPr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74C9" w14:textId="77777777" w:rsidR="00FB23CD" w:rsidRDefault="00FB23CD" w:rsidP="002635D2">
            <w:pPr>
              <w:pStyle w:val="SingleTxtG"/>
              <w:ind w:right="345"/>
              <w:rPr>
                <w:b/>
              </w:rPr>
            </w:pPr>
            <w:r>
              <w:rPr>
                <w:b/>
              </w:rPr>
              <w:t>LP903                                      PACKING INSTRUCTION                                              LP903</w:t>
            </w:r>
          </w:p>
        </w:tc>
      </w:tr>
      <w:tr w:rsidR="00FB23CD" w14:paraId="383FD283" w14:textId="77777777" w:rsidTr="002635D2">
        <w:trPr>
          <w:jc w:val="center"/>
        </w:trPr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C4DB" w14:textId="77777777" w:rsidR="00FB23CD" w:rsidRDefault="00FB23CD" w:rsidP="002635D2">
            <w:pPr>
              <w:pStyle w:val="SingleTxtG"/>
            </w:pPr>
            <w:r>
              <w:t>This instruction applies to UN Nos. 3090, 3091, 3480 and 3481</w:t>
            </w:r>
          </w:p>
        </w:tc>
      </w:tr>
      <w:tr w:rsidR="00FB23CD" w14:paraId="07C065B8" w14:textId="77777777" w:rsidTr="002635D2">
        <w:trPr>
          <w:jc w:val="center"/>
        </w:trPr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7BB3F9" w14:textId="4B0F3CFD" w:rsidR="00FB23CD" w:rsidRDefault="00FB23CD" w:rsidP="002635D2">
            <w:pPr>
              <w:pStyle w:val="SingleTxtG"/>
              <w:rPr>
                <w:sz w:val="18"/>
                <w:szCs w:val="18"/>
              </w:rPr>
            </w:pPr>
            <w:r>
              <w:t>The fo</w:t>
            </w:r>
            <w:r>
              <w:rPr>
                <w:sz w:val="18"/>
                <w:szCs w:val="18"/>
              </w:rPr>
              <w:t>llowing large packagings are authorized for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8016A5">
              <w:rPr>
                <w:sz w:val="18"/>
                <w:szCs w:val="18"/>
                <w:highlight w:val="yellow"/>
                <w:u w:val="single"/>
                <w:lang w:val="en-US"/>
              </w:rPr>
              <w:t>cells</w:t>
            </w:r>
            <w:r w:rsidRPr="0087099C">
              <w:rPr>
                <w:sz w:val="18"/>
                <w:szCs w:val="18"/>
                <w:highlight w:val="yellow"/>
                <w:u w:val="single"/>
                <w:lang w:val="en-US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trike/>
                <w:sz w:val="18"/>
                <w:szCs w:val="18"/>
              </w:rPr>
              <w:t>a single</w:t>
            </w:r>
            <w:r>
              <w:rPr>
                <w:sz w:val="18"/>
                <w:szCs w:val="18"/>
              </w:rPr>
              <w:t xml:space="preserve"> batter</w:t>
            </w:r>
            <w:r>
              <w:rPr>
                <w:strike/>
                <w:sz w:val="18"/>
                <w:szCs w:val="18"/>
              </w:rPr>
              <w:t>y</w:t>
            </w:r>
            <w:r>
              <w:rPr>
                <w:sz w:val="18"/>
                <w:szCs w:val="18"/>
                <w:u w:val="single"/>
              </w:rPr>
              <w:t>ies</w:t>
            </w:r>
            <w:r>
              <w:rPr>
                <w:sz w:val="18"/>
                <w:szCs w:val="18"/>
              </w:rPr>
              <w:t xml:space="preserve"> and for </w:t>
            </w:r>
            <w:r>
              <w:rPr>
                <w:strike/>
                <w:sz w:val="18"/>
                <w:szCs w:val="18"/>
              </w:rPr>
              <w:t>a single item of</w:t>
            </w:r>
            <w:r>
              <w:rPr>
                <w:sz w:val="18"/>
                <w:szCs w:val="18"/>
              </w:rPr>
              <w:t xml:space="preserve"> equipment containing batteries, provided that the general provisions of </w:t>
            </w:r>
            <w:r>
              <w:rPr>
                <w:b/>
                <w:sz w:val="18"/>
                <w:szCs w:val="18"/>
              </w:rPr>
              <w:t>4.1.1</w:t>
            </w:r>
            <w:r>
              <w:rPr>
                <w:sz w:val="18"/>
                <w:szCs w:val="18"/>
              </w:rPr>
              <w:t xml:space="preserve"> and </w:t>
            </w:r>
            <w:r>
              <w:rPr>
                <w:b/>
                <w:sz w:val="18"/>
                <w:szCs w:val="18"/>
              </w:rPr>
              <w:t>4.1.3</w:t>
            </w:r>
            <w:r>
              <w:rPr>
                <w:sz w:val="18"/>
                <w:szCs w:val="18"/>
              </w:rPr>
              <w:t xml:space="preserve"> are met:</w:t>
            </w:r>
          </w:p>
          <w:p w14:paraId="3BB41CC4" w14:textId="77777777" w:rsidR="00FB23CD" w:rsidRDefault="00FB23CD" w:rsidP="002635D2">
            <w:pPr>
              <w:pStyle w:val="SingleTxtG"/>
            </w:pPr>
            <w:r>
              <w:rPr>
                <w:sz w:val="18"/>
                <w:szCs w:val="18"/>
              </w:rPr>
              <w:t>Rigid large packagings conforming to the packing group II performance level, made of:</w:t>
            </w:r>
          </w:p>
        </w:tc>
      </w:tr>
      <w:tr w:rsidR="00FB23CD" w14:paraId="78006867" w14:textId="77777777" w:rsidTr="002635D2">
        <w:trPr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B0780" w14:textId="77777777" w:rsidR="00FB23CD" w:rsidRDefault="00FB23CD" w:rsidP="002635D2">
            <w:pPr>
              <w:pStyle w:val="SingleTxtG"/>
              <w:rPr>
                <w:sz w:val="22"/>
                <w:szCs w:val="22"/>
              </w:rPr>
            </w:pPr>
          </w:p>
        </w:tc>
        <w:tc>
          <w:tcPr>
            <w:tcW w:w="78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2BBA86" w14:textId="77777777" w:rsidR="00FB23CD" w:rsidRDefault="00FB23CD" w:rsidP="002635D2">
            <w:pPr>
              <w:pStyle w:val="SingleTxt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steel (50A);</w:t>
            </w:r>
          </w:p>
          <w:p w14:paraId="359F9ECA" w14:textId="77777777" w:rsidR="00FB23CD" w:rsidRDefault="00FB23CD" w:rsidP="002635D2">
            <w:pPr>
              <w:pStyle w:val="SingleTxt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aluminium (50B);</w:t>
            </w:r>
          </w:p>
          <w:p w14:paraId="479B8BD1" w14:textId="77777777" w:rsidR="00FB23CD" w:rsidRDefault="00FB23CD" w:rsidP="002635D2">
            <w:pPr>
              <w:pStyle w:val="SingleTxt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 other than steel or aluminium (50N);</w:t>
            </w:r>
          </w:p>
          <w:p w14:paraId="354FA200" w14:textId="77777777" w:rsidR="00FB23CD" w:rsidRDefault="00FB23CD" w:rsidP="002635D2">
            <w:pPr>
              <w:pStyle w:val="SingleTxt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rigid plastics (50H);</w:t>
            </w:r>
          </w:p>
          <w:p w14:paraId="4B06A201" w14:textId="77777777" w:rsidR="00FB23CD" w:rsidRDefault="00FB23CD" w:rsidP="002635D2">
            <w:pPr>
              <w:pStyle w:val="SingleTxt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wood (50C);</w:t>
            </w:r>
          </w:p>
          <w:p w14:paraId="5881EF8E" w14:textId="77777777" w:rsidR="00FB23CD" w:rsidRDefault="00FB23CD" w:rsidP="002635D2">
            <w:pPr>
              <w:pStyle w:val="SingleTxt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plywood (50D);</w:t>
            </w:r>
          </w:p>
          <w:p w14:paraId="0BD009B5" w14:textId="77777777" w:rsidR="00FB23CD" w:rsidRDefault="00FB23CD" w:rsidP="002635D2">
            <w:pPr>
              <w:pStyle w:val="SingleTxt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reconstituted wood (50F);</w:t>
            </w:r>
          </w:p>
          <w:p w14:paraId="4711268A" w14:textId="77777777" w:rsidR="00FB23CD" w:rsidRDefault="00FB23CD" w:rsidP="002635D2">
            <w:pPr>
              <w:pStyle w:val="SingleTxt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rigid fibreboard (50G).</w:t>
            </w:r>
          </w:p>
        </w:tc>
      </w:tr>
      <w:tr w:rsidR="00FB23CD" w14:paraId="4701A37B" w14:textId="77777777" w:rsidTr="002635D2">
        <w:trPr>
          <w:jc w:val="center"/>
        </w:trPr>
        <w:tc>
          <w:tcPr>
            <w:tcW w:w="8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2351" w14:textId="7A440E19" w:rsidR="00FB23CD" w:rsidRDefault="00FB23CD" w:rsidP="002635D2">
            <w:pPr>
              <w:pStyle w:val="SingleTxtG"/>
              <w:rPr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Each</w:t>
            </w:r>
            <w:r>
              <w:rPr>
                <w:sz w:val="18"/>
                <w:szCs w:val="18"/>
              </w:rPr>
              <w:t xml:space="preserve"> </w:t>
            </w:r>
            <w:r w:rsidRPr="008016A5">
              <w:rPr>
                <w:sz w:val="18"/>
                <w:szCs w:val="18"/>
                <w:highlight w:val="yellow"/>
                <w:u w:val="single"/>
                <w:lang w:val="en-US"/>
              </w:rPr>
              <w:t>cell,</w:t>
            </w:r>
            <w:r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battery or </w:t>
            </w:r>
            <w:r>
              <w:rPr>
                <w:strike/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  <w:u w:val="single"/>
              </w:rPr>
              <w:t xml:space="preserve">piece of </w:t>
            </w:r>
            <w:r>
              <w:rPr>
                <w:sz w:val="18"/>
                <w:szCs w:val="18"/>
              </w:rPr>
              <w:t xml:space="preserve">equipment shall be </w:t>
            </w:r>
            <w:r>
              <w:rPr>
                <w:sz w:val="18"/>
                <w:szCs w:val="18"/>
                <w:u w:val="single"/>
              </w:rPr>
              <w:t xml:space="preserve">wrapped or packed in an inner packaging and the outer packaging provided with dividers or partitions so that each battery or piece of equipment is separated to ensure </w:t>
            </w:r>
            <w:r>
              <w:rPr>
                <w:strike/>
                <w:sz w:val="18"/>
                <w:szCs w:val="18"/>
              </w:rPr>
              <w:t xml:space="preserve">packed so </w:t>
            </w:r>
            <w:r>
              <w:rPr>
                <w:sz w:val="18"/>
                <w:szCs w:val="18"/>
              </w:rPr>
              <w:t xml:space="preserve">that the </w:t>
            </w:r>
            <w:r w:rsidRPr="008016A5">
              <w:rPr>
                <w:sz w:val="18"/>
                <w:szCs w:val="18"/>
                <w:highlight w:val="yellow"/>
                <w:u w:val="single"/>
                <w:lang w:val="en-US"/>
              </w:rPr>
              <w:t>cell,</w:t>
            </w:r>
            <w:r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battery or the equipment is protected against damage that may be caused by its movement of placement within the large packaging.</w:t>
            </w:r>
          </w:p>
        </w:tc>
      </w:tr>
      <w:tr w:rsidR="00FB23CD" w14:paraId="6F50B382" w14:textId="77777777" w:rsidTr="002635D2">
        <w:trPr>
          <w:jc w:val="center"/>
        </w:trPr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8359" w14:textId="77777777" w:rsidR="00FB23CD" w:rsidRDefault="00FB23CD" w:rsidP="002635D2">
            <w:pPr>
              <w:pStyle w:val="SingleTxt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requirement:</w:t>
            </w:r>
          </w:p>
          <w:p w14:paraId="1FDDC0AE" w14:textId="77777777" w:rsidR="00FB23CD" w:rsidRDefault="00FB23CD" w:rsidP="002635D2">
            <w:pPr>
              <w:pStyle w:val="SingleTxt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Batteries shall be protected against short circuit.</w:t>
            </w:r>
          </w:p>
          <w:p w14:paraId="2D60A2C2" w14:textId="6FFA4309" w:rsidR="00FB23CD" w:rsidRPr="00FB23CD" w:rsidRDefault="001A5BA0" w:rsidP="002635D2">
            <w:pPr>
              <w:pStyle w:val="SingleTxtG"/>
              <w:rPr>
                <w:sz w:val="18"/>
                <w:szCs w:val="18"/>
                <w:u w:val="single"/>
                <w:lang w:val="en-US"/>
              </w:rPr>
            </w:pPr>
            <w:r w:rsidRPr="00FD677D">
              <w:rPr>
                <w:sz w:val="18"/>
                <w:szCs w:val="18"/>
                <w:u w:val="single"/>
                <w:shd w:val="clear" w:color="auto" w:fill="FFFF00"/>
                <w:lang w:val="en-US"/>
              </w:rPr>
              <w:t>Only large cells with a gross mass of more than 500 g are authorized to be packaged in large packagings not exceeding</w:t>
            </w:r>
            <w:r w:rsidR="00FD677D">
              <w:rPr>
                <w:sz w:val="18"/>
                <w:szCs w:val="18"/>
                <w:u w:val="single"/>
                <w:shd w:val="clear" w:color="auto" w:fill="FFFF00"/>
                <w:lang w:val="en-US"/>
              </w:rPr>
              <w:t xml:space="preserve"> </w:t>
            </w:r>
            <w:r w:rsidR="00541AD9">
              <w:rPr>
                <w:sz w:val="18"/>
                <w:szCs w:val="18"/>
                <w:u w:val="single"/>
                <w:shd w:val="clear" w:color="auto" w:fill="FFFF00"/>
                <w:lang w:val="en-US"/>
              </w:rPr>
              <w:t xml:space="preserve">a maximum gross mass of </w:t>
            </w:r>
            <w:r w:rsidR="00FD677D">
              <w:rPr>
                <w:sz w:val="18"/>
                <w:szCs w:val="18"/>
                <w:u w:val="single"/>
                <w:shd w:val="clear" w:color="auto" w:fill="FFFF00"/>
                <w:lang w:val="en-US"/>
              </w:rPr>
              <w:t>1500</w:t>
            </w:r>
            <w:r w:rsidRPr="00FD677D">
              <w:rPr>
                <w:sz w:val="18"/>
                <w:szCs w:val="18"/>
                <w:u w:val="single"/>
                <w:shd w:val="clear" w:color="auto" w:fill="FFFF00"/>
                <w:lang w:val="en-US"/>
              </w:rPr>
              <w:t xml:space="preserve"> kg</w:t>
            </w:r>
            <w:r w:rsidR="00541AD9">
              <w:rPr>
                <w:sz w:val="18"/>
                <w:szCs w:val="18"/>
                <w:u w:val="single"/>
                <w:shd w:val="clear" w:color="auto" w:fill="FFFF00"/>
                <w:lang w:val="en-US"/>
              </w:rPr>
              <w:t>.</w:t>
            </w:r>
          </w:p>
        </w:tc>
      </w:tr>
    </w:tbl>
    <w:p w14:paraId="25455277" w14:textId="77777777" w:rsidR="00FB744D" w:rsidRDefault="00FB744D" w:rsidP="00FB744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51346A" w14:textId="77777777" w:rsidR="00FB744D" w:rsidRPr="00FB744D" w:rsidRDefault="00FB744D" w:rsidP="00FB744D">
      <w:pPr>
        <w:rPr>
          <w:lang w:val="en-US"/>
        </w:rPr>
      </w:pPr>
    </w:p>
    <w:sectPr w:rsidR="00FB744D" w:rsidRPr="00FB744D" w:rsidSect="007A44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80F7E" w14:textId="77777777" w:rsidR="00A17434" w:rsidRDefault="00A17434"/>
  </w:endnote>
  <w:endnote w:type="continuationSeparator" w:id="0">
    <w:p w14:paraId="0708893A" w14:textId="77777777" w:rsidR="00A17434" w:rsidRDefault="00A17434"/>
  </w:endnote>
  <w:endnote w:type="continuationNotice" w:id="1">
    <w:p w14:paraId="2921AB53" w14:textId="77777777" w:rsidR="00A17434" w:rsidRDefault="00A174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2B3CE" w14:textId="77777777" w:rsidR="00A2204D" w:rsidRPr="00F257D1" w:rsidRDefault="00A2204D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 w:rsidR="001417F5"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  <w:p w14:paraId="6A959F01" w14:textId="77777777" w:rsidR="00A2204D" w:rsidRDefault="00A220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0AA5" w14:textId="77777777" w:rsidR="00A2204D" w:rsidRPr="000216CC" w:rsidRDefault="00A2204D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  <w:p w14:paraId="06DF585C" w14:textId="77777777" w:rsidR="00A2204D" w:rsidRDefault="00A220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4934D" w14:textId="77777777" w:rsidR="00A17434" w:rsidRPr="000B175B" w:rsidRDefault="00A1743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004667" w14:textId="77777777" w:rsidR="00A17434" w:rsidRPr="00FC68B7" w:rsidRDefault="00A1743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D2ED8AB" w14:textId="77777777" w:rsidR="00A17434" w:rsidRDefault="00A174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8893" w14:textId="29429711" w:rsidR="00A2204D" w:rsidRPr="00B5392B" w:rsidRDefault="00A2204D">
    <w:pPr>
      <w:pStyle w:val="Header"/>
      <w:rPr>
        <w:lang w:val="nl-NL"/>
      </w:rPr>
    </w:pPr>
    <w:r w:rsidRPr="001D5F20">
      <w:rPr>
        <w:lang w:val="nl-NL"/>
      </w:rPr>
      <w:t>UN/SCETDG/57/INF.</w:t>
    </w:r>
    <w:r w:rsidR="008F16BA">
      <w:rPr>
        <w:lang w:val="nl-NL"/>
      </w:rPr>
      <w:t>34</w:t>
    </w:r>
  </w:p>
  <w:p w14:paraId="09FA2158" w14:textId="77777777" w:rsidR="00A2204D" w:rsidRDefault="00A220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BC36" w14:textId="5EF69383" w:rsidR="00A2204D" w:rsidRPr="000216CC" w:rsidRDefault="00A2204D" w:rsidP="00090CBF">
    <w:pPr>
      <w:pStyle w:val="Header"/>
      <w:jc w:val="right"/>
    </w:pPr>
    <w:r w:rsidRPr="00090CBF">
      <w:t>UN/SCETDG/57/INF.</w:t>
    </w:r>
    <w: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50400" w14:textId="77777777" w:rsidR="00A2204D" w:rsidRDefault="00A2204D" w:rsidP="00A442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F31036"/>
    <w:multiLevelType w:val="hybridMultilevel"/>
    <w:tmpl w:val="4AEA4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BF12AE6"/>
    <w:multiLevelType w:val="hybridMultilevel"/>
    <w:tmpl w:val="764E1DEC"/>
    <w:lvl w:ilvl="0" w:tplc="CB32B356">
      <w:start w:val="3"/>
      <w:numFmt w:val="bullet"/>
      <w:lvlText w:val="–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1C895EE2"/>
    <w:multiLevelType w:val="hybridMultilevel"/>
    <w:tmpl w:val="AB1A8714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1FDD24B8"/>
    <w:multiLevelType w:val="hybridMultilevel"/>
    <w:tmpl w:val="CEA05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FE6881"/>
    <w:multiLevelType w:val="multilevel"/>
    <w:tmpl w:val="D78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39E2397"/>
    <w:multiLevelType w:val="hybridMultilevel"/>
    <w:tmpl w:val="06AC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A6160B"/>
    <w:multiLevelType w:val="hybridMultilevel"/>
    <w:tmpl w:val="925C532A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817767E"/>
    <w:multiLevelType w:val="hybridMultilevel"/>
    <w:tmpl w:val="7D94FFF6"/>
    <w:lvl w:ilvl="0" w:tplc="B248E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3EF322E7"/>
    <w:multiLevelType w:val="hybridMultilevel"/>
    <w:tmpl w:val="B358A3A6"/>
    <w:lvl w:ilvl="0" w:tplc="0409000F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8E14603"/>
    <w:multiLevelType w:val="hybridMultilevel"/>
    <w:tmpl w:val="7AE400E6"/>
    <w:lvl w:ilvl="0" w:tplc="A4EEA9E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4"/>
  </w:num>
  <w:num w:numId="13">
    <w:abstractNumId w:val="12"/>
  </w:num>
  <w:num w:numId="14">
    <w:abstractNumId w:val="27"/>
  </w:num>
  <w:num w:numId="15">
    <w:abstractNumId w:val="32"/>
  </w:num>
  <w:num w:numId="16">
    <w:abstractNumId w:val="16"/>
  </w:num>
  <w:num w:numId="17">
    <w:abstractNumId w:val="10"/>
  </w:num>
  <w:num w:numId="18">
    <w:abstractNumId w:val="33"/>
  </w:num>
  <w:num w:numId="19">
    <w:abstractNumId w:val="31"/>
  </w:num>
  <w:num w:numId="20">
    <w:abstractNumId w:val="11"/>
  </w:num>
  <w:num w:numId="21">
    <w:abstractNumId w:val="28"/>
  </w:num>
  <w:num w:numId="22">
    <w:abstractNumId w:val="13"/>
  </w:num>
  <w:num w:numId="23">
    <w:abstractNumId w:val="29"/>
  </w:num>
  <w:num w:numId="24">
    <w:abstractNumId w:val="24"/>
  </w:num>
  <w:num w:numId="25">
    <w:abstractNumId w:val="17"/>
  </w:num>
  <w:num w:numId="26">
    <w:abstractNumId w:val="18"/>
  </w:num>
  <w:num w:numId="27">
    <w:abstractNumId w:val="22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15"/>
  </w:num>
  <w:num w:numId="34">
    <w:abstractNumId w:val="23"/>
  </w:num>
  <w:num w:numId="35">
    <w:abstractNumId w:val="3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tr-T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CC"/>
    <w:rsid w:val="000019B8"/>
    <w:rsid w:val="00006FAE"/>
    <w:rsid w:val="00012EB6"/>
    <w:rsid w:val="000133C5"/>
    <w:rsid w:val="00014228"/>
    <w:rsid w:val="00017551"/>
    <w:rsid w:val="00017D24"/>
    <w:rsid w:val="000215D5"/>
    <w:rsid w:val="000216CC"/>
    <w:rsid w:val="000277D3"/>
    <w:rsid w:val="00032427"/>
    <w:rsid w:val="00033414"/>
    <w:rsid w:val="0003375D"/>
    <w:rsid w:val="00037523"/>
    <w:rsid w:val="00043180"/>
    <w:rsid w:val="00043455"/>
    <w:rsid w:val="000504CE"/>
    <w:rsid w:val="00050922"/>
    <w:rsid w:val="00050F6B"/>
    <w:rsid w:val="00053492"/>
    <w:rsid w:val="000556F5"/>
    <w:rsid w:val="0005710C"/>
    <w:rsid w:val="00064402"/>
    <w:rsid w:val="00067E6D"/>
    <w:rsid w:val="00072C03"/>
    <w:rsid w:val="00072C8C"/>
    <w:rsid w:val="00073129"/>
    <w:rsid w:val="00075F99"/>
    <w:rsid w:val="00076A0A"/>
    <w:rsid w:val="00082CE1"/>
    <w:rsid w:val="00083598"/>
    <w:rsid w:val="00084632"/>
    <w:rsid w:val="00086B40"/>
    <w:rsid w:val="00087152"/>
    <w:rsid w:val="00090CBF"/>
    <w:rsid w:val="00091046"/>
    <w:rsid w:val="00091419"/>
    <w:rsid w:val="00091CB3"/>
    <w:rsid w:val="000931C0"/>
    <w:rsid w:val="000A1282"/>
    <w:rsid w:val="000A2236"/>
    <w:rsid w:val="000A35F2"/>
    <w:rsid w:val="000A3A48"/>
    <w:rsid w:val="000A3C11"/>
    <w:rsid w:val="000A4C38"/>
    <w:rsid w:val="000A4F3B"/>
    <w:rsid w:val="000B000F"/>
    <w:rsid w:val="000B175B"/>
    <w:rsid w:val="000B3A0F"/>
    <w:rsid w:val="000B4919"/>
    <w:rsid w:val="000B50A6"/>
    <w:rsid w:val="000B6AD1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417F5"/>
    <w:rsid w:val="001518B1"/>
    <w:rsid w:val="001633FB"/>
    <w:rsid w:val="00163A1B"/>
    <w:rsid w:val="00165735"/>
    <w:rsid w:val="00167786"/>
    <w:rsid w:val="001678D9"/>
    <w:rsid w:val="00180633"/>
    <w:rsid w:val="00181019"/>
    <w:rsid w:val="0018168F"/>
    <w:rsid w:val="001835BF"/>
    <w:rsid w:val="00184120"/>
    <w:rsid w:val="00184B86"/>
    <w:rsid w:val="00187513"/>
    <w:rsid w:val="001911FA"/>
    <w:rsid w:val="00195229"/>
    <w:rsid w:val="001A02A4"/>
    <w:rsid w:val="001A5BA0"/>
    <w:rsid w:val="001A7113"/>
    <w:rsid w:val="001B2674"/>
    <w:rsid w:val="001B35EE"/>
    <w:rsid w:val="001B4B04"/>
    <w:rsid w:val="001B6B72"/>
    <w:rsid w:val="001B740B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AD9"/>
    <w:rsid w:val="001D4B2D"/>
    <w:rsid w:val="001D4E70"/>
    <w:rsid w:val="001D5147"/>
    <w:rsid w:val="001D5F20"/>
    <w:rsid w:val="001E797C"/>
    <w:rsid w:val="001F2D87"/>
    <w:rsid w:val="002062DE"/>
    <w:rsid w:val="002067ED"/>
    <w:rsid w:val="00211B12"/>
    <w:rsid w:val="00211E0B"/>
    <w:rsid w:val="0021481D"/>
    <w:rsid w:val="00215BD2"/>
    <w:rsid w:val="00221589"/>
    <w:rsid w:val="00221AC2"/>
    <w:rsid w:val="00224CD9"/>
    <w:rsid w:val="002309A7"/>
    <w:rsid w:val="0023231C"/>
    <w:rsid w:val="00235381"/>
    <w:rsid w:val="00237785"/>
    <w:rsid w:val="002403B8"/>
    <w:rsid w:val="00241178"/>
    <w:rsid w:val="00241466"/>
    <w:rsid w:val="002440E7"/>
    <w:rsid w:val="00244C52"/>
    <w:rsid w:val="00247570"/>
    <w:rsid w:val="00247D60"/>
    <w:rsid w:val="00257C1E"/>
    <w:rsid w:val="0026071E"/>
    <w:rsid w:val="00261B71"/>
    <w:rsid w:val="002621F5"/>
    <w:rsid w:val="002622A9"/>
    <w:rsid w:val="00267085"/>
    <w:rsid w:val="002708B5"/>
    <w:rsid w:val="002725CA"/>
    <w:rsid w:val="00273A92"/>
    <w:rsid w:val="00277896"/>
    <w:rsid w:val="00280EB7"/>
    <w:rsid w:val="00284CD3"/>
    <w:rsid w:val="002905C1"/>
    <w:rsid w:val="00293A9D"/>
    <w:rsid w:val="00295C28"/>
    <w:rsid w:val="002976CF"/>
    <w:rsid w:val="002A0BD2"/>
    <w:rsid w:val="002A5B17"/>
    <w:rsid w:val="002A75E6"/>
    <w:rsid w:val="002B067A"/>
    <w:rsid w:val="002B1514"/>
    <w:rsid w:val="002B1CDA"/>
    <w:rsid w:val="002C7F25"/>
    <w:rsid w:val="002D44DB"/>
    <w:rsid w:val="002D5A85"/>
    <w:rsid w:val="002D5C7D"/>
    <w:rsid w:val="002E35BB"/>
    <w:rsid w:val="002E6960"/>
    <w:rsid w:val="002F68FD"/>
    <w:rsid w:val="003107FA"/>
    <w:rsid w:val="00313AC2"/>
    <w:rsid w:val="00315D73"/>
    <w:rsid w:val="00316FF9"/>
    <w:rsid w:val="003201B8"/>
    <w:rsid w:val="00321716"/>
    <w:rsid w:val="003229D8"/>
    <w:rsid w:val="003244D9"/>
    <w:rsid w:val="00327D0A"/>
    <w:rsid w:val="0033248C"/>
    <w:rsid w:val="00340E2C"/>
    <w:rsid w:val="003517C3"/>
    <w:rsid w:val="00355502"/>
    <w:rsid w:val="00356BC7"/>
    <w:rsid w:val="00357A20"/>
    <w:rsid w:val="00365AA6"/>
    <w:rsid w:val="00372A88"/>
    <w:rsid w:val="00372F06"/>
    <w:rsid w:val="00384EA5"/>
    <w:rsid w:val="00391647"/>
    <w:rsid w:val="00391A13"/>
    <w:rsid w:val="0039260F"/>
    <w:rsid w:val="0039277A"/>
    <w:rsid w:val="00393B99"/>
    <w:rsid w:val="00396F6A"/>
    <w:rsid w:val="003972E0"/>
    <w:rsid w:val="003A1EC2"/>
    <w:rsid w:val="003A52D7"/>
    <w:rsid w:val="003A5A16"/>
    <w:rsid w:val="003A6E6C"/>
    <w:rsid w:val="003B0C98"/>
    <w:rsid w:val="003B5EDE"/>
    <w:rsid w:val="003B7791"/>
    <w:rsid w:val="003C0657"/>
    <w:rsid w:val="003C18C9"/>
    <w:rsid w:val="003C2CC4"/>
    <w:rsid w:val="003C655D"/>
    <w:rsid w:val="003D2548"/>
    <w:rsid w:val="003D4B23"/>
    <w:rsid w:val="003F23A4"/>
    <w:rsid w:val="003F54D8"/>
    <w:rsid w:val="003F5B52"/>
    <w:rsid w:val="00400408"/>
    <w:rsid w:val="00403EC6"/>
    <w:rsid w:val="00406CD4"/>
    <w:rsid w:val="004108CE"/>
    <w:rsid w:val="004152F8"/>
    <w:rsid w:val="004248D6"/>
    <w:rsid w:val="00430086"/>
    <w:rsid w:val="00430918"/>
    <w:rsid w:val="004317D1"/>
    <w:rsid w:val="004325CB"/>
    <w:rsid w:val="004368A2"/>
    <w:rsid w:val="00437F3F"/>
    <w:rsid w:val="00445B83"/>
    <w:rsid w:val="00446DE4"/>
    <w:rsid w:val="004526E8"/>
    <w:rsid w:val="00452D10"/>
    <w:rsid w:val="00454036"/>
    <w:rsid w:val="004562AA"/>
    <w:rsid w:val="00460B22"/>
    <w:rsid w:val="004615DD"/>
    <w:rsid w:val="0046443A"/>
    <w:rsid w:val="004653B3"/>
    <w:rsid w:val="004654C4"/>
    <w:rsid w:val="004656A9"/>
    <w:rsid w:val="0046668F"/>
    <w:rsid w:val="0046773D"/>
    <w:rsid w:val="0046788D"/>
    <w:rsid w:val="004814C2"/>
    <w:rsid w:val="004822C0"/>
    <w:rsid w:val="0048304D"/>
    <w:rsid w:val="00484A9B"/>
    <w:rsid w:val="00484B85"/>
    <w:rsid w:val="0049211A"/>
    <w:rsid w:val="00492AF9"/>
    <w:rsid w:val="00494C77"/>
    <w:rsid w:val="00497291"/>
    <w:rsid w:val="00497711"/>
    <w:rsid w:val="004A004F"/>
    <w:rsid w:val="004B25F8"/>
    <w:rsid w:val="004B2C9D"/>
    <w:rsid w:val="004B5939"/>
    <w:rsid w:val="004B73D6"/>
    <w:rsid w:val="004C39D0"/>
    <w:rsid w:val="004C4F1A"/>
    <w:rsid w:val="004C591C"/>
    <w:rsid w:val="004C6D6D"/>
    <w:rsid w:val="004D2D6F"/>
    <w:rsid w:val="004E0C5D"/>
    <w:rsid w:val="004F4240"/>
    <w:rsid w:val="004F6DF4"/>
    <w:rsid w:val="004F77CD"/>
    <w:rsid w:val="0050042A"/>
    <w:rsid w:val="00504855"/>
    <w:rsid w:val="00507CF1"/>
    <w:rsid w:val="00522177"/>
    <w:rsid w:val="00526AFD"/>
    <w:rsid w:val="00527910"/>
    <w:rsid w:val="00530AB3"/>
    <w:rsid w:val="005318BF"/>
    <w:rsid w:val="00532C9E"/>
    <w:rsid w:val="00541AD9"/>
    <w:rsid w:val="005420F2"/>
    <w:rsid w:val="00542505"/>
    <w:rsid w:val="005475D4"/>
    <w:rsid w:val="00552CEE"/>
    <w:rsid w:val="00555CDB"/>
    <w:rsid w:val="00561B6D"/>
    <w:rsid w:val="00562D45"/>
    <w:rsid w:val="0056615B"/>
    <w:rsid w:val="00567DFB"/>
    <w:rsid w:val="00571DAA"/>
    <w:rsid w:val="00572049"/>
    <w:rsid w:val="0058129D"/>
    <w:rsid w:val="00590144"/>
    <w:rsid w:val="0059131E"/>
    <w:rsid w:val="00594E4C"/>
    <w:rsid w:val="0059682C"/>
    <w:rsid w:val="005A3F48"/>
    <w:rsid w:val="005A6301"/>
    <w:rsid w:val="005A64DD"/>
    <w:rsid w:val="005B09F0"/>
    <w:rsid w:val="005B0CED"/>
    <w:rsid w:val="005B3DB3"/>
    <w:rsid w:val="005B528A"/>
    <w:rsid w:val="005B6088"/>
    <w:rsid w:val="005C3490"/>
    <w:rsid w:val="005C4CB5"/>
    <w:rsid w:val="005D0C6C"/>
    <w:rsid w:val="005D1BB4"/>
    <w:rsid w:val="005E010D"/>
    <w:rsid w:val="005E0BF6"/>
    <w:rsid w:val="005E28E0"/>
    <w:rsid w:val="005E3563"/>
    <w:rsid w:val="005E3AAD"/>
    <w:rsid w:val="005E5946"/>
    <w:rsid w:val="005E75CA"/>
    <w:rsid w:val="005F3A39"/>
    <w:rsid w:val="005F5C2F"/>
    <w:rsid w:val="005F7BB1"/>
    <w:rsid w:val="00602490"/>
    <w:rsid w:val="00603E3C"/>
    <w:rsid w:val="00605CB5"/>
    <w:rsid w:val="00606482"/>
    <w:rsid w:val="0060673A"/>
    <w:rsid w:val="00611FC4"/>
    <w:rsid w:val="00612812"/>
    <w:rsid w:val="006176FB"/>
    <w:rsid w:val="006216A1"/>
    <w:rsid w:val="00626B06"/>
    <w:rsid w:val="006279AC"/>
    <w:rsid w:val="0063013A"/>
    <w:rsid w:val="0063419C"/>
    <w:rsid w:val="00635381"/>
    <w:rsid w:val="00636986"/>
    <w:rsid w:val="00637542"/>
    <w:rsid w:val="00640B26"/>
    <w:rsid w:val="00641194"/>
    <w:rsid w:val="00642D06"/>
    <w:rsid w:val="00645A0B"/>
    <w:rsid w:val="006500BA"/>
    <w:rsid w:val="006506DB"/>
    <w:rsid w:val="00662121"/>
    <w:rsid w:val="00662E09"/>
    <w:rsid w:val="0066725E"/>
    <w:rsid w:val="00670CF0"/>
    <w:rsid w:val="00675F87"/>
    <w:rsid w:val="006870AE"/>
    <w:rsid w:val="00690CD6"/>
    <w:rsid w:val="006A3932"/>
    <w:rsid w:val="006A53DC"/>
    <w:rsid w:val="006A63E3"/>
    <w:rsid w:val="006A7392"/>
    <w:rsid w:val="006B1148"/>
    <w:rsid w:val="006B1C55"/>
    <w:rsid w:val="006B2484"/>
    <w:rsid w:val="006C0D34"/>
    <w:rsid w:val="006C251B"/>
    <w:rsid w:val="006C2F7E"/>
    <w:rsid w:val="006C68BA"/>
    <w:rsid w:val="006C6F3D"/>
    <w:rsid w:val="006D0533"/>
    <w:rsid w:val="006D3560"/>
    <w:rsid w:val="006E3B65"/>
    <w:rsid w:val="006E4E78"/>
    <w:rsid w:val="006E564B"/>
    <w:rsid w:val="0070084B"/>
    <w:rsid w:val="007025C0"/>
    <w:rsid w:val="00707F04"/>
    <w:rsid w:val="00711637"/>
    <w:rsid w:val="00712529"/>
    <w:rsid w:val="00714F4F"/>
    <w:rsid w:val="0071611E"/>
    <w:rsid w:val="00721CAC"/>
    <w:rsid w:val="0072632A"/>
    <w:rsid w:val="00734F20"/>
    <w:rsid w:val="00736E6A"/>
    <w:rsid w:val="00741F59"/>
    <w:rsid w:val="00743AA2"/>
    <w:rsid w:val="00744C85"/>
    <w:rsid w:val="0074697D"/>
    <w:rsid w:val="007510F5"/>
    <w:rsid w:val="00755EBE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8123B"/>
    <w:rsid w:val="00781B57"/>
    <w:rsid w:val="007829F6"/>
    <w:rsid w:val="00786434"/>
    <w:rsid w:val="00786465"/>
    <w:rsid w:val="00790791"/>
    <w:rsid w:val="00796F36"/>
    <w:rsid w:val="007A2CDB"/>
    <w:rsid w:val="007A334C"/>
    <w:rsid w:val="007A44D6"/>
    <w:rsid w:val="007A62EC"/>
    <w:rsid w:val="007B1A7E"/>
    <w:rsid w:val="007B2BA8"/>
    <w:rsid w:val="007B4133"/>
    <w:rsid w:val="007B649A"/>
    <w:rsid w:val="007B6BA5"/>
    <w:rsid w:val="007B7F03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4BD3"/>
    <w:rsid w:val="007E5D7C"/>
    <w:rsid w:val="007F1D6C"/>
    <w:rsid w:val="007F2A54"/>
    <w:rsid w:val="007F5104"/>
    <w:rsid w:val="007F6611"/>
    <w:rsid w:val="00800024"/>
    <w:rsid w:val="008016A5"/>
    <w:rsid w:val="008037A2"/>
    <w:rsid w:val="008107F5"/>
    <w:rsid w:val="00816582"/>
    <w:rsid w:val="008175E9"/>
    <w:rsid w:val="00820A2D"/>
    <w:rsid w:val="008242D7"/>
    <w:rsid w:val="00826C09"/>
    <w:rsid w:val="0083043E"/>
    <w:rsid w:val="0083055C"/>
    <w:rsid w:val="0083069A"/>
    <w:rsid w:val="00832A1D"/>
    <w:rsid w:val="00834479"/>
    <w:rsid w:val="00843AB2"/>
    <w:rsid w:val="00846809"/>
    <w:rsid w:val="008501F5"/>
    <w:rsid w:val="00854A76"/>
    <w:rsid w:val="00857789"/>
    <w:rsid w:val="0086107D"/>
    <w:rsid w:val="00864251"/>
    <w:rsid w:val="00867DDB"/>
    <w:rsid w:val="0087099C"/>
    <w:rsid w:val="00871FD5"/>
    <w:rsid w:val="00873AF0"/>
    <w:rsid w:val="00881213"/>
    <w:rsid w:val="008830CC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65FB"/>
    <w:rsid w:val="008C3B3C"/>
    <w:rsid w:val="008C4283"/>
    <w:rsid w:val="008C7033"/>
    <w:rsid w:val="008C74C3"/>
    <w:rsid w:val="008C7BF7"/>
    <w:rsid w:val="008D134F"/>
    <w:rsid w:val="008D3C75"/>
    <w:rsid w:val="008D6942"/>
    <w:rsid w:val="008E0E46"/>
    <w:rsid w:val="008E1DAE"/>
    <w:rsid w:val="008E295A"/>
    <w:rsid w:val="008F16BA"/>
    <w:rsid w:val="008F2D9A"/>
    <w:rsid w:val="008F44B8"/>
    <w:rsid w:val="008F504A"/>
    <w:rsid w:val="008F5C0B"/>
    <w:rsid w:val="0090092A"/>
    <w:rsid w:val="0090434E"/>
    <w:rsid w:val="009045EE"/>
    <w:rsid w:val="00904EBC"/>
    <w:rsid w:val="00906C3D"/>
    <w:rsid w:val="00923019"/>
    <w:rsid w:val="00924B63"/>
    <w:rsid w:val="0093487F"/>
    <w:rsid w:val="009363B6"/>
    <w:rsid w:val="00940F46"/>
    <w:rsid w:val="00941ECC"/>
    <w:rsid w:val="00941FFD"/>
    <w:rsid w:val="00945A5D"/>
    <w:rsid w:val="00946A0D"/>
    <w:rsid w:val="00955109"/>
    <w:rsid w:val="00956AD7"/>
    <w:rsid w:val="00963B67"/>
    <w:rsid w:val="00963CBA"/>
    <w:rsid w:val="00964682"/>
    <w:rsid w:val="009701ED"/>
    <w:rsid w:val="00972A01"/>
    <w:rsid w:val="00980BD7"/>
    <w:rsid w:val="00981A15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A7305"/>
    <w:rsid w:val="009C1217"/>
    <w:rsid w:val="009C37AC"/>
    <w:rsid w:val="009C6394"/>
    <w:rsid w:val="009C7A10"/>
    <w:rsid w:val="009D0BEC"/>
    <w:rsid w:val="009D0E2A"/>
    <w:rsid w:val="009D0F0E"/>
    <w:rsid w:val="009D146A"/>
    <w:rsid w:val="009D1AAE"/>
    <w:rsid w:val="009D634E"/>
    <w:rsid w:val="009E1560"/>
    <w:rsid w:val="009E321A"/>
    <w:rsid w:val="009F0F06"/>
    <w:rsid w:val="009F1220"/>
    <w:rsid w:val="009F4FC5"/>
    <w:rsid w:val="00A01249"/>
    <w:rsid w:val="00A0152E"/>
    <w:rsid w:val="00A1255A"/>
    <w:rsid w:val="00A12B58"/>
    <w:rsid w:val="00A1427D"/>
    <w:rsid w:val="00A17434"/>
    <w:rsid w:val="00A2204D"/>
    <w:rsid w:val="00A235F1"/>
    <w:rsid w:val="00A23F62"/>
    <w:rsid w:val="00A34B00"/>
    <w:rsid w:val="00A34F51"/>
    <w:rsid w:val="00A3777A"/>
    <w:rsid w:val="00A378DF"/>
    <w:rsid w:val="00A44269"/>
    <w:rsid w:val="00A50077"/>
    <w:rsid w:val="00A54CA8"/>
    <w:rsid w:val="00A60196"/>
    <w:rsid w:val="00A6199C"/>
    <w:rsid w:val="00A622AF"/>
    <w:rsid w:val="00A65F4A"/>
    <w:rsid w:val="00A66636"/>
    <w:rsid w:val="00A6759D"/>
    <w:rsid w:val="00A7223B"/>
    <w:rsid w:val="00A72F22"/>
    <w:rsid w:val="00A73472"/>
    <w:rsid w:val="00A73B68"/>
    <w:rsid w:val="00A744D7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902D6"/>
    <w:rsid w:val="00A94705"/>
    <w:rsid w:val="00AA1D9A"/>
    <w:rsid w:val="00AA32EB"/>
    <w:rsid w:val="00AB1DA6"/>
    <w:rsid w:val="00AB382F"/>
    <w:rsid w:val="00AB4CF1"/>
    <w:rsid w:val="00AD1151"/>
    <w:rsid w:val="00AD34EE"/>
    <w:rsid w:val="00AD5478"/>
    <w:rsid w:val="00AD7C88"/>
    <w:rsid w:val="00AE23DC"/>
    <w:rsid w:val="00AE3D48"/>
    <w:rsid w:val="00AE45DE"/>
    <w:rsid w:val="00AF0878"/>
    <w:rsid w:val="00AF2F9D"/>
    <w:rsid w:val="00AF4797"/>
    <w:rsid w:val="00AF6710"/>
    <w:rsid w:val="00B013E6"/>
    <w:rsid w:val="00B04D66"/>
    <w:rsid w:val="00B060BA"/>
    <w:rsid w:val="00B06AAF"/>
    <w:rsid w:val="00B10C19"/>
    <w:rsid w:val="00B1157C"/>
    <w:rsid w:val="00B14DBB"/>
    <w:rsid w:val="00B1501F"/>
    <w:rsid w:val="00B22971"/>
    <w:rsid w:val="00B26710"/>
    <w:rsid w:val="00B26B3C"/>
    <w:rsid w:val="00B30179"/>
    <w:rsid w:val="00B304E1"/>
    <w:rsid w:val="00B318C5"/>
    <w:rsid w:val="00B328C0"/>
    <w:rsid w:val="00B32E29"/>
    <w:rsid w:val="00B3317B"/>
    <w:rsid w:val="00B33735"/>
    <w:rsid w:val="00B41384"/>
    <w:rsid w:val="00B414D3"/>
    <w:rsid w:val="00B4398E"/>
    <w:rsid w:val="00B45BCD"/>
    <w:rsid w:val="00B5392B"/>
    <w:rsid w:val="00B666B2"/>
    <w:rsid w:val="00B7144E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96260"/>
    <w:rsid w:val="00B9702C"/>
    <w:rsid w:val="00BB176D"/>
    <w:rsid w:val="00BB3B28"/>
    <w:rsid w:val="00BC74E9"/>
    <w:rsid w:val="00BD2077"/>
    <w:rsid w:val="00BE1FF8"/>
    <w:rsid w:val="00BE382C"/>
    <w:rsid w:val="00BE4448"/>
    <w:rsid w:val="00BE4582"/>
    <w:rsid w:val="00BE50CA"/>
    <w:rsid w:val="00BE618E"/>
    <w:rsid w:val="00BF09CE"/>
    <w:rsid w:val="00C0263F"/>
    <w:rsid w:val="00C03B44"/>
    <w:rsid w:val="00C05987"/>
    <w:rsid w:val="00C10A0B"/>
    <w:rsid w:val="00C13A85"/>
    <w:rsid w:val="00C14B0B"/>
    <w:rsid w:val="00C17563"/>
    <w:rsid w:val="00C217D5"/>
    <w:rsid w:val="00C218A4"/>
    <w:rsid w:val="00C31519"/>
    <w:rsid w:val="00C3515A"/>
    <w:rsid w:val="00C36D37"/>
    <w:rsid w:val="00C463DD"/>
    <w:rsid w:val="00C46D5B"/>
    <w:rsid w:val="00C537D5"/>
    <w:rsid w:val="00C62307"/>
    <w:rsid w:val="00C62F76"/>
    <w:rsid w:val="00C66D78"/>
    <w:rsid w:val="00C730AF"/>
    <w:rsid w:val="00C737DA"/>
    <w:rsid w:val="00C745C3"/>
    <w:rsid w:val="00C81212"/>
    <w:rsid w:val="00C84FF1"/>
    <w:rsid w:val="00C9055D"/>
    <w:rsid w:val="00C91180"/>
    <w:rsid w:val="00C93C11"/>
    <w:rsid w:val="00C971F6"/>
    <w:rsid w:val="00CA049C"/>
    <w:rsid w:val="00CA2130"/>
    <w:rsid w:val="00CA381C"/>
    <w:rsid w:val="00CA74D3"/>
    <w:rsid w:val="00CB0187"/>
    <w:rsid w:val="00CB2158"/>
    <w:rsid w:val="00CB3CEA"/>
    <w:rsid w:val="00CB6380"/>
    <w:rsid w:val="00CC4CA6"/>
    <w:rsid w:val="00CD0009"/>
    <w:rsid w:val="00CD2CE2"/>
    <w:rsid w:val="00CD30EE"/>
    <w:rsid w:val="00CD3225"/>
    <w:rsid w:val="00CD35E8"/>
    <w:rsid w:val="00CE09DE"/>
    <w:rsid w:val="00CE0DE9"/>
    <w:rsid w:val="00CE33D5"/>
    <w:rsid w:val="00CE4083"/>
    <w:rsid w:val="00CE46BA"/>
    <w:rsid w:val="00CE4A8F"/>
    <w:rsid w:val="00CE74ED"/>
    <w:rsid w:val="00CF4FE1"/>
    <w:rsid w:val="00CF6F32"/>
    <w:rsid w:val="00CF778D"/>
    <w:rsid w:val="00D053F5"/>
    <w:rsid w:val="00D05BBA"/>
    <w:rsid w:val="00D0631B"/>
    <w:rsid w:val="00D06C3A"/>
    <w:rsid w:val="00D164BA"/>
    <w:rsid w:val="00D16C2F"/>
    <w:rsid w:val="00D2031B"/>
    <w:rsid w:val="00D25E8C"/>
    <w:rsid w:val="00D25FE2"/>
    <w:rsid w:val="00D27E89"/>
    <w:rsid w:val="00D37E80"/>
    <w:rsid w:val="00D40B76"/>
    <w:rsid w:val="00D4313C"/>
    <w:rsid w:val="00D43252"/>
    <w:rsid w:val="00D46231"/>
    <w:rsid w:val="00D477C4"/>
    <w:rsid w:val="00D50DF8"/>
    <w:rsid w:val="00D5409C"/>
    <w:rsid w:val="00D57C13"/>
    <w:rsid w:val="00D57FD9"/>
    <w:rsid w:val="00D610C1"/>
    <w:rsid w:val="00D6123A"/>
    <w:rsid w:val="00D658FA"/>
    <w:rsid w:val="00D66588"/>
    <w:rsid w:val="00D730E3"/>
    <w:rsid w:val="00D73803"/>
    <w:rsid w:val="00D753D8"/>
    <w:rsid w:val="00D80B70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7267"/>
    <w:rsid w:val="00DF0A4D"/>
    <w:rsid w:val="00DF0F09"/>
    <w:rsid w:val="00DF3039"/>
    <w:rsid w:val="00DF3A04"/>
    <w:rsid w:val="00DF4518"/>
    <w:rsid w:val="00DF51FB"/>
    <w:rsid w:val="00DF69A6"/>
    <w:rsid w:val="00E06A5F"/>
    <w:rsid w:val="00E130AB"/>
    <w:rsid w:val="00E1679E"/>
    <w:rsid w:val="00E17B79"/>
    <w:rsid w:val="00E20FBA"/>
    <w:rsid w:val="00E239A0"/>
    <w:rsid w:val="00E26039"/>
    <w:rsid w:val="00E26CA2"/>
    <w:rsid w:val="00E3141C"/>
    <w:rsid w:val="00E33D6E"/>
    <w:rsid w:val="00E34E58"/>
    <w:rsid w:val="00E3677E"/>
    <w:rsid w:val="00E36838"/>
    <w:rsid w:val="00E369EE"/>
    <w:rsid w:val="00E36C10"/>
    <w:rsid w:val="00E40B76"/>
    <w:rsid w:val="00E40D7C"/>
    <w:rsid w:val="00E42202"/>
    <w:rsid w:val="00E422B7"/>
    <w:rsid w:val="00E42461"/>
    <w:rsid w:val="00E4443D"/>
    <w:rsid w:val="00E52EB0"/>
    <w:rsid w:val="00E54352"/>
    <w:rsid w:val="00E5644E"/>
    <w:rsid w:val="00E5691C"/>
    <w:rsid w:val="00E56B35"/>
    <w:rsid w:val="00E60903"/>
    <w:rsid w:val="00E631BA"/>
    <w:rsid w:val="00E631FE"/>
    <w:rsid w:val="00E63481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2F1B"/>
    <w:rsid w:val="00EB3B6D"/>
    <w:rsid w:val="00EB4C06"/>
    <w:rsid w:val="00EB51D5"/>
    <w:rsid w:val="00EB65EF"/>
    <w:rsid w:val="00EB6832"/>
    <w:rsid w:val="00EB71BA"/>
    <w:rsid w:val="00EB798F"/>
    <w:rsid w:val="00EC14E9"/>
    <w:rsid w:val="00EC1F27"/>
    <w:rsid w:val="00EC271A"/>
    <w:rsid w:val="00EC5E8C"/>
    <w:rsid w:val="00EC6BFD"/>
    <w:rsid w:val="00EC755A"/>
    <w:rsid w:val="00ED1CD6"/>
    <w:rsid w:val="00ED3508"/>
    <w:rsid w:val="00ED3F6F"/>
    <w:rsid w:val="00ED769C"/>
    <w:rsid w:val="00ED7A2A"/>
    <w:rsid w:val="00EE2966"/>
    <w:rsid w:val="00EE4D59"/>
    <w:rsid w:val="00EE73C3"/>
    <w:rsid w:val="00EF1D7F"/>
    <w:rsid w:val="00EF4AAC"/>
    <w:rsid w:val="00EF5645"/>
    <w:rsid w:val="00F01C57"/>
    <w:rsid w:val="00F03FA2"/>
    <w:rsid w:val="00F05283"/>
    <w:rsid w:val="00F07537"/>
    <w:rsid w:val="00F07E12"/>
    <w:rsid w:val="00F1200D"/>
    <w:rsid w:val="00F21A22"/>
    <w:rsid w:val="00F22D71"/>
    <w:rsid w:val="00F257D1"/>
    <w:rsid w:val="00F30A8A"/>
    <w:rsid w:val="00F34267"/>
    <w:rsid w:val="00F3574D"/>
    <w:rsid w:val="00F40295"/>
    <w:rsid w:val="00F40D33"/>
    <w:rsid w:val="00F40E75"/>
    <w:rsid w:val="00F4111B"/>
    <w:rsid w:val="00F412D3"/>
    <w:rsid w:val="00F444E3"/>
    <w:rsid w:val="00F5087E"/>
    <w:rsid w:val="00F51BAB"/>
    <w:rsid w:val="00F535BE"/>
    <w:rsid w:val="00F54674"/>
    <w:rsid w:val="00F56336"/>
    <w:rsid w:val="00F5743B"/>
    <w:rsid w:val="00F64C95"/>
    <w:rsid w:val="00F70D66"/>
    <w:rsid w:val="00F75E96"/>
    <w:rsid w:val="00F875B0"/>
    <w:rsid w:val="00F933C2"/>
    <w:rsid w:val="00FA00A0"/>
    <w:rsid w:val="00FA032F"/>
    <w:rsid w:val="00FA3FB7"/>
    <w:rsid w:val="00FB23CD"/>
    <w:rsid w:val="00FB5A37"/>
    <w:rsid w:val="00FB744D"/>
    <w:rsid w:val="00FB7793"/>
    <w:rsid w:val="00FC1128"/>
    <w:rsid w:val="00FC18AA"/>
    <w:rsid w:val="00FC215C"/>
    <w:rsid w:val="00FC68B7"/>
    <w:rsid w:val="00FD3C5D"/>
    <w:rsid w:val="00FD3E70"/>
    <w:rsid w:val="00FD677D"/>
    <w:rsid w:val="00FD6B2B"/>
    <w:rsid w:val="00FE3EEA"/>
    <w:rsid w:val="00FF03BB"/>
    <w:rsid w:val="00FF071A"/>
    <w:rsid w:val="00FF2D01"/>
    <w:rsid w:val="00FF2ED8"/>
    <w:rsid w:val="00FF51FB"/>
    <w:rsid w:val="00FF67F6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E4042"/>
  <w15:docId w15:val="{003AA85F-5C3C-4185-A8C3-F213E366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E7B0-FC7A-486D-895E-355B0FC6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07AD2-092E-4ABD-ABD7-F67503FA1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AB4B9-7EE2-4222-84E7-CA0C7EDD7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10039D-DA44-4BEE-BF85-858D1455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22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11</cp:revision>
  <cp:lastPrinted>2020-11-10T13:17:00Z</cp:lastPrinted>
  <dcterms:created xsi:type="dcterms:W3CDTF">2020-11-10T13:19:00Z</dcterms:created>
  <dcterms:modified xsi:type="dcterms:W3CDTF">2020-11-11T08:10:00Z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</Properties>
</file>