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DF6055" w:rsidRPr="00ED773C" w14:paraId="2F635E2B" w14:textId="77777777" w:rsidTr="000216CC">
        <w:trPr>
          <w:trHeight w:val="851"/>
        </w:trPr>
        <w:tc>
          <w:tcPr>
            <w:tcW w:w="1259" w:type="dxa"/>
            <w:tcBorders>
              <w:top w:val="nil"/>
              <w:left w:val="nil"/>
              <w:bottom w:val="single" w:sz="4" w:space="0" w:color="auto"/>
              <w:right w:val="nil"/>
            </w:tcBorders>
            <w:shd w:val="clear" w:color="auto" w:fill="auto"/>
          </w:tcPr>
          <w:p w14:paraId="17D9D754" w14:textId="77777777" w:rsidR="003003A7" w:rsidRPr="00DF6055" w:rsidRDefault="003003A7" w:rsidP="003003A7">
            <w:pPr>
              <w:spacing w:after="80" w:line="340" w:lineRule="exact"/>
            </w:pPr>
          </w:p>
        </w:tc>
        <w:tc>
          <w:tcPr>
            <w:tcW w:w="2236" w:type="dxa"/>
            <w:tcBorders>
              <w:top w:val="nil"/>
              <w:left w:val="nil"/>
              <w:bottom w:val="single" w:sz="4" w:space="0" w:color="auto"/>
              <w:right w:val="nil"/>
            </w:tcBorders>
            <w:shd w:val="clear" w:color="auto" w:fill="auto"/>
            <w:vAlign w:val="bottom"/>
          </w:tcPr>
          <w:p w14:paraId="1B268031" w14:textId="77777777" w:rsidR="003003A7" w:rsidRPr="00DF6055" w:rsidRDefault="003003A7" w:rsidP="003003A7">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2F10A700" w14:textId="41549D29" w:rsidR="003003A7" w:rsidRPr="00DF6055" w:rsidRDefault="003003A7" w:rsidP="003003A7">
            <w:pPr>
              <w:jc w:val="right"/>
              <w:rPr>
                <w:b/>
                <w:sz w:val="40"/>
                <w:szCs w:val="40"/>
                <w:lang w:val="fr-FR"/>
              </w:rPr>
            </w:pPr>
            <w:r w:rsidRPr="00DF6055">
              <w:rPr>
                <w:b/>
                <w:sz w:val="40"/>
                <w:szCs w:val="40"/>
                <w:lang w:val="fr-FR"/>
              </w:rPr>
              <w:t>UN/SCE</w:t>
            </w:r>
            <w:r w:rsidR="009E7EDE" w:rsidRPr="00DF6055">
              <w:rPr>
                <w:b/>
                <w:sz w:val="40"/>
                <w:szCs w:val="40"/>
                <w:lang w:val="fr-FR"/>
              </w:rPr>
              <w:t>TDG</w:t>
            </w:r>
            <w:r w:rsidRPr="00DF6055">
              <w:rPr>
                <w:b/>
                <w:sz w:val="40"/>
                <w:szCs w:val="40"/>
                <w:lang w:val="fr-FR"/>
              </w:rPr>
              <w:t>/</w:t>
            </w:r>
            <w:r w:rsidR="009E7EDE" w:rsidRPr="00DF6055">
              <w:rPr>
                <w:b/>
                <w:sz w:val="40"/>
                <w:szCs w:val="40"/>
                <w:lang w:val="fr-FR"/>
              </w:rPr>
              <w:t>57</w:t>
            </w:r>
            <w:r w:rsidRPr="00DF6055">
              <w:rPr>
                <w:b/>
                <w:sz w:val="40"/>
                <w:szCs w:val="40"/>
                <w:lang w:val="fr-FR"/>
              </w:rPr>
              <w:t>/INF.</w:t>
            </w:r>
            <w:r w:rsidR="00C252A7">
              <w:rPr>
                <w:b/>
                <w:sz w:val="40"/>
                <w:szCs w:val="40"/>
                <w:lang w:val="fr-FR"/>
              </w:rPr>
              <w:t>1</w:t>
            </w:r>
            <w:r w:rsidR="00001582">
              <w:rPr>
                <w:b/>
                <w:sz w:val="40"/>
                <w:szCs w:val="40"/>
                <w:lang w:val="fr-FR"/>
              </w:rPr>
              <w:t>7</w:t>
            </w:r>
          </w:p>
          <w:p w14:paraId="6A44E22F" w14:textId="25F0ED71" w:rsidR="009E7EDE" w:rsidRPr="00DF6055" w:rsidRDefault="009E7EDE" w:rsidP="003003A7">
            <w:pPr>
              <w:jc w:val="right"/>
              <w:rPr>
                <w:b/>
                <w:sz w:val="40"/>
                <w:szCs w:val="40"/>
                <w:lang w:val="fr-FR"/>
              </w:rPr>
            </w:pPr>
            <w:r w:rsidRPr="00DF6055">
              <w:rPr>
                <w:b/>
                <w:sz w:val="40"/>
                <w:szCs w:val="40"/>
                <w:lang w:val="fr-FR"/>
              </w:rPr>
              <w:t>UN/SCEGHS/39/INF.</w:t>
            </w:r>
            <w:r w:rsidR="00C252A7">
              <w:rPr>
                <w:b/>
                <w:sz w:val="40"/>
                <w:szCs w:val="40"/>
                <w:lang w:val="fr-FR"/>
              </w:rPr>
              <w:t>1</w:t>
            </w:r>
            <w:r w:rsidR="00001582">
              <w:rPr>
                <w:b/>
                <w:sz w:val="40"/>
                <w:szCs w:val="40"/>
                <w:lang w:val="fr-FR"/>
              </w:rPr>
              <w:t>4</w:t>
            </w:r>
          </w:p>
          <w:p w14:paraId="2CE3849E" w14:textId="77777777" w:rsidR="003003A7" w:rsidRPr="00DF6055" w:rsidRDefault="003003A7" w:rsidP="003003A7">
            <w:pPr>
              <w:jc w:val="right"/>
              <w:rPr>
                <w:lang w:val="fr-FR"/>
              </w:rPr>
            </w:pPr>
          </w:p>
        </w:tc>
      </w:tr>
    </w:tbl>
    <w:tbl>
      <w:tblPr>
        <w:tblW w:w="9645" w:type="dxa"/>
        <w:tblInd w:w="108" w:type="dxa"/>
        <w:tblLayout w:type="fixed"/>
        <w:tblLook w:val="04A0" w:firstRow="1" w:lastRow="0" w:firstColumn="1" w:lastColumn="0" w:noHBand="0" w:noVBand="1"/>
      </w:tblPr>
      <w:tblGrid>
        <w:gridCol w:w="4652"/>
        <w:gridCol w:w="4993"/>
      </w:tblGrid>
      <w:tr w:rsidR="00DF6055" w:rsidRPr="00DF6055" w14:paraId="45A25DD4" w14:textId="77777777" w:rsidTr="00360D5D">
        <w:tc>
          <w:tcPr>
            <w:tcW w:w="9645" w:type="dxa"/>
            <w:gridSpan w:val="2"/>
            <w:tcMar>
              <w:top w:w="142" w:type="dxa"/>
              <w:left w:w="108" w:type="dxa"/>
              <w:bottom w:w="142" w:type="dxa"/>
              <w:right w:w="108" w:type="dxa"/>
            </w:tcMar>
          </w:tcPr>
          <w:p w14:paraId="15CBC71D" w14:textId="1A871F52" w:rsidR="0039115F" w:rsidRPr="00DF6055" w:rsidRDefault="0039115F" w:rsidP="00AB3FD7">
            <w:pPr>
              <w:tabs>
                <w:tab w:val="right" w:pos="9214"/>
              </w:tabs>
            </w:pPr>
            <w:r w:rsidRPr="00DF6055">
              <w:rPr>
                <w:b/>
                <w:sz w:val="24"/>
                <w:szCs w:val="24"/>
              </w:rPr>
              <w:t>Committee of Experts on the Transport of Dangerous Goods</w:t>
            </w:r>
            <w:r w:rsidRPr="00DF6055">
              <w:rPr>
                <w:b/>
                <w:sz w:val="24"/>
                <w:szCs w:val="24"/>
              </w:rPr>
              <w:tab/>
            </w:r>
            <w:r w:rsidRPr="00DF6055">
              <w:rPr>
                <w:b/>
                <w:sz w:val="24"/>
                <w:szCs w:val="24"/>
              </w:rPr>
              <w:br/>
              <w:t>and on the Globally Harmonized System of Classification</w:t>
            </w:r>
            <w:r w:rsidRPr="00DF6055">
              <w:rPr>
                <w:b/>
                <w:sz w:val="24"/>
                <w:szCs w:val="24"/>
              </w:rPr>
              <w:br/>
              <w:t>and Labelling of Chemicals</w:t>
            </w:r>
            <w:r w:rsidRPr="00DF6055">
              <w:rPr>
                <w:b/>
              </w:rPr>
              <w:tab/>
            </w:r>
            <w:r w:rsidR="003D6FE1">
              <w:rPr>
                <w:b/>
              </w:rPr>
              <w:t>4</w:t>
            </w:r>
            <w:r w:rsidRPr="00DF6055">
              <w:rPr>
                <w:b/>
              </w:rPr>
              <w:t xml:space="preserve"> </w:t>
            </w:r>
            <w:r w:rsidR="00E502D7">
              <w:rPr>
                <w:b/>
              </w:rPr>
              <w:t xml:space="preserve">September </w:t>
            </w:r>
            <w:r w:rsidRPr="00DF6055">
              <w:rPr>
                <w:b/>
              </w:rPr>
              <w:t>2020</w:t>
            </w:r>
          </w:p>
        </w:tc>
      </w:tr>
      <w:tr w:rsidR="00DF6055" w:rsidRPr="00DF6055" w14:paraId="0DECC91D" w14:textId="77777777" w:rsidTr="00360D5D">
        <w:tc>
          <w:tcPr>
            <w:tcW w:w="4652" w:type="dxa"/>
            <w:tcMar>
              <w:top w:w="57" w:type="dxa"/>
              <w:left w:w="108" w:type="dxa"/>
              <w:bottom w:w="0" w:type="dxa"/>
              <w:right w:w="108" w:type="dxa"/>
            </w:tcMar>
            <w:vAlign w:val="center"/>
          </w:tcPr>
          <w:p w14:paraId="00F673FF" w14:textId="77777777" w:rsidR="0039115F" w:rsidRPr="00DF6055" w:rsidRDefault="0039115F" w:rsidP="00360D5D">
            <w:pPr>
              <w:spacing w:before="120"/>
              <w:rPr>
                <w:b/>
              </w:rPr>
            </w:pPr>
            <w:r w:rsidRPr="00DF6055">
              <w:rPr>
                <w:b/>
              </w:rPr>
              <w:t xml:space="preserve">Sub-Committee of Experts on the </w:t>
            </w:r>
            <w:r w:rsidRPr="00DF6055">
              <w:rPr>
                <w:b/>
              </w:rPr>
              <w:br/>
              <w:t xml:space="preserve">Transport of Dangerous Goods </w:t>
            </w:r>
          </w:p>
        </w:tc>
        <w:tc>
          <w:tcPr>
            <w:tcW w:w="4993" w:type="dxa"/>
            <w:tcMar>
              <w:top w:w="57" w:type="dxa"/>
              <w:left w:w="108" w:type="dxa"/>
              <w:bottom w:w="0" w:type="dxa"/>
              <w:right w:w="108" w:type="dxa"/>
            </w:tcMar>
            <w:vAlign w:val="center"/>
          </w:tcPr>
          <w:p w14:paraId="09CCB949" w14:textId="77777777" w:rsidR="0039115F" w:rsidRPr="00DF6055" w:rsidRDefault="0039115F" w:rsidP="00360D5D">
            <w:pPr>
              <w:spacing w:before="120"/>
              <w:rPr>
                <w:b/>
              </w:rPr>
            </w:pPr>
            <w:r w:rsidRPr="00DF6055">
              <w:rPr>
                <w:b/>
              </w:rPr>
              <w:t>Sub-Committee of Experts on the Globally Harmonized System of Classification and Labelling of Chemicals</w:t>
            </w:r>
          </w:p>
        </w:tc>
      </w:tr>
      <w:tr w:rsidR="00DF6055" w:rsidRPr="00DF6055" w14:paraId="5787C3D9" w14:textId="77777777" w:rsidTr="00360D5D">
        <w:tc>
          <w:tcPr>
            <w:tcW w:w="4652" w:type="dxa"/>
            <w:tcMar>
              <w:top w:w="57" w:type="dxa"/>
              <w:left w:w="108" w:type="dxa"/>
              <w:bottom w:w="0" w:type="dxa"/>
              <w:right w:w="108" w:type="dxa"/>
            </w:tcMar>
          </w:tcPr>
          <w:p w14:paraId="4FEC273A" w14:textId="77777777" w:rsidR="0039115F" w:rsidRPr="00E502D7" w:rsidRDefault="0039115F" w:rsidP="00360D5D">
            <w:pPr>
              <w:spacing w:before="120"/>
              <w:ind w:left="34" w:hanging="34"/>
              <w:rPr>
                <w:b/>
              </w:rPr>
            </w:pPr>
            <w:r w:rsidRPr="00E502D7">
              <w:rPr>
                <w:b/>
              </w:rPr>
              <w:t>Fifty-seventh session</w:t>
            </w:r>
          </w:p>
        </w:tc>
        <w:tc>
          <w:tcPr>
            <w:tcW w:w="4993" w:type="dxa"/>
            <w:tcMar>
              <w:top w:w="57" w:type="dxa"/>
              <w:left w:w="108" w:type="dxa"/>
              <w:bottom w:w="0" w:type="dxa"/>
              <w:right w:w="108" w:type="dxa"/>
            </w:tcMar>
          </w:tcPr>
          <w:p w14:paraId="31A9BB6B" w14:textId="77777777" w:rsidR="0039115F" w:rsidRPr="00DF6055" w:rsidRDefault="0039115F" w:rsidP="00360D5D">
            <w:pPr>
              <w:spacing w:before="120"/>
              <w:ind w:left="34" w:hanging="34"/>
              <w:rPr>
                <w:b/>
              </w:rPr>
            </w:pPr>
            <w:r w:rsidRPr="00DF6055">
              <w:rPr>
                <w:b/>
              </w:rPr>
              <w:t xml:space="preserve">Thirty-ninth session </w:t>
            </w:r>
          </w:p>
        </w:tc>
      </w:tr>
      <w:tr w:rsidR="00DF6055" w:rsidRPr="00DF6055" w14:paraId="34779490" w14:textId="77777777" w:rsidTr="00360D5D">
        <w:tc>
          <w:tcPr>
            <w:tcW w:w="4652" w:type="dxa"/>
            <w:tcMar>
              <w:top w:w="28" w:type="dxa"/>
              <w:left w:w="108" w:type="dxa"/>
              <w:bottom w:w="0" w:type="dxa"/>
              <w:right w:w="108" w:type="dxa"/>
            </w:tcMar>
          </w:tcPr>
          <w:p w14:paraId="0E713CB8" w14:textId="38B11C79" w:rsidR="0039115F" w:rsidRPr="00E502D7" w:rsidRDefault="0039115F" w:rsidP="0039115F">
            <w:r w:rsidRPr="00E502D7">
              <w:t xml:space="preserve">Geneva, </w:t>
            </w:r>
            <w:r w:rsidR="00E502D7" w:rsidRPr="00E502D7">
              <w:t>30 November-8 December 2020</w:t>
            </w:r>
          </w:p>
          <w:p w14:paraId="2D0683FC" w14:textId="1254CA34" w:rsidR="007E1BE6" w:rsidRPr="00E502D7" w:rsidRDefault="007E1BE6" w:rsidP="007E1BE6">
            <w:pPr>
              <w:ind w:right="57"/>
              <w:jc w:val="both"/>
            </w:pPr>
            <w:r w:rsidRPr="00E502D7">
              <w:t>Item 1</w:t>
            </w:r>
            <w:r w:rsidR="002A3C44" w:rsidRPr="00E502D7">
              <w:t>1</w:t>
            </w:r>
            <w:r w:rsidRPr="00E502D7">
              <w:t xml:space="preserve"> (a) of the provisional agenda</w:t>
            </w:r>
          </w:p>
          <w:p w14:paraId="26868EA5" w14:textId="6E021656" w:rsidR="0039115F" w:rsidRPr="00E502D7" w:rsidRDefault="007E1BE6" w:rsidP="007E1BE6">
            <w:pPr>
              <w:rPr>
                <w:b/>
                <w:bCs/>
              </w:rPr>
            </w:pPr>
            <w:r w:rsidRPr="00E502D7">
              <w:rPr>
                <w:b/>
              </w:rPr>
              <w:t xml:space="preserve">Issues relating to the Globally Harmonized System </w:t>
            </w:r>
            <w:r w:rsidRPr="00E502D7">
              <w:rPr>
                <w:b/>
              </w:rPr>
              <w:br/>
              <w:t xml:space="preserve">of Classification and Labelling of Chemicals: </w:t>
            </w:r>
            <w:r w:rsidRPr="00E502D7">
              <w:rPr>
                <w:b/>
              </w:rPr>
              <w:br/>
              <w:t>review of Chapter 2.1</w:t>
            </w:r>
          </w:p>
        </w:tc>
        <w:tc>
          <w:tcPr>
            <w:tcW w:w="4993" w:type="dxa"/>
            <w:tcMar>
              <w:top w:w="28" w:type="dxa"/>
              <w:left w:w="108" w:type="dxa"/>
              <w:bottom w:w="0" w:type="dxa"/>
              <w:right w:w="108" w:type="dxa"/>
            </w:tcMar>
          </w:tcPr>
          <w:p w14:paraId="131B1B06" w14:textId="4A9CE3C1" w:rsidR="0039115F" w:rsidRPr="00E502D7" w:rsidRDefault="0039115F" w:rsidP="0039115F">
            <w:r w:rsidRPr="00E502D7">
              <w:t xml:space="preserve">Geneva, </w:t>
            </w:r>
            <w:r w:rsidR="00E502D7" w:rsidRPr="00E502D7">
              <w:t>9-11</w:t>
            </w:r>
            <w:r w:rsidRPr="00E502D7">
              <w:t xml:space="preserve"> </w:t>
            </w:r>
            <w:r w:rsidR="00E502D7" w:rsidRPr="00E502D7">
              <w:t xml:space="preserve">December </w:t>
            </w:r>
            <w:r w:rsidRPr="00E502D7">
              <w:t>2020</w:t>
            </w:r>
          </w:p>
          <w:p w14:paraId="11E868CF" w14:textId="717B38A8" w:rsidR="0039115F" w:rsidRPr="00E502D7" w:rsidRDefault="0039115F" w:rsidP="0039115F">
            <w:r w:rsidRPr="00E502D7">
              <w:t xml:space="preserve">Item </w:t>
            </w:r>
            <w:r w:rsidR="00E502D7" w:rsidRPr="00E502D7">
              <w:t>3</w:t>
            </w:r>
            <w:r w:rsidR="009E7EDE" w:rsidRPr="00E502D7">
              <w:t xml:space="preserve"> (b)</w:t>
            </w:r>
            <w:r w:rsidRPr="00E502D7">
              <w:t xml:space="preserve"> of the provisional agenda</w:t>
            </w:r>
          </w:p>
          <w:p w14:paraId="1C098672" w14:textId="6296EDA5" w:rsidR="0039115F" w:rsidRPr="00001582" w:rsidRDefault="009E7EDE" w:rsidP="0039115F">
            <w:pPr>
              <w:rPr>
                <w:b/>
                <w:bCs/>
                <w:highlight w:val="yellow"/>
              </w:rPr>
            </w:pPr>
            <w:r w:rsidRPr="00E502D7">
              <w:rPr>
                <w:b/>
                <w:bCs/>
              </w:rPr>
              <w:t>Classification criteria and related hazard communication: review of Chapter 2.1</w:t>
            </w:r>
          </w:p>
        </w:tc>
      </w:tr>
    </w:tbl>
    <w:p w14:paraId="18A450CA" w14:textId="791CBED0" w:rsidR="006B4518" w:rsidRPr="00156FF1" w:rsidRDefault="006B4518" w:rsidP="00156FF1">
      <w:pPr>
        <w:pStyle w:val="HChG"/>
      </w:pPr>
      <w:r w:rsidRPr="00156FF1">
        <w:tab/>
      </w:r>
      <w:r w:rsidRPr="00156FF1">
        <w:tab/>
      </w:r>
      <w:r w:rsidR="00156FF1" w:rsidRPr="00156FF1">
        <w:t>Consolidated version of the new GHS Chapter 2.1</w:t>
      </w:r>
    </w:p>
    <w:p w14:paraId="72BC1D89" w14:textId="26D1C651" w:rsidR="00055FF2" w:rsidRDefault="006B4518" w:rsidP="00DA7F19">
      <w:pPr>
        <w:pStyle w:val="H1G"/>
      </w:pPr>
      <w:r w:rsidRPr="00DF6055">
        <w:tab/>
      </w:r>
      <w:r w:rsidRPr="00DF6055">
        <w:tab/>
        <w:t xml:space="preserve">Transmitted by </w:t>
      </w:r>
      <w:r w:rsidR="00055FF2" w:rsidRPr="00DF6055">
        <w:t xml:space="preserve">the expert from </w:t>
      </w:r>
      <w:r w:rsidR="00E07C46" w:rsidRPr="00DF6055">
        <w:t>Sweden</w:t>
      </w:r>
    </w:p>
    <w:p w14:paraId="5F05E87E" w14:textId="791B354F" w:rsidR="003633B5" w:rsidRDefault="00001582" w:rsidP="003633B5">
      <w:pPr>
        <w:ind w:left="1134" w:right="1134"/>
        <w:jc w:val="both"/>
      </w:pPr>
      <w:r>
        <w:tab/>
        <w:t xml:space="preserve">This document contains the text of GHS Chapter 2.1 as amended in accordance with the proposals in </w:t>
      </w:r>
      <w:r w:rsidR="00027EB8">
        <w:t xml:space="preserve">documents </w:t>
      </w:r>
      <w:r>
        <w:t>ST/SG/AC.10/C.3/2020/2</w:t>
      </w:r>
      <w:r w:rsidR="00156FF1">
        <w:t>0</w:t>
      </w:r>
      <w:r>
        <w:t>-ST/SG/AC.10/C.4/2020/</w:t>
      </w:r>
      <w:r w:rsidR="00156FF1">
        <w:t>5</w:t>
      </w:r>
      <w:r>
        <w:t xml:space="preserve"> and ST/SG/AC.10/C.3/2020/2</w:t>
      </w:r>
      <w:r w:rsidR="00156FF1">
        <w:t>0</w:t>
      </w:r>
      <w:r>
        <w:t>/Add.1-ST/SG/AC.10/C.4/2020/</w:t>
      </w:r>
      <w:r w:rsidR="00156FF1">
        <w:t>5</w:t>
      </w:r>
      <w:r>
        <w:t>/Add.1</w:t>
      </w:r>
      <w:r w:rsidR="003633B5">
        <w:t xml:space="preserve">. The amendments proposed in </w:t>
      </w:r>
      <w:r w:rsidR="00027EB8">
        <w:t xml:space="preserve">document </w:t>
      </w:r>
      <w:r w:rsidR="003633B5">
        <w:t>ST/SG/AC.10/C.3/2020/2</w:t>
      </w:r>
      <w:r w:rsidR="00156FF1">
        <w:t>0</w:t>
      </w:r>
      <w:r w:rsidR="003633B5">
        <w:t>/Add.1-ST/SG/AC.10/C.4/2020/</w:t>
      </w:r>
      <w:r w:rsidR="00156FF1">
        <w:t>5</w:t>
      </w:r>
      <w:bookmarkStart w:id="0" w:name="_GoBack"/>
      <w:bookmarkEnd w:id="0"/>
      <w:r w:rsidR="003633B5">
        <w:t>/Add</w:t>
      </w:r>
      <w:r w:rsidR="006D7714">
        <w:t>.1</w:t>
      </w:r>
      <w:r w:rsidR="003633B5">
        <w:t xml:space="preserve"> are shown as follows:</w:t>
      </w:r>
    </w:p>
    <w:p w14:paraId="2EF616F8" w14:textId="1D8F583C" w:rsidR="003633B5" w:rsidRDefault="003633B5" w:rsidP="003633B5">
      <w:pPr>
        <w:ind w:left="1134" w:right="1134"/>
        <w:jc w:val="both"/>
      </w:pPr>
      <w:r>
        <w:t xml:space="preserve">- new text: </w:t>
      </w:r>
      <w:r w:rsidRPr="003633B5">
        <w:rPr>
          <w:b/>
          <w:bCs/>
          <w:u w:val="single"/>
        </w:rPr>
        <w:t>bold, underlined</w:t>
      </w:r>
    </w:p>
    <w:p w14:paraId="1F38B138" w14:textId="692894DD" w:rsidR="003633B5" w:rsidRDefault="003633B5" w:rsidP="003633B5">
      <w:pPr>
        <w:ind w:left="1134" w:right="1134"/>
        <w:jc w:val="both"/>
      </w:pPr>
      <w:r>
        <w:t xml:space="preserve">- deleted text: </w:t>
      </w:r>
      <w:r w:rsidRPr="003633B5">
        <w:rPr>
          <w:b/>
          <w:bCs/>
          <w:strike/>
        </w:rPr>
        <w:t xml:space="preserve">bold, </w:t>
      </w:r>
      <w:r>
        <w:rPr>
          <w:b/>
          <w:bCs/>
          <w:strike/>
        </w:rPr>
        <w:t>strikethrough</w:t>
      </w:r>
    </w:p>
    <w:p w14:paraId="1DC0853F" w14:textId="7DC4750F" w:rsidR="00001582" w:rsidRDefault="00001582">
      <w:pPr>
        <w:suppressAutoHyphens w:val="0"/>
        <w:spacing w:line="240" w:lineRule="auto"/>
      </w:pPr>
      <w:r>
        <w:br w:type="page"/>
      </w:r>
    </w:p>
    <w:p w14:paraId="0D79BF5D" w14:textId="3F9FEE9E" w:rsidR="00001582" w:rsidRDefault="00001582" w:rsidP="00001582">
      <w:pPr>
        <w:suppressAutoHyphens w:val="0"/>
        <w:spacing w:line="240" w:lineRule="auto"/>
        <w:ind w:left="1134" w:right="284"/>
        <w:jc w:val="center"/>
        <w:rPr>
          <w:b/>
          <w:sz w:val="28"/>
        </w:rPr>
      </w:pPr>
      <w:r>
        <w:rPr>
          <w:b/>
          <w:sz w:val="28"/>
        </w:rPr>
        <w:lastRenderedPageBreak/>
        <w:t>“CHAPTER 2.1</w:t>
      </w:r>
    </w:p>
    <w:p w14:paraId="12AF1BB2" w14:textId="77777777" w:rsidR="00001582" w:rsidRDefault="00001582" w:rsidP="00001582">
      <w:pPr>
        <w:suppressAutoHyphens w:val="0"/>
        <w:spacing w:line="240" w:lineRule="auto"/>
        <w:ind w:left="1134" w:right="284"/>
        <w:jc w:val="center"/>
        <w:rPr>
          <w:b/>
          <w:sz w:val="28"/>
        </w:rPr>
      </w:pPr>
      <w:r>
        <w:rPr>
          <w:b/>
          <w:sz w:val="28"/>
        </w:rPr>
        <w:t>EXPLOSIVES</w:t>
      </w:r>
    </w:p>
    <w:p w14:paraId="62C62506" w14:textId="77777777" w:rsidR="00001582" w:rsidRDefault="00001582" w:rsidP="00001582">
      <w:pPr>
        <w:suppressAutoHyphens w:val="0"/>
        <w:spacing w:line="240" w:lineRule="auto"/>
        <w:ind w:left="1134" w:right="284"/>
        <w:jc w:val="center"/>
      </w:pPr>
    </w:p>
    <w:p w14:paraId="6CF74CE6" w14:textId="77777777" w:rsidR="00001582" w:rsidRDefault="00001582" w:rsidP="00001582">
      <w:pPr>
        <w:spacing w:after="240" w:line="240" w:lineRule="auto"/>
        <w:ind w:left="1134" w:right="284"/>
        <w:jc w:val="both"/>
        <w:rPr>
          <w:b/>
        </w:rPr>
      </w:pPr>
      <w:r>
        <w:rPr>
          <w:b/>
        </w:rPr>
        <w:t>2.1.1</w:t>
      </w:r>
      <w:r>
        <w:rPr>
          <w:b/>
        </w:rPr>
        <w:tab/>
      </w:r>
      <w:r>
        <w:rPr>
          <w:b/>
        </w:rPr>
        <w:tab/>
        <w:t>Definitions and general considerations</w:t>
      </w:r>
    </w:p>
    <w:p w14:paraId="58C6B459" w14:textId="77777777" w:rsidR="00001582" w:rsidRDefault="00001582" w:rsidP="00001582">
      <w:pPr>
        <w:spacing w:after="240" w:line="240" w:lineRule="auto"/>
        <w:ind w:left="1134" w:right="284"/>
        <w:jc w:val="both"/>
      </w:pPr>
      <w:r>
        <w:t>2.1.1.1</w:t>
      </w:r>
      <w:r>
        <w:tab/>
      </w:r>
      <w:r>
        <w:tab/>
        <w:t>Definitions</w:t>
      </w:r>
    </w:p>
    <w:p w14:paraId="0B83F7CE" w14:textId="77777777" w:rsidR="00001582" w:rsidRDefault="00001582" w:rsidP="00001582">
      <w:pPr>
        <w:spacing w:after="240" w:line="240" w:lineRule="auto"/>
        <w:ind w:left="1134" w:right="284"/>
        <w:jc w:val="both"/>
        <w:rPr>
          <w:rFonts w:eastAsia="Calibri"/>
        </w:rPr>
      </w:pPr>
      <w:r>
        <w:rPr>
          <w:rFonts w:eastAsia="Calibri"/>
        </w:rPr>
        <w:t xml:space="preserve">An </w:t>
      </w:r>
      <w:r>
        <w:rPr>
          <w:rFonts w:eastAsia="Calibri"/>
          <w:i/>
        </w:rPr>
        <w:t>explosive substance or mixture</w:t>
      </w:r>
      <w:r>
        <w:rPr>
          <w:rFonts w:eastAsia="Calibri"/>
        </w:rPr>
        <w:t xml:space="preserve"> is a solid or liquid substance or mixture which is in itself capable by chemical reaction of producing gas at such a temperature and pressure and at such a speed as to cause damage to the surroundings. Pyrotechnic substances and mixtures are included even when they do not evolve gases.</w:t>
      </w:r>
    </w:p>
    <w:p w14:paraId="60C646F1" w14:textId="77777777" w:rsidR="00001582" w:rsidRDefault="00001582" w:rsidP="00001582">
      <w:pPr>
        <w:spacing w:after="240" w:line="240" w:lineRule="auto"/>
        <w:ind w:left="1134" w:right="284"/>
        <w:jc w:val="both"/>
        <w:rPr>
          <w:rFonts w:eastAsia="Calibri"/>
        </w:rPr>
      </w:pPr>
      <w:r>
        <w:rPr>
          <w:rFonts w:eastAsia="Calibri"/>
        </w:rPr>
        <w:t xml:space="preserve">A </w:t>
      </w:r>
      <w:r>
        <w:rPr>
          <w:rFonts w:eastAsia="Calibri"/>
          <w:i/>
        </w:rPr>
        <w:t>pyrotechnic substance or mixture</w:t>
      </w:r>
      <w:r>
        <w:rPr>
          <w:rFonts w:eastAsia="Calibri"/>
        </w:rPr>
        <w:t xml:space="preserve"> is a substance or mixture designed to produce an effect by heat, light, sound, gas or smoke or a combination of these as the result of non-detonative self-sustaining exothermic chemical reactions.</w:t>
      </w:r>
    </w:p>
    <w:p w14:paraId="319C72BA" w14:textId="77777777" w:rsidR="00001582" w:rsidRDefault="00001582" w:rsidP="00001582">
      <w:pPr>
        <w:spacing w:after="240" w:line="240" w:lineRule="auto"/>
        <w:ind w:left="1134" w:right="284"/>
        <w:jc w:val="both"/>
        <w:rPr>
          <w:rFonts w:eastAsia="Calibri"/>
        </w:rPr>
      </w:pPr>
      <w:r>
        <w:rPr>
          <w:rFonts w:eastAsia="Calibri"/>
        </w:rPr>
        <w:t xml:space="preserve">An </w:t>
      </w:r>
      <w:r>
        <w:rPr>
          <w:rFonts w:eastAsia="Calibri"/>
          <w:i/>
        </w:rPr>
        <w:t>explosive article</w:t>
      </w:r>
      <w:r>
        <w:rPr>
          <w:rFonts w:eastAsia="Calibri"/>
        </w:rPr>
        <w:t xml:space="preserve"> is an article containing one or more explosive substances or mixtures.</w:t>
      </w:r>
    </w:p>
    <w:p w14:paraId="59EA27FB" w14:textId="56DE3B99" w:rsidR="00001582" w:rsidRDefault="00001582" w:rsidP="00001582">
      <w:pPr>
        <w:spacing w:after="240" w:line="240" w:lineRule="auto"/>
        <w:ind w:left="1134" w:right="284"/>
        <w:jc w:val="both"/>
        <w:rPr>
          <w:rFonts w:eastAsiaTheme="minorHAnsi"/>
        </w:rPr>
      </w:pPr>
      <w:r>
        <w:rPr>
          <w:i/>
        </w:rPr>
        <w:t>Division</w:t>
      </w:r>
      <w:r>
        <w:t xml:space="preserve"> means the classification of an explosive substance, mixture or article according to Part I of the </w:t>
      </w:r>
      <w:r>
        <w:rPr>
          <w:i/>
        </w:rPr>
        <w:t>Manual of Tests and Criteria</w:t>
      </w:r>
      <w:r>
        <w:t xml:space="preserve"> and relates to it being in a certain configuration.</w:t>
      </w:r>
    </w:p>
    <w:p w14:paraId="09ED1AA6" w14:textId="77777777" w:rsidR="00001582" w:rsidRDefault="00001582" w:rsidP="00001582">
      <w:pPr>
        <w:spacing w:after="240" w:line="240" w:lineRule="auto"/>
        <w:ind w:left="1134" w:right="284"/>
        <w:jc w:val="both"/>
        <w:rPr>
          <w:rFonts w:eastAsia="Calibri"/>
        </w:rPr>
      </w:pPr>
      <w:r>
        <w:rPr>
          <w:rFonts w:eastAsia="Calibri"/>
          <w:i/>
        </w:rPr>
        <w:t>Primary packaging</w:t>
      </w:r>
      <w:r>
        <w:rPr>
          <w:rFonts w:eastAsia="Calibri"/>
        </w:rPr>
        <w:t xml:space="preserve"> means the minimum level of packaging</w:t>
      </w:r>
      <w:r>
        <w:rPr>
          <w:rFonts w:eastAsia="Calibri"/>
          <w:color w:val="7030A0"/>
        </w:rPr>
        <w:t xml:space="preserve"> </w:t>
      </w:r>
      <w:r>
        <w:rPr>
          <w:rFonts w:eastAsia="Calibri"/>
        </w:rPr>
        <w:t>of a configuration assigned to a division,</w:t>
      </w:r>
      <w:r>
        <w:rPr>
          <w:rFonts w:eastAsia="Calibri"/>
          <w:color w:val="C00000"/>
        </w:rPr>
        <w:t xml:space="preserve"> </w:t>
      </w:r>
      <w:r>
        <w:rPr>
          <w:rFonts w:eastAsia="Calibri"/>
        </w:rPr>
        <w:t>in which the explosive substance, mixture or article is intended to be retained until use.</w:t>
      </w:r>
    </w:p>
    <w:p w14:paraId="4AADC7EE" w14:textId="77777777" w:rsidR="00001582" w:rsidRDefault="00001582" w:rsidP="00001582">
      <w:pPr>
        <w:spacing w:after="240" w:line="240" w:lineRule="auto"/>
        <w:ind w:left="1134" w:right="284"/>
        <w:jc w:val="both"/>
      </w:pPr>
      <w:r>
        <w:rPr>
          <w:b/>
          <w:i/>
        </w:rPr>
        <w:t>NOTE:</w:t>
      </w:r>
      <w:r>
        <w:rPr>
          <w:i/>
        </w:rPr>
        <w:t xml:space="preserve"> Divisions are generally assigned for the purpose of transport and may be subject to further packaging specifications according to the UN Model Regulations to be valid.</w:t>
      </w:r>
    </w:p>
    <w:p w14:paraId="634EB054" w14:textId="77777777" w:rsidR="00001582" w:rsidRDefault="00001582" w:rsidP="00001582">
      <w:pPr>
        <w:spacing w:after="240" w:line="240" w:lineRule="auto"/>
        <w:ind w:left="1134" w:right="284"/>
        <w:jc w:val="both"/>
      </w:pPr>
      <w:r>
        <w:t>2.1.1.2</w:t>
      </w:r>
      <w:r>
        <w:tab/>
      </w:r>
      <w:r>
        <w:tab/>
        <w:t>Scope</w:t>
      </w:r>
    </w:p>
    <w:p w14:paraId="1B1AAFF3" w14:textId="77777777" w:rsidR="00001582" w:rsidRDefault="00001582" w:rsidP="00001582">
      <w:pPr>
        <w:spacing w:after="240" w:line="240" w:lineRule="auto"/>
        <w:ind w:left="1134" w:right="284"/>
        <w:jc w:val="both"/>
      </w:pPr>
      <w:r>
        <w:t>2.1.1.2.1</w:t>
      </w:r>
      <w:r>
        <w:tab/>
        <w:t>Except as provided in 2.1.1.2.2, the class of explosives comprises</w:t>
      </w:r>
    </w:p>
    <w:p w14:paraId="5289CCE1" w14:textId="77777777" w:rsidR="00001582" w:rsidRDefault="00001582" w:rsidP="00820C8B">
      <w:pPr>
        <w:spacing w:after="240"/>
        <w:ind w:left="2835" w:right="284" w:hanging="567"/>
        <w:jc w:val="both"/>
      </w:pPr>
      <w:r>
        <w:t>(a)</w:t>
      </w:r>
      <w:r>
        <w:tab/>
        <w:t>Explosive substances and mixtures;</w:t>
      </w:r>
    </w:p>
    <w:p w14:paraId="23BCA8CB" w14:textId="77777777" w:rsidR="00001582" w:rsidRDefault="00001582" w:rsidP="00820C8B">
      <w:pPr>
        <w:spacing w:after="240"/>
        <w:ind w:left="2835" w:right="284" w:hanging="567"/>
        <w:jc w:val="both"/>
      </w:pPr>
      <w:r>
        <w:t>(b)</w:t>
      </w:r>
      <w:r>
        <w:tab/>
        <w:t>Explosive articles, except devices containing explosive substances or mixtures in such quantity or of such a character that their inadvertent or accidental ignition or initiation shall not cause any effect external to the device either by projection, fire, smoke, heat or loud noise; and</w:t>
      </w:r>
    </w:p>
    <w:p w14:paraId="0F732807" w14:textId="77777777" w:rsidR="00001582" w:rsidRDefault="00001582" w:rsidP="00820C8B">
      <w:pPr>
        <w:spacing w:after="240"/>
        <w:ind w:left="2835" w:right="284" w:hanging="567"/>
        <w:jc w:val="both"/>
      </w:pPr>
      <w:r>
        <w:t>(c)</w:t>
      </w:r>
      <w:r>
        <w:tab/>
        <w:t>Substances, mixtures and articles not mentioned under (a) and (b) above which are manufactured with the view to producing a practical explosive or pyrotechnic effect.</w:t>
      </w:r>
    </w:p>
    <w:p w14:paraId="04E0D265" w14:textId="77777777" w:rsidR="00001582" w:rsidRDefault="00001582" w:rsidP="00001582">
      <w:pPr>
        <w:spacing w:after="240" w:line="240" w:lineRule="auto"/>
        <w:ind w:left="1134" w:right="284"/>
        <w:jc w:val="both"/>
      </w:pPr>
      <w:r>
        <w:t>2.1.1.2.2</w:t>
      </w:r>
      <w:r>
        <w:tab/>
        <w:t>The following substances, mixtures and articles are excluded from the class of explosives:</w:t>
      </w:r>
    </w:p>
    <w:p w14:paraId="15406F40" w14:textId="77777777" w:rsidR="00001582" w:rsidRDefault="00001582" w:rsidP="00820C8B">
      <w:pPr>
        <w:spacing w:after="240"/>
        <w:ind w:left="2835" w:right="284" w:hanging="567"/>
        <w:jc w:val="both"/>
      </w:pPr>
      <w:r>
        <w:t>(a)</w:t>
      </w:r>
      <w:r>
        <w:tab/>
        <w:t xml:space="preserve">Ammonium nitrate based emulsions, suspensions or gels which meet the criteria of Test series 8 of the </w:t>
      </w:r>
      <w:r w:rsidRPr="00820C8B">
        <w:rPr>
          <w:i/>
          <w:iCs/>
        </w:rPr>
        <w:t>Manual of Tests and Criteria</w:t>
      </w:r>
      <w:r>
        <w:t xml:space="preserve"> for classification as ANEs of Category 2 oxidizing liquids (Chapter 2.13) or Category 2 oxidizing solids (Chapter 2.14).</w:t>
      </w:r>
    </w:p>
    <w:p w14:paraId="55B903DE" w14:textId="77777777" w:rsidR="00001582" w:rsidRDefault="00001582" w:rsidP="00820C8B">
      <w:pPr>
        <w:spacing w:after="240"/>
        <w:ind w:left="2835" w:right="284" w:hanging="567"/>
        <w:jc w:val="both"/>
      </w:pPr>
      <w:r>
        <w:t>(b)</w:t>
      </w:r>
      <w:r>
        <w:tab/>
        <w:t>Substances and mixtures which meet the criteria for classification as desensitized explosives according to the criteria of Chapter 2.17.</w:t>
      </w:r>
    </w:p>
    <w:p w14:paraId="7821D34F" w14:textId="77777777" w:rsidR="00001582" w:rsidRDefault="00001582" w:rsidP="00820C8B">
      <w:pPr>
        <w:spacing w:after="240"/>
        <w:ind w:left="2835" w:right="284" w:hanging="567"/>
        <w:jc w:val="both"/>
      </w:pPr>
      <w:r>
        <w:t>(c)</w:t>
      </w:r>
      <w:r>
        <w:tab/>
        <w:t>Substances and mixtures which have not been manufactured with the view to producing, in themselves, an explosive or pyrotechnic effect and which:</w:t>
      </w:r>
    </w:p>
    <w:p w14:paraId="59E1C903" w14:textId="77777777" w:rsidR="00001582" w:rsidRDefault="00001582" w:rsidP="00820C8B">
      <w:pPr>
        <w:spacing w:after="240" w:line="240" w:lineRule="auto"/>
        <w:ind w:left="3402" w:right="284" w:hanging="567"/>
        <w:jc w:val="both"/>
      </w:pPr>
      <w:r>
        <w:t>(i)</w:t>
      </w:r>
      <w:r>
        <w:tab/>
        <w:t>are self-reactive substances and mixtures according to the criteria of Chapter 2.8; or</w:t>
      </w:r>
    </w:p>
    <w:p w14:paraId="26995F5D" w14:textId="77777777" w:rsidR="00001582" w:rsidRDefault="00001582" w:rsidP="00820C8B">
      <w:pPr>
        <w:spacing w:after="240" w:line="240" w:lineRule="auto"/>
        <w:ind w:left="3402" w:right="284" w:hanging="567"/>
        <w:jc w:val="both"/>
      </w:pPr>
      <w:r>
        <w:lastRenderedPageBreak/>
        <w:t>(ii)</w:t>
      </w:r>
      <w:r>
        <w:tab/>
        <w:t>are organic peroxides according to the criteria of Chapter 2.15; or</w:t>
      </w:r>
    </w:p>
    <w:p w14:paraId="5430F6BE" w14:textId="77777777" w:rsidR="00001582" w:rsidRDefault="00001582" w:rsidP="00820C8B">
      <w:pPr>
        <w:spacing w:after="240" w:line="240" w:lineRule="auto"/>
        <w:ind w:left="3402" w:right="284" w:hanging="567"/>
        <w:jc w:val="both"/>
      </w:pPr>
      <w:r>
        <w:t>(iii)</w:t>
      </w:r>
      <w:r>
        <w:tab/>
        <w:t xml:space="preserve">are deemed not to have explosive properties on basis of the screening procedures in Appendix 6 of the </w:t>
      </w:r>
      <w:r>
        <w:rPr>
          <w:i/>
        </w:rPr>
        <w:t>Manual of Tests and Criteria</w:t>
      </w:r>
      <w:r>
        <w:t>; or</w:t>
      </w:r>
    </w:p>
    <w:p w14:paraId="6552011E" w14:textId="77777777" w:rsidR="00001582" w:rsidRDefault="00001582" w:rsidP="00820C8B">
      <w:pPr>
        <w:spacing w:after="240" w:line="240" w:lineRule="auto"/>
        <w:ind w:left="3402" w:right="284" w:hanging="567"/>
        <w:jc w:val="both"/>
      </w:pPr>
      <w:r>
        <w:t>(iv)</w:t>
      </w:r>
      <w:r>
        <w:tab/>
        <w:t xml:space="preserve">are too insensitive for inclusion in the hazard class according to Test series 2 of the </w:t>
      </w:r>
      <w:r>
        <w:rPr>
          <w:i/>
        </w:rPr>
        <w:t>Manual of Tests and Criteria</w:t>
      </w:r>
      <w:r>
        <w:t>; or</w:t>
      </w:r>
    </w:p>
    <w:p w14:paraId="602665F6" w14:textId="77777777" w:rsidR="00001582" w:rsidRDefault="00001582" w:rsidP="00820C8B">
      <w:pPr>
        <w:spacing w:after="240" w:line="240" w:lineRule="auto"/>
        <w:ind w:left="3402" w:right="284" w:hanging="567"/>
        <w:jc w:val="both"/>
      </w:pPr>
      <w:r>
        <w:t>(v)</w:t>
      </w:r>
      <w:r>
        <w:tab/>
        <w:t xml:space="preserve">are excluded from assignment within Class 1 of the </w:t>
      </w:r>
      <w:r>
        <w:rPr>
          <w:i/>
        </w:rPr>
        <w:t>UN Model Regulations</w:t>
      </w:r>
      <w:r>
        <w:t xml:space="preserve"> based on results in Test series 6 of the </w:t>
      </w:r>
      <w:r>
        <w:rPr>
          <w:i/>
        </w:rPr>
        <w:t>Manual of Tests and Criteria</w:t>
      </w:r>
      <w:r>
        <w:t>.</w:t>
      </w:r>
    </w:p>
    <w:p w14:paraId="1109F3A6" w14:textId="77777777" w:rsidR="00001582" w:rsidRDefault="00001582" w:rsidP="00001582">
      <w:pPr>
        <w:spacing w:after="240" w:line="240" w:lineRule="auto"/>
        <w:ind w:left="1843" w:right="284" w:hanging="425"/>
        <w:jc w:val="both"/>
        <w:rPr>
          <w:b/>
          <w:strike/>
        </w:rPr>
      </w:pPr>
      <w:r>
        <w:rPr>
          <w:b/>
          <w:strike/>
        </w:rPr>
        <w:t>(d)</w:t>
      </w:r>
      <w:r>
        <w:rPr>
          <w:b/>
          <w:strike/>
        </w:rPr>
        <w:tab/>
        <w:t xml:space="preserve">Articles containing explosives which are allowed for transport but excluded from Class 1 by specific UN-numbers and associated special provisions according to the Dangerous Goods List of the </w:t>
      </w:r>
      <w:r>
        <w:rPr>
          <w:b/>
          <w:i/>
          <w:strike/>
        </w:rPr>
        <w:t>UN Model Regulations</w:t>
      </w:r>
      <w:r>
        <w:rPr>
          <w:b/>
          <w:strike/>
        </w:rPr>
        <w:t>, and which are in the transport configuration.</w:t>
      </w:r>
    </w:p>
    <w:p w14:paraId="159A1123" w14:textId="5AE36FD3" w:rsidR="00001582" w:rsidRDefault="00001582" w:rsidP="00001582">
      <w:pPr>
        <w:spacing w:after="240" w:line="240" w:lineRule="auto"/>
        <w:ind w:left="1418" w:right="284"/>
        <w:jc w:val="both"/>
        <w:rPr>
          <w:i/>
        </w:rPr>
      </w:pPr>
      <w:r>
        <w:rPr>
          <w:b/>
          <w:i/>
        </w:rPr>
        <w:t>NOTE:</w:t>
      </w:r>
      <w:r>
        <w:rPr>
          <w:i/>
        </w:rPr>
        <w:t xml:space="preserve"> Performing Test series 2 requires a substantial amount of material, which may not be available in the initial stages of research and development. Substances and mixtures in the research and development phase for which not enough material exists to perform Test series 2 of the Manual of Tests and Criteria may, for the purpose of further scientific characterisation, be regarded as self-reactive substances and mixtures Type C (see Chapter 2.8), provided that:</w:t>
      </w:r>
    </w:p>
    <w:p w14:paraId="7EAA653A" w14:textId="77777777" w:rsidR="00001582" w:rsidRDefault="00001582" w:rsidP="00001582">
      <w:pPr>
        <w:spacing w:after="240" w:line="240" w:lineRule="auto"/>
        <w:ind w:left="1843" w:right="284" w:hanging="425"/>
        <w:jc w:val="both"/>
        <w:rPr>
          <w:i/>
        </w:rPr>
      </w:pPr>
      <w:r>
        <w:rPr>
          <w:i/>
        </w:rPr>
        <w:t>(i)</w:t>
      </w:r>
      <w:r>
        <w:rPr>
          <w:i/>
        </w:rPr>
        <w:tab/>
        <w:t>The substance or mixture is not manufactured with the view to producing an explosive or pyrotechnic effect; and</w:t>
      </w:r>
    </w:p>
    <w:p w14:paraId="69FA6139" w14:textId="77777777" w:rsidR="00001582" w:rsidRDefault="00001582" w:rsidP="00001582">
      <w:pPr>
        <w:spacing w:after="240" w:line="240" w:lineRule="auto"/>
        <w:ind w:left="1843" w:right="284" w:hanging="425"/>
        <w:jc w:val="both"/>
        <w:rPr>
          <w:i/>
        </w:rPr>
      </w:pPr>
      <w:r>
        <w:rPr>
          <w:i/>
        </w:rPr>
        <w:t>(ii)</w:t>
      </w:r>
      <w:r>
        <w:rPr>
          <w:i/>
        </w:rPr>
        <w:tab/>
        <w:t>The decomposition energy of the substance or mixture is less than 2000 J/g; and</w:t>
      </w:r>
    </w:p>
    <w:p w14:paraId="4570AAFD" w14:textId="77777777" w:rsidR="00001582" w:rsidRDefault="00001582" w:rsidP="00001582">
      <w:pPr>
        <w:spacing w:after="240" w:line="240" w:lineRule="auto"/>
        <w:ind w:left="1843" w:right="284" w:hanging="425"/>
        <w:jc w:val="both"/>
        <w:rPr>
          <w:i/>
        </w:rPr>
      </w:pPr>
      <w:r>
        <w:rPr>
          <w:i/>
        </w:rPr>
        <w:t>(iii)</w:t>
      </w:r>
      <w:r>
        <w:rPr>
          <w:i/>
        </w:rPr>
        <w:tab/>
        <w:t>The result in test 3(a) and test 3(b) of the Manual of Tests and Criteria is negative; and</w:t>
      </w:r>
    </w:p>
    <w:p w14:paraId="0E5C793D" w14:textId="77777777" w:rsidR="00001582" w:rsidRDefault="00001582" w:rsidP="00001582">
      <w:pPr>
        <w:spacing w:after="240" w:line="240" w:lineRule="auto"/>
        <w:ind w:left="1843" w:right="284" w:hanging="425"/>
        <w:jc w:val="both"/>
        <w:rPr>
          <w:i/>
        </w:rPr>
      </w:pPr>
      <w:r>
        <w:rPr>
          <w:i/>
        </w:rPr>
        <w:t>(iv)</w:t>
      </w:r>
      <w:r>
        <w:rPr>
          <w:i/>
        </w:rPr>
        <w:tab/>
        <w:t>The result in test 2(b) of the Manual of Tests and Criteria is “no explosion” at an orifice diameter of 6 mm; and</w:t>
      </w:r>
    </w:p>
    <w:p w14:paraId="0CA3DE06" w14:textId="77777777" w:rsidR="00001582" w:rsidRDefault="00001582" w:rsidP="00001582">
      <w:pPr>
        <w:spacing w:after="240" w:line="240" w:lineRule="auto"/>
        <w:ind w:left="1843" w:right="284" w:hanging="425"/>
        <w:jc w:val="both"/>
        <w:rPr>
          <w:i/>
        </w:rPr>
      </w:pPr>
      <w:r>
        <w:rPr>
          <w:i/>
        </w:rPr>
        <w:t>(v)</w:t>
      </w:r>
      <w:r>
        <w:rPr>
          <w:i/>
        </w:rPr>
        <w:tab/>
        <w:t>The expansion of the lead block in Test F.3 of the Manual of Tests and Criteria is less than 100 ml per 10 gram substance or mixture.</w:t>
      </w:r>
    </w:p>
    <w:p w14:paraId="09072262" w14:textId="77777777" w:rsidR="00001582" w:rsidRDefault="00001582" w:rsidP="00001582">
      <w:pPr>
        <w:spacing w:after="240" w:line="240" w:lineRule="auto"/>
        <w:ind w:left="1134" w:right="284"/>
        <w:jc w:val="both"/>
      </w:pPr>
      <w:r>
        <w:t>2.1.1.3</w:t>
      </w:r>
      <w:r>
        <w:tab/>
      </w:r>
      <w:r>
        <w:tab/>
        <w:t>Other considerations</w:t>
      </w:r>
    </w:p>
    <w:p w14:paraId="720325DA" w14:textId="77777777" w:rsidR="00001582" w:rsidRDefault="00001582" w:rsidP="00001582">
      <w:pPr>
        <w:spacing w:after="240" w:line="240" w:lineRule="auto"/>
        <w:ind w:left="1134" w:right="284"/>
        <w:jc w:val="both"/>
      </w:pPr>
      <w:r>
        <w:t>2.1.1.3.1</w:t>
      </w:r>
      <w:r>
        <w:tab/>
      </w:r>
      <w:r>
        <w:rPr>
          <w:i/>
          <w:iCs/>
        </w:rPr>
        <w:t>The relation to the classification according to the UN Model Regulations</w:t>
      </w:r>
      <w:r>
        <w:t xml:space="preserve"> </w:t>
      </w:r>
    </w:p>
    <w:p w14:paraId="623AFA03" w14:textId="7DD009E3" w:rsidR="00001582" w:rsidRDefault="00001582" w:rsidP="00001582">
      <w:pPr>
        <w:tabs>
          <w:tab w:val="left" w:pos="2268"/>
        </w:tabs>
        <w:spacing w:after="240" w:line="240" w:lineRule="auto"/>
        <w:ind w:left="1134" w:right="284"/>
        <w:jc w:val="both"/>
      </w:pPr>
      <w:r>
        <w:tab/>
        <w:t xml:space="preserve">The GHS classification of substances, mixtures and articles as explosives builds largely on the classification used for transport according to the </w:t>
      </w:r>
      <w:r>
        <w:rPr>
          <w:i/>
          <w:iCs/>
        </w:rPr>
        <w:t>UN Model Regulations</w:t>
      </w:r>
      <w:r>
        <w:t xml:space="preserve">. Information on their transport division and, when available, some of the underlying test results according to Part I of the </w:t>
      </w:r>
      <w:r>
        <w:rPr>
          <w:i/>
        </w:rPr>
        <w:t>Manual of Tests and Criteria</w:t>
      </w:r>
      <w:r>
        <w:t xml:space="preserve">, is therefore relevant for the GHS classification. </w:t>
      </w:r>
      <w:r>
        <w:rPr>
          <w:b/>
          <w:u w:val="single"/>
        </w:rPr>
        <w:t>Where appropriate, analogy to tested explosives may be used, taking into consideration whether changes to the configuration may affect the hazard posed compared to the tested configuration, and being narrowly limited according to the quantity, packaging and design of the explosive.</w:t>
      </w:r>
      <w:r>
        <w:rPr>
          <w:b/>
        </w:rPr>
        <w:t xml:space="preserve"> </w:t>
      </w:r>
      <w:r>
        <w:t>While the transport divisions are designed for the purpose of safe transportation of explosives, the GHS classification draws from this classification to ensure appropriate hazard communication in other sectors, in particular supply and use. In doing this, any mitigating effects of the transport configuration on the explosive behaviour, such as a particular packaging, are evaluated as they may not be present in sectors outside of transport.</w:t>
      </w:r>
    </w:p>
    <w:p w14:paraId="1952C074" w14:textId="77777777" w:rsidR="00001582" w:rsidRDefault="00001582" w:rsidP="00001582">
      <w:pPr>
        <w:spacing w:after="240" w:line="240" w:lineRule="auto"/>
        <w:ind w:left="1134" w:right="284"/>
        <w:jc w:val="both"/>
        <w:rPr>
          <w:i/>
        </w:rPr>
      </w:pPr>
      <w:r>
        <w:t>2.1.1.3.2</w:t>
      </w:r>
      <w:r>
        <w:tab/>
      </w:r>
      <w:r>
        <w:rPr>
          <w:i/>
        </w:rPr>
        <w:t>The configuration dependence of the division</w:t>
      </w:r>
    </w:p>
    <w:p w14:paraId="294FD8E3" w14:textId="3118550F" w:rsidR="00001582" w:rsidRDefault="00001582" w:rsidP="00001582">
      <w:pPr>
        <w:tabs>
          <w:tab w:val="left" w:pos="2268"/>
        </w:tabs>
        <w:spacing w:after="240" w:line="240" w:lineRule="auto"/>
        <w:ind w:left="1134" w:right="284"/>
        <w:jc w:val="both"/>
      </w:pPr>
      <w:r>
        <w:tab/>
        <w:t xml:space="preserve">Entry into the hazard class of explosives is based on the intrinsic explosive properties of substances and mixtures. The assignment to a division, however, is also dependent on the configuration using packaging, and the incorporation into articles of such substances and mixtures. The division is the relevant level of classification when the explosive is in the configuration to which the division was assigned, e.g. when transported or stored, and may form the basis for explosives licencing and safety </w:t>
      </w:r>
      <w:r>
        <w:lastRenderedPageBreak/>
        <w:t>measures such as distance requirements. The hazard categories, on the other hand, are the relevant level of classification for the safe handling.</w:t>
      </w:r>
    </w:p>
    <w:p w14:paraId="7702C51F" w14:textId="77777777" w:rsidR="00001582" w:rsidRDefault="00001582" w:rsidP="00001582">
      <w:pPr>
        <w:spacing w:after="240" w:line="240" w:lineRule="auto"/>
        <w:ind w:left="1134" w:right="284"/>
        <w:jc w:val="both"/>
        <w:rPr>
          <w:i/>
        </w:rPr>
      </w:pPr>
      <w:r>
        <w:t>2.1.1.3.3</w:t>
      </w:r>
      <w:r>
        <w:rPr>
          <w:rFonts w:eastAsiaTheme="minorHAnsi"/>
          <w:i/>
        </w:rPr>
        <w:t xml:space="preserve"> </w:t>
      </w:r>
      <w:r>
        <w:rPr>
          <w:rFonts w:eastAsiaTheme="minorHAnsi"/>
          <w:i/>
        </w:rPr>
        <w:tab/>
      </w:r>
      <w:r>
        <w:rPr>
          <w:i/>
        </w:rPr>
        <w:t>The hierarchy of the categories</w:t>
      </w:r>
    </w:p>
    <w:p w14:paraId="059AD0E1" w14:textId="42F727DE" w:rsidR="00001582" w:rsidRDefault="00001582" w:rsidP="00001582">
      <w:pPr>
        <w:tabs>
          <w:tab w:val="left" w:pos="2268"/>
        </w:tabs>
        <w:spacing w:after="240" w:line="240" w:lineRule="auto"/>
        <w:ind w:left="1134" w:right="284"/>
        <w:jc w:val="both"/>
      </w:pPr>
      <w:r>
        <w:tab/>
        <w:t>Category 2 only contains explosives which have been assigned to a division</w:t>
      </w:r>
      <w:r w:rsidR="00820C8B">
        <w:t xml:space="preserve"> </w:t>
      </w:r>
      <w:r>
        <w:t xml:space="preserve">and corresponds to Class 1 of the </w:t>
      </w:r>
      <w:r>
        <w:rPr>
          <w:i/>
        </w:rPr>
        <w:t>UN Model Regulations</w:t>
      </w:r>
      <w:r>
        <w:t>. The sub-categories within Category 2 classify explosives on basis of the hazardous behaviour of the explosive in its primary packaging or, where applicable, of the explosive article alone. An explosive that has not been assigned to a division is classified in Category 1 of the hazard class of explosives. This may be because it is considered too dangerous to be assigned a division, or because it is not (yet) in a suitable configuration to assign it to a division. Explosives in Category 1 are therefore not necessarily more hazardous than explosives in Category 2.</w:t>
      </w:r>
    </w:p>
    <w:p w14:paraId="00787099" w14:textId="77777777" w:rsidR="00001582" w:rsidRDefault="00001582" w:rsidP="00001582">
      <w:pPr>
        <w:spacing w:after="240" w:line="240" w:lineRule="auto"/>
        <w:ind w:left="1134" w:right="284"/>
        <w:jc w:val="both"/>
        <w:rPr>
          <w:i/>
        </w:rPr>
      </w:pPr>
      <w:r>
        <w:t>2.1.1.3.4</w:t>
      </w:r>
      <w:r>
        <w:tab/>
      </w:r>
      <w:r>
        <w:rPr>
          <w:i/>
        </w:rPr>
        <w:t>Change of classification over the life cycle</w:t>
      </w:r>
    </w:p>
    <w:p w14:paraId="236A911B" w14:textId="7760FB43" w:rsidR="00001582" w:rsidRDefault="00001582" w:rsidP="00001582">
      <w:pPr>
        <w:tabs>
          <w:tab w:val="left" w:pos="2268"/>
        </w:tabs>
        <w:spacing w:after="240" w:line="240" w:lineRule="auto"/>
        <w:ind w:left="1134" w:right="284"/>
        <w:jc w:val="both"/>
      </w:pPr>
      <w:r>
        <w:tab/>
        <w:t xml:space="preserve">As the assignment to a division depends on the configuration, the classification of an explosive may change over its </w:t>
      </w:r>
      <w:r w:rsidR="00820C8B">
        <w:t>life cycle</w:t>
      </w:r>
      <w:r>
        <w:t xml:space="preserve"> as a result of reconfiguration. An explosive that was assigned to a division in a certain configuration, and hence classified in a sub-category within Category 2, no longer retains that division when out of that configuration. If assigned to another division in the new configuration, it may need to be classified in another sub-category within Category 2, and if not assigned a to division it should be classified in </w:t>
      </w:r>
      <w:r>
        <w:rPr>
          <w:b/>
          <w:strike/>
        </w:rPr>
        <w:t>to</w:t>
      </w:r>
      <w:r>
        <w:t xml:space="preserve"> Category 1. However, the use of an explosive, meaning the preparation and intentional functioning, including removal from the primary packaging for functioning or installation or deployment in readiness for functioning, is not intended to require such re-classification.</w:t>
      </w:r>
    </w:p>
    <w:p w14:paraId="2CA98F8C" w14:textId="77777777" w:rsidR="00001582" w:rsidRDefault="00001582" w:rsidP="00001582">
      <w:pPr>
        <w:spacing w:after="240" w:line="240" w:lineRule="auto"/>
        <w:ind w:left="1134" w:right="284"/>
        <w:jc w:val="both"/>
        <w:rPr>
          <w:i/>
        </w:rPr>
      </w:pPr>
      <w:r>
        <w:t>2.1.1.3.5</w:t>
      </w:r>
      <w:r>
        <w:tab/>
      </w:r>
      <w:r>
        <w:rPr>
          <w:i/>
        </w:rPr>
        <w:t>Exclusions from the hazard class</w:t>
      </w:r>
    </w:p>
    <w:p w14:paraId="1CC63E91" w14:textId="7FF4AE5E" w:rsidR="00001582" w:rsidRDefault="00001582" w:rsidP="00001582">
      <w:pPr>
        <w:tabs>
          <w:tab w:val="left" w:pos="2268"/>
        </w:tabs>
        <w:spacing w:after="240" w:line="240" w:lineRule="auto"/>
        <w:ind w:left="1134" w:right="284"/>
        <w:jc w:val="both"/>
      </w:pPr>
      <w:r>
        <w:tab/>
        <w:t>Some substances, mixtures and articles that have explosive properties are excluded from the hazard class of explosives because they are not considered sensitive enough or because they do not present a significant explosion hazard in a particular configuration. The safety data sheet is an appropriate means to convey information on explosive properties for such substances and mixtures, and the explosion hazards of such articles (see Chapter 1.4).</w:t>
      </w:r>
    </w:p>
    <w:p w14:paraId="491E84C9" w14:textId="77777777" w:rsidR="00001582" w:rsidRDefault="00001582" w:rsidP="00755E6A">
      <w:pPr>
        <w:tabs>
          <w:tab w:val="left" w:pos="2268"/>
        </w:tabs>
        <w:spacing w:after="240" w:line="240" w:lineRule="auto"/>
        <w:ind w:left="1134" w:right="284"/>
        <w:jc w:val="both"/>
      </w:pPr>
      <w:r>
        <w:rPr>
          <w:b/>
        </w:rPr>
        <w:t>2.1.2</w:t>
      </w:r>
      <w:r>
        <w:rPr>
          <w:b/>
        </w:rPr>
        <w:tab/>
        <w:t>Classification criteria</w:t>
      </w:r>
    </w:p>
    <w:p w14:paraId="49B5668E" w14:textId="77777777" w:rsidR="00001582" w:rsidRDefault="00001582" w:rsidP="00001582">
      <w:pPr>
        <w:tabs>
          <w:tab w:val="left" w:pos="2410"/>
        </w:tabs>
        <w:spacing w:after="240" w:line="240" w:lineRule="auto"/>
        <w:ind w:left="1134" w:right="284"/>
        <w:jc w:val="both"/>
      </w:pPr>
      <w:r>
        <w:t>2.1.2.1</w:t>
      </w:r>
      <w:r>
        <w:tab/>
        <w:t>Explosive substances, mixtures and articles of this class are classified into one of two categories</w:t>
      </w:r>
      <w:r>
        <w:rPr>
          <w:b/>
          <w:u w:val="single"/>
        </w:rPr>
        <w:t>, and for Category 2 into one of three sub-categories,</w:t>
      </w:r>
      <w:r>
        <w:t xml:space="preserve"> according to the following table:</w:t>
      </w:r>
    </w:p>
    <w:tbl>
      <w:tblPr>
        <w:tblStyle w:val="Tabellrutnt1"/>
        <w:tblW w:w="0" w:type="auto"/>
        <w:tblInd w:w="1129" w:type="dxa"/>
        <w:tblCellMar>
          <w:top w:w="57" w:type="dxa"/>
          <w:left w:w="57" w:type="dxa"/>
          <w:bottom w:w="57" w:type="dxa"/>
          <w:right w:w="57" w:type="dxa"/>
        </w:tblCellMar>
        <w:tblLook w:val="04A0" w:firstRow="1" w:lastRow="0" w:firstColumn="1" w:lastColumn="0" w:noHBand="0" w:noVBand="1"/>
      </w:tblPr>
      <w:tblGrid>
        <w:gridCol w:w="903"/>
        <w:gridCol w:w="850"/>
        <w:gridCol w:w="6469"/>
      </w:tblGrid>
      <w:tr w:rsidR="00001582" w14:paraId="2537EEAC" w14:textId="77777777" w:rsidTr="00755E6A">
        <w:trPr>
          <w:tblHeader/>
        </w:trPr>
        <w:tc>
          <w:tcPr>
            <w:tcW w:w="903" w:type="dxa"/>
            <w:tcBorders>
              <w:top w:val="single" w:sz="4" w:space="0" w:color="auto"/>
              <w:left w:val="single" w:sz="4" w:space="0" w:color="auto"/>
              <w:bottom w:val="single" w:sz="4" w:space="0" w:color="auto"/>
              <w:right w:val="single" w:sz="4" w:space="0" w:color="auto"/>
            </w:tcBorders>
            <w:hideMark/>
          </w:tcPr>
          <w:p w14:paraId="6E54EC8F" w14:textId="77777777" w:rsidR="00001582" w:rsidRDefault="00001582" w:rsidP="00A63423">
            <w:pPr>
              <w:keepNext/>
              <w:keepLines/>
              <w:spacing w:before="60" w:after="60" w:line="240" w:lineRule="auto"/>
              <w:jc w:val="both"/>
              <w:rPr>
                <w:rFonts w:ascii="Times New Roman" w:hAnsi="Times New Roman"/>
                <w:b/>
                <w:sz w:val="20"/>
                <w:szCs w:val="20"/>
                <w:lang w:val="sv-SE"/>
              </w:rPr>
            </w:pPr>
            <w:r>
              <w:rPr>
                <w:rFonts w:ascii="Times New Roman" w:hAnsi="Times New Roman"/>
                <w:b/>
                <w:sz w:val="20"/>
                <w:szCs w:val="20"/>
                <w:lang w:val="sv-SE"/>
              </w:rPr>
              <w:lastRenderedPageBreak/>
              <w:t>Category</w:t>
            </w:r>
          </w:p>
        </w:tc>
        <w:tc>
          <w:tcPr>
            <w:tcW w:w="850" w:type="dxa"/>
            <w:tcBorders>
              <w:top w:val="single" w:sz="4" w:space="0" w:color="auto"/>
              <w:left w:val="single" w:sz="4" w:space="0" w:color="auto"/>
              <w:bottom w:val="single" w:sz="4" w:space="0" w:color="auto"/>
              <w:right w:val="single" w:sz="4" w:space="0" w:color="auto"/>
            </w:tcBorders>
            <w:hideMark/>
          </w:tcPr>
          <w:p w14:paraId="4B041ADE" w14:textId="77777777" w:rsidR="00001582" w:rsidRDefault="00001582" w:rsidP="00A63423">
            <w:pPr>
              <w:keepNext/>
              <w:keepLines/>
              <w:spacing w:before="60" w:after="60" w:line="240" w:lineRule="auto"/>
              <w:jc w:val="both"/>
              <w:rPr>
                <w:rFonts w:ascii="Times New Roman" w:hAnsi="Times New Roman"/>
                <w:b/>
                <w:sz w:val="20"/>
                <w:szCs w:val="20"/>
                <w:lang w:val="sv-SE"/>
              </w:rPr>
            </w:pPr>
            <w:r>
              <w:rPr>
                <w:rFonts w:ascii="Times New Roman" w:hAnsi="Times New Roman"/>
                <w:b/>
                <w:sz w:val="20"/>
                <w:szCs w:val="20"/>
                <w:lang w:val="sv-SE"/>
              </w:rPr>
              <w:t>Sub-category</w:t>
            </w:r>
          </w:p>
        </w:tc>
        <w:tc>
          <w:tcPr>
            <w:tcW w:w="6469" w:type="dxa"/>
            <w:tcBorders>
              <w:top w:val="single" w:sz="4" w:space="0" w:color="auto"/>
              <w:left w:val="single" w:sz="4" w:space="0" w:color="auto"/>
              <w:bottom w:val="single" w:sz="4" w:space="0" w:color="auto"/>
              <w:right w:val="single" w:sz="4" w:space="0" w:color="auto"/>
            </w:tcBorders>
            <w:hideMark/>
          </w:tcPr>
          <w:p w14:paraId="7787864B" w14:textId="77777777" w:rsidR="00001582" w:rsidRDefault="00001582" w:rsidP="00A63423">
            <w:pPr>
              <w:keepNext/>
              <w:keepLines/>
              <w:spacing w:before="60" w:after="60" w:line="240" w:lineRule="auto"/>
              <w:jc w:val="both"/>
              <w:rPr>
                <w:rFonts w:ascii="Times New Roman" w:hAnsi="Times New Roman"/>
                <w:b/>
                <w:sz w:val="20"/>
                <w:szCs w:val="20"/>
                <w:lang w:val="sv-SE"/>
              </w:rPr>
            </w:pPr>
            <w:r>
              <w:rPr>
                <w:rFonts w:ascii="Times New Roman" w:hAnsi="Times New Roman"/>
                <w:b/>
                <w:sz w:val="20"/>
                <w:szCs w:val="20"/>
                <w:lang w:val="sv-SE"/>
              </w:rPr>
              <w:t>Criteria</w:t>
            </w:r>
          </w:p>
        </w:tc>
      </w:tr>
      <w:tr w:rsidR="00001582" w14:paraId="1A32D451" w14:textId="77777777" w:rsidTr="00001582">
        <w:tc>
          <w:tcPr>
            <w:tcW w:w="903" w:type="dxa"/>
            <w:tcBorders>
              <w:top w:val="single" w:sz="4" w:space="0" w:color="auto"/>
              <w:left w:val="single" w:sz="4" w:space="0" w:color="auto"/>
              <w:bottom w:val="single" w:sz="4" w:space="0" w:color="auto"/>
              <w:right w:val="single" w:sz="4" w:space="0" w:color="auto"/>
            </w:tcBorders>
            <w:hideMark/>
          </w:tcPr>
          <w:p w14:paraId="6DCC0709" w14:textId="77777777" w:rsidR="00001582" w:rsidRDefault="00001582" w:rsidP="00A63423">
            <w:pPr>
              <w:keepNext/>
              <w:keepLines/>
              <w:spacing w:before="60" w:after="60" w:line="240" w:lineRule="auto"/>
              <w:jc w:val="center"/>
              <w:rPr>
                <w:rFonts w:ascii="Times New Roman" w:hAnsi="Times New Roman"/>
                <w:b/>
                <w:sz w:val="20"/>
                <w:szCs w:val="20"/>
                <w:lang w:val="sv-SE"/>
              </w:rPr>
            </w:pPr>
            <w:r>
              <w:rPr>
                <w:rFonts w:ascii="Times New Roman" w:hAnsi="Times New Roman"/>
                <w:b/>
                <w:sz w:val="20"/>
                <w:szCs w:val="20"/>
                <w:lang w:val="sv-SE"/>
              </w:rPr>
              <w:t>1</w:t>
            </w:r>
          </w:p>
        </w:tc>
        <w:tc>
          <w:tcPr>
            <w:tcW w:w="850" w:type="dxa"/>
            <w:tcBorders>
              <w:top w:val="single" w:sz="4" w:space="0" w:color="auto"/>
              <w:left w:val="single" w:sz="4" w:space="0" w:color="auto"/>
              <w:bottom w:val="single" w:sz="4" w:space="0" w:color="auto"/>
              <w:right w:val="single" w:sz="4" w:space="0" w:color="auto"/>
            </w:tcBorders>
          </w:tcPr>
          <w:p w14:paraId="4736DA35" w14:textId="77777777" w:rsidR="00001582" w:rsidRDefault="00001582" w:rsidP="00A63423">
            <w:pPr>
              <w:keepNext/>
              <w:keepLines/>
              <w:spacing w:before="60" w:after="60" w:line="240" w:lineRule="auto"/>
              <w:jc w:val="center"/>
              <w:rPr>
                <w:rFonts w:ascii="Times New Roman" w:hAnsi="Times New Roman"/>
                <w:b/>
                <w:sz w:val="20"/>
                <w:szCs w:val="20"/>
                <w:lang w:val="sv-SE"/>
              </w:rPr>
            </w:pPr>
          </w:p>
        </w:tc>
        <w:tc>
          <w:tcPr>
            <w:tcW w:w="6469" w:type="dxa"/>
            <w:tcBorders>
              <w:top w:val="single" w:sz="4" w:space="0" w:color="auto"/>
              <w:left w:val="single" w:sz="4" w:space="0" w:color="auto"/>
              <w:bottom w:val="single" w:sz="4" w:space="0" w:color="auto"/>
              <w:right w:val="single" w:sz="4" w:space="0" w:color="auto"/>
            </w:tcBorders>
            <w:hideMark/>
          </w:tcPr>
          <w:p w14:paraId="1639599A" w14:textId="13A9A202" w:rsidR="00001582" w:rsidRPr="00091297" w:rsidRDefault="00001582" w:rsidP="00A63423">
            <w:pPr>
              <w:keepNext/>
              <w:keepLines/>
              <w:tabs>
                <w:tab w:val="left" w:pos="376"/>
              </w:tabs>
              <w:spacing w:before="60" w:after="60" w:line="240" w:lineRule="auto"/>
              <w:rPr>
                <w:rFonts w:ascii="Times New Roman" w:hAnsi="Times New Roman"/>
                <w:sz w:val="20"/>
                <w:szCs w:val="20"/>
              </w:rPr>
            </w:pPr>
            <w:r w:rsidRPr="00091297">
              <w:rPr>
                <w:rFonts w:ascii="Times New Roman" w:hAnsi="Times New Roman"/>
                <w:sz w:val="20"/>
                <w:szCs w:val="20"/>
              </w:rPr>
              <w:t xml:space="preserve">Explosive substances, mixtures and articles which </w:t>
            </w:r>
            <w:r w:rsidRPr="00091297">
              <w:rPr>
                <w:rFonts w:ascii="Times New Roman" w:hAnsi="Times New Roman"/>
                <w:sz w:val="20"/>
                <w:szCs w:val="20"/>
              </w:rPr>
              <w:br/>
              <w:t xml:space="preserve">(a) </w:t>
            </w:r>
            <w:r w:rsidR="002A09A8">
              <w:rPr>
                <w:rFonts w:ascii="Times New Roman" w:hAnsi="Times New Roman"/>
                <w:sz w:val="20"/>
                <w:szCs w:val="20"/>
              </w:rPr>
              <w:tab/>
            </w:r>
            <w:r w:rsidRPr="00091297">
              <w:rPr>
                <w:rFonts w:ascii="Times New Roman" w:hAnsi="Times New Roman"/>
                <w:sz w:val="20"/>
                <w:szCs w:val="20"/>
              </w:rPr>
              <w:t>have not been assigned a division and which</w:t>
            </w:r>
          </w:p>
          <w:p w14:paraId="312F21F8" w14:textId="2C559F54" w:rsidR="00001582" w:rsidRPr="00091297" w:rsidRDefault="00001582" w:rsidP="00A63423">
            <w:pPr>
              <w:keepNext/>
              <w:keepLines/>
              <w:tabs>
                <w:tab w:val="left" w:pos="747"/>
              </w:tabs>
              <w:spacing w:before="60" w:after="60" w:line="240" w:lineRule="auto"/>
              <w:ind w:left="747" w:hanging="425"/>
              <w:rPr>
                <w:rFonts w:ascii="Times New Roman" w:hAnsi="Times New Roman"/>
                <w:sz w:val="20"/>
                <w:szCs w:val="20"/>
              </w:rPr>
            </w:pPr>
            <w:r w:rsidRPr="00091297">
              <w:rPr>
                <w:rFonts w:ascii="Times New Roman" w:hAnsi="Times New Roman"/>
                <w:sz w:val="20"/>
                <w:szCs w:val="20"/>
              </w:rPr>
              <w:t xml:space="preserve">(i) </w:t>
            </w:r>
            <w:r w:rsidR="002A09A8">
              <w:rPr>
                <w:rFonts w:ascii="Times New Roman" w:hAnsi="Times New Roman"/>
                <w:sz w:val="20"/>
                <w:szCs w:val="20"/>
              </w:rPr>
              <w:tab/>
            </w:r>
            <w:r w:rsidRPr="00091297">
              <w:rPr>
                <w:rFonts w:ascii="Times New Roman" w:hAnsi="Times New Roman"/>
                <w:sz w:val="20"/>
                <w:szCs w:val="20"/>
              </w:rPr>
              <w:t>are manufactured with the view of producing an explosive or pyrotechnic effect; or</w:t>
            </w:r>
          </w:p>
          <w:p w14:paraId="7836E355" w14:textId="6BCE2B7C" w:rsidR="00001582" w:rsidRPr="00091297" w:rsidRDefault="00001582" w:rsidP="00A63423">
            <w:pPr>
              <w:keepNext/>
              <w:keepLines/>
              <w:tabs>
                <w:tab w:val="left" w:pos="747"/>
              </w:tabs>
              <w:suppressAutoHyphens w:val="0"/>
              <w:autoSpaceDE w:val="0"/>
              <w:autoSpaceDN w:val="0"/>
              <w:adjustRightInd w:val="0"/>
              <w:spacing w:before="60" w:after="60" w:line="240" w:lineRule="auto"/>
              <w:ind w:left="747" w:hanging="425"/>
              <w:rPr>
                <w:rFonts w:ascii="Times New Roman" w:hAnsi="Times New Roman"/>
                <w:i/>
                <w:iCs/>
                <w:color w:val="000000"/>
                <w:sz w:val="20"/>
                <w:szCs w:val="20"/>
                <w:lang w:eastAsia="sv-SE"/>
              </w:rPr>
            </w:pPr>
            <w:r w:rsidRPr="00091297">
              <w:rPr>
                <w:rFonts w:ascii="Times New Roman" w:hAnsi="Times New Roman"/>
                <w:color w:val="000000"/>
                <w:sz w:val="20"/>
                <w:szCs w:val="20"/>
                <w:lang w:eastAsia="sv-SE"/>
              </w:rPr>
              <w:t xml:space="preserve">(ii) </w:t>
            </w:r>
            <w:r w:rsidR="002A09A8">
              <w:rPr>
                <w:rFonts w:ascii="Times New Roman" w:hAnsi="Times New Roman"/>
                <w:color w:val="000000"/>
                <w:sz w:val="20"/>
                <w:szCs w:val="20"/>
                <w:lang w:eastAsia="sv-SE"/>
              </w:rPr>
              <w:tab/>
            </w:r>
            <w:r w:rsidRPr="00091297">
              <w:rPr>
                <w:rFonts w:ascii="Times New Roman" w:hAnsi="Times New Roman"/>
                <w:color w:val="000000"/>
                <w:sz w:val="20"/>
                <w:szCs w:val="20"/>
                <w:lang w:eastAsia="sv-SE"/>
              </w:rPr>
              <w:t xml:space="preserve">are substances or mixtures which show positive effects when tested in Test series 2 of the </w:t>
            </w:r>
            <w:r w:rsidRPr="00091297">
              <w:rPr>
                <w:rFonts w:ascii="Times New Roman" w:hAnsi="Times New Roman"/>
                <w:i/>
                <w:iCs/>
                <w:color w:val="000000"/>
                <w:sz w:val="20"/>
                <w:szCs w:val="20"/>
                <w:lang w:eastAsia="sv-SE"/>
              </w:rPr>
              <w:t xml:space="preserve">Manual of Tests and Criteria </w:t>
            </w:r>
          </w:p>
          <w:p w14:paraId="6CBC3594" w14:textId="613AA0BB" w:rsidR="00001582" w:rsidRPr="00091297" w:rsidRDefault="00001582" w:rsidP="00A63423">
            <w:pPr>
              <w:keepNext/>
              <w:keepLines/>
              <w:suppressAutoHyphens w:val="0"/>
              <w:autoSpaceDE w:val="0"/>
              <w:autoSpaceDN w:val="0"/>
              <w:adjustRightInd w:val="0"/>
              <w:spacing w:before="60" w:after="60" w:line="240" w:lineRule="auto"/>
              <w:rPr>
                <w:rFonts w:ascii="Times New Roman" w:hAnsi="Times New Roman"/>
                <w:iCs/>
                <w:color w:val="000000"/>
                <w:sz w:val="20"/>
                <w:szCs w:val="20"/>
                <w:lang w:eastAsia="sv-SE"/>
              </w:rPr>
            </w:pPr>
            <w:r w:rsidRPr="00091297">
              <w:rPr>
                <w:rFonts w:ascii="Times New Roman" w:hAnsi="Times New Roman"/>
                <w:iCs/>
                <w:color w:val="000000"/>
                <w:sz w:val="20"/>
                <w:szCs w:val="20"/>
                <w:lang w:eastAsia="sv-SE"/>
              </w:rPr>
              <w:t>or</w:t>
            </w:r>
          </w:p>
          <w:p w14:paraId="0B6058CB" w14:textId="77777777" w:rsidR="00001582" w:rsidRPr="00091297" w:rsidRDefault="00001582" w:rsidP="00A63423">
            <w:pPr>
              <w:keepNext/>
              <w:keepLines/>
              <w:suppressAutoHyphens w:val="0"/>
              <w:autoSpaceDE w:val="0"/>
              <w:autoSpaceDN w:val="0"/>
              <w:adjustRightInd w:val="0"/>
              <w:spacing w:before="60" w:after="60" w:line="240" w:lineRule="auto"/>
              <w:ind w:left="322" w:hanging="284"/>
              <w:rPr>
                <w:rFonts w:ascii="Times New Roman" w:hAnsi="Times New Roman"/>
                <w:color w:val="000000"/>
                <w:sz w:val="20"/>
                <w:szCs w:val="20"/>
                <w:lang w:eastAsia="sv-SE"/>
              </w:rPr>
            </w:pPr>
            <w:r w:rsidRPr="00091297">
              <w:rPr>
                <w:rFonts w:ascii="Times New Roman" w:hAnsi="Times New Roman"/>
                <w:color w:val="000000"/>
                <w:sz w:val="20"/>
                <w:szCs w:val="20"/>
                <w:lang w:eastAsia="sv-SE"/>
              </w:rPr>
              <w:t>(b) are out of the primary packaging of the configuration to which a division was assigned</w:t>
            </w:r>
            <w:r w:rsidRPr="00091297">
              <w:rPr>
                <w:rFonts w:ascii="Times New Roman" w:hAnsi="Times New Roman"/>
                <w:i/>
                <w:iCs/>
                <w:color w:val="000000"/>
                <w:sz w:val="20"/>
                <w:szCs w:val="20"/>
                <w:vertAlign w:val="superscript"/>
                <w:lang w:eastAsia="sv-SE"/>
              </w:rPr>
              <w:t>a</w:t>
            </w:r>
            <w:r w:rsidRPr="00091297">
              <w:rPr>
                <w:rFonts w:ascii="Times New Roman" w:hAnsi="Times New Roman"/>
                <w:i/>
                <w:iCs/>
                <w:color w:val="000000"/>
                <w:sz w:val="20"/>
                <w:szCs w:val="20"/>
                <w:lang w:eastAsia="sv-SE"/>
              </w:rPr>
              <w:t xml:space="preserve"> </w:t>
            </w:r>
            <w:r w:rsidRPr="00091297">
              <w:rPr>
                <w:rFonts w:ascii="Times New Roman" w:hAnsi="Times New Roman"/>
                <w:color w:val="000000"/>
                <w:sz w:val="20"/>
                <w:szCs w:val="20"/>
                <w:lang w:eastAsia="sv-SE"/>
              </w:rPr>
              <w:t>, unless they are explosive articles assigned to a division:</w:t>
            </w:r>
          </w:p>
          <w:p w14:paraId="0A3B1820" w14:textId="7EF2727E" w:rsidR="00001582" w:rsidRPr="00091297" w:rsidRDefault="00001582" w:rsidP="00A63423">
            <w:pPr>
              <w:keepNext/>
              <w:keepLines/>
              <w:tabs>
                <w:tab w:val="left" w:pos="747"/>
              </w:tabs>
              <w:suppressAutoHyphens w:val="0"/>
              <w:autoSpaceDE w:val="0"/>
              <w:autoSpaceDN w:val="0"/>
              <w:adjustRightInd w:val="0"/>
              <w:spacing w:before="60" w:after="60" w:line="240" w:lineRule="auto"/>
              <w:ind w:left="747" w:hanging="425"/>
              <w:rPr>
                <w:rFonts w:ascii="Times New Roman" w:hAnsi="Times New Roman"/>
                <w:color w:val="000000"/>
                <w:sz w:val="20"/>
                <w:szCs w:val="20"/>
                <w:lang w:eastAsia="sv-SE"/>
              </w:rPr>
            </w:pPr>
            <w:r w:rsidRPr="00091297">
              <w:rPr>
                <w:rFonts w:ascii="Times New Roman" w:hAnsi="Times New Roman"/>
                <w:color w:val="000000"/>
                <w:sz w:val="20"/>
                <w:szCs w:val="20"/>
                <w:lang w:eastAsia="sv-SE"/>
              </w:rPr>
              <w:t xml:space="preserve">(i) </w:t>
            </w:r>
            <w:r w:rsidR="002A09A8">
              <w:rPr>
                <w:rFonts w:ascii="Times New Roman" w:hAnsi="Times New Roman"/>
                <w:color w:val="000000"/>
                <w:sz w:val="20"/>
                <w:szCs w:val="20"/>
                <w:lang w:eastAsia="sv-SE"/>
              </w:rPr>
              <w:tab/>
            </w:r>
            <w:r w:rsidRPr="00091297">
              <w:rPr>
                <w:rFonts w:ascii="Times New Roman" w:hAnsi="Times New Roman"/>
                <w:color w:val="000000"/>
                <w:sz w:val="20"/>
                <w:szCs w:val="20"/>
                <w:lang w:eastAsia="sv-SE"/>
              </w:rPr>
              <w:t>without a primary packaging; or</w:t>
            </w:r>
          </w:p>
          <w:p w14:paraId="181935D4" w14:textId="361F3BF1" w:rsidR="00001582" w:rsidRPr="00091297" w:rsidRDefault="00001582" w:rsidP="00A63423">
            <w:pPr>
              <w:keepNext/>
              <w:keepLines/>
              <w:tabs>
                <w:tab w:val="left" w:pos="747"/>
              </w:tabs>
              <w:suppressAutoHyphens w:val="0"/>
              <w:autoSpaceDE w:val="0"/>
              <w:autoSpaceDN w:val="0"/>
              <w:adjustRightInd w:val="0"/>
              <w:spacing w:before="60" w:after="60" w:line="240" w:lineRule="auto"/>
              <w:ind w:left="747" w:hanging="425"/>
              <w:rPr>
                <w:rFonts w:ascii="Times New Roman" w:hAnsi="Times New Roman"/>
                <w:color w:val="000000"/>
                <w:sz w:val="20"/>
                <w:szCs w:val="20"/>
                <w:lang w:eastAsia="sv-SE"/>
              </w:rPr>
            </w:pPr>
            <w:r w:rsidRPr="00091297">
              <w:rPr>
                <w:rFonts w:ascii="Times New Roman" w:hAnsi="Times New Roman"/>
                <w:color w:val="000000"/>
                <w:sz w:val="20"/>
                <w:szCs w:val="20"/>
                <w:lang w:eastAsia="sv-SE"/>
              </w:rPr>
              <w:t xml:space="preserve">(ii) </w:t>
            </w:r>
            <w:r w:rsidR="002A09A8">
              <w:rPr>
                <w:rFonts w:ascii="Times New Roman" w:hAnsi="Times New Roman"/>
                <w:color w:val="000000"/>
                <w:sz w:val="20"/>
                <w:szCs w:val="20"/>
                <w:lang w:eastAsia="sv-SE"/>
              </w:rPr>
              <w:tab/>
            </w:r>
            <w:r w:rsidRPr="00091297">
              <w:rPr>
                <w:rFonts w:ascii="Times New Roman" w:hAnsi="Times New Roman"/>
                <w:color w:val="000000"/>
                <w:sz w:val="20"/>
                <w:szCs w:val="20"/>
                <w:lang w:eastAsia="sv-SE"/>
              </w:rPr>
              <w:t xml:space="preserve">in a primary packaging that does not attenuate the explosive effect, taking into account also intervening packaging material, spacing or critical orientation. </w:t>
            </w:r>
          </w:p>
        </w:tc>
      </w:tr>
      <w:tr w:rsidR="00001582" w14:paraId="12E1795D" w14:textId="77777777" w:rsidTr="00001582">
        <w:tc>
          <w:tcPr>
            <w:tcW w:w="903" w:type="dxa"/>
            <w:vMerge w:val="restart"/>
            <w:tcBorders>
              <w:top w:val="single" w:sz="4" w:space="0" w:color="auto"/>
              <w:left w:val="single" w:sz="4" w:space="0" w:color="auto"/>
              <w:bottom w:val="single" w:sz="4" w:space="0" w:color="auto"/>
              <w:right w:val="single" w:sz="4" w:space="0" w:color="auto"/>
            </w:tcBorders>
            <w:hideMark/>
          </w:tcPr>
          <w:p w14:paraId="2B07FA26" w14:textId="77777777" w:rsidR="00001582" w:rsidRDefault="00001582" w:rsidP="00A63423">
            <w:pPr>
              <w:spacing w:before="60" w:after="60" w:line="240" w:lineRule="auto"/>
              <w:jc w:val="center"/>
              <w:rPr>
                <w:rFonts w:ascii="Times New Roman" w:hAnsi="Times New Roman"/>
                <w:b/>
                <w:sz w:val="20"/>
                <w:szCs w:val="20"/>
                <w:lang w:val="sv-SE"/>
              </w:rPr>
            </w:pPr>
            <w:r>
              <w:rPr>
                <w:rFonts w:ascii="Times New Roman" w:hAnsi="Times New Roman"/>
                <w:b/>
                <w:sz w:val="20"/>
                <w:szCs w:val="20"/>
                <w:lang w:val="sv-SE"/>
              </w:rPr>
              <w:t>2</w:t>
            </w:r>
          </w:p>
        </w:tc>
        <w:tc>
          <w:tcPr>
            <w:tcW w:w="850" w:type="dxa"/>
            <w:tcBorders>
              <w:top w:val="single" w:sz="4" w:space="0" w:color="auto"/>
              <w:left w:val="single" w:sz="4" w:space="0" w:color="auto"/>
              <w:bottom w:val="single" w:sz="4" w:space="0" w:color="auto"/>
              <w:right w:val="single" w:sz="4" w:space="0" w:color="auto"/>
            </w:tcBorders>
            <w:hideMark/>
          </w:tcPr>
          <w:p w14:paraId="6C144BA9" w14:textId="77777777" w:rsidR="00001582" w:rsidRDefault="00001582" w:rsidP="00A63423">
            <w:pPr>
              <w:spacing w:before="60" w:after="60" w:line="240" w:lineRule="auto"/>
              <w:jc w:val="center"/>
              <w:rPr>
                <w:rFonts w:ascii="Times New Roman" w:hAnsi="Times New Roman"/>
                <w:b/>
                <w:sz w:val="20"/>
                <w:szCs w:val="20"/>
                <w:lang w:val="sv-SE"/>
              </w:rPr>
            </w:pPr>
            <w:r>
              <w:rPr>
                <w:rFonts w:ascii="Times New Roman" w:hAnsi="Times New Roman"/>
                <w:b/>
                <w:sz w:val="20"/>
                <w:szCs w:val="20"/>
                <w:lang w:val="sv-SE"/>
              </w:rPr>
              <w:t>2A</w:t>
            </w:r>
          </w:p>
        </w:tc>
        <w:tc>
          <w:tcPr>
            <w:tcW w:w="6469" w:type="dxa"/>
            <w:tcBorders>
              <w:top w:val="single" w:sz="4" w:space="0" w:color="auto"/>
              <w:left w:val="single" w:sz="4" w:space="0" w:color="auto"/>
              <w:bottom w:val="single" w:sz="4" w:space="0" w:color="auto"/>
              <w:right w:val="single" w:sz="4" w:space="0" w:color="auto"/>
            </w:tcBorders>
          </w:tcPr>
          <w:p w14:paraId="788C3582" w14:textId="77777777" w:rsidR="002A09A8" w:rsidRDefault="00001582" w:rsidP="00A63423">
            <w:pPr>
              <w:spacing w:before="60" w:after="60" w:line="240" w:lineRule="auto"/>
              <w:ind w:left="180" w:hanging="180"/>
              <w:rPr>
                <w:rFonts w:ascii="Times New Roman" w:hAnsi="Times New Roman"/>
                <w:sz w:val="20"/>
                <w:szCs w:val="20"/>
              </w:rPr>
            </w:pPr>
            <w:r w:rsidRPr="00091297">
              <w:rPr>
                <w:rFonts w:ascii="Times New Roman" w:hAnsi="Times New Roman"/>
                <w:sz w:val="20"/>
                <w:szCs w:val="20"/>
              </w:rPr>
              <w:t>Explosive substances, mixtures and articles which have been assigned</w:t>
            </w:r>
            <w:r w:rsidR="002A09A8">
              <w:rPr>
                <w:rFonts w:ascii="Times New Roman" w:hAnsi="Times New Roman"/>
                <w:sz w:val="20"/>
                <w:szCs w:val="20"/>
              </w:rPr>
              <w:t>:</w:t>
            </w:r>
          </w:p>
          <w:p w14:paraId="700C9ED0" w14:textId="4BF6886F" w:rsidR="00001582" w:rsidRPr="00091297" w:rsidRDefault="00001582" w:rsidP="00A63423">
            <w:pPr>
              <w:spacing w:before="60" w:after="60" w:line="240" w:lineRule="auto"/>
              <w:ind w:left="463" w:hanging="463"/>
              <w:rPr>
                <w:rFonts w:ascii="Times New Roman" w:hAnsi="Times New Roman"/>
                <w:sz w:val="20"/>
                <w:szCs w:val="20"/>
              </w:rPr>
            </w:pPr>
            <w:r w:rsidRPr="00091297">
              <w:rPr>
                <w:rFonts w:ascii="Times New Roman" w:hAnsi="Times New Roman"/>
                <w:sz w:val="20"/>
                <w:szCs w:val="20"/>
              </w:rPr>
              <w:t xml:space="preserve">(a) </w:t>
            </w:r>
            <w:r w:rsidR="002A09A8">
              <w:rPr>
                <w:rFonts w:ascii="Times New Roman" w:hAnsi="Times New Roman"/>
                <w:sz w:val="20"/>
                <w:szCs w:val="20"/>
              </w:rPr>
              <w:tab/>
            </w:r>
            <w:r w:rsidRPr="00091297">
              <w:rPr>
                <w:rFonts w:ascii="Times New Roman" w:hAnsi="Times New Roman"/>
                <w:sz w:val="20"/>
                <w:szCs w:val="20"/>
              </w:rPr>
              <w:t>Division 1.1, 1.2, 1.3, 1.5 or 1.6; or</w:t>
            </w:r>
          </w:p>
          <w:p w14:paraId="338510C7" w14:textId="4BDCEB35" w:rsidR="00001582" w:rsidRPr="00091297" w:rsidRDefault="00001582" w:rsidP="00A63423">
            <w:pPr>
              <w:spacing w:before="60" w:after="60" w:line="240" w:lineRule="auto"/>
              <w:ind w:left="463" w:hanging="463"/>
              <w:rPr>
                <w:rFonts w:ascii="Times New Roman" w:hAnsi="Times New Roman"/>
                <w:sz w:val="20"/>
                <w:szCs w:val="20"/>
              </w:rPr>
            </w:pPr>
            <w:r w:rsidRPr="00091297">
              <w:rPr>
                <w:rFonts w:ascii="Times New Roman" w:hAnsi="Times New Roman"/>
                <w:sz w:val="20"/>
                <w:szCs w:val="20"/>
              </w:rPr>
              <w:t xml:space="preserve">(b) </w:t>
            </w:r>
            <w:r w:rsidR="002A09A8">
              <w:rPr>
                <w:rFonts w:ascii="Times New Roman" w:hAnsi="Times New Roman"/>
                <w:sz w:val="20"/>
                <w:szCs w:val="20"/>
              </w:rPr>
              <w:tab/>
            </w:r>
            <w:r w:rsidRPr="00091297">
              <w:rPr>
                <w:rFonts w:ascii="Times New Roman" w:hAnsi="Times New Roman"/>
                <w:sz w:val="20"/>
                <w:szCs w:val="20"/>
              </w:rPr>
              <w:t>Division 1.4 and are not meeting the criteria for sub-category 2B or 2C.</w:t>
            </w:r>
            <w:r w:rsidRPr="00091297">
              <w:rPr>
                <w:rFonts w:ascii="Times New Roman" w:hAnsi="Times New Roman"/>
                <w:i/>
                <w:iCs/>
                <w:sz w:val="20"/>
                <w:szCs w:val="20"/>
                <w:vertAlign w:val="superscript"/>
              </w:rPr>
              <w:t>b</w:t>
            </w:r>
            <w:r w:rsidRPr="00091297">
              <w:rPr>
                <w:rFonts w:ascii="Times New Roman" w:hAnsi="Times New Roman"/>
                <w:i/>
                <w:iCs/>
                <w:sz w:val="20"/>
                <w:szCs w:val="20"/>
              </w:rPr>
              <w:t xml:space="preserve"> </w:t>
            </w:r>
          </w:p>
        </w:tc>
      </w:tr>
      <w:tr w:rsidR="00001582" w14:paraId="28C62C52" w14:textId="77777777" w:rsidTr="00001582">
        <w:tc>
          <w:tcPr>
            <w:tcW w:w="0" w:type="auto"/>
            <w:vMerge/>
            <w:tcBorders>
              <w:top w:val="single" w:sz="4" w:space="0" w:color="auto"/>
              <w:left w:val="single" w:sz="4" w:space="0" w:color="auto"/>
              <w:bottom w:val="single" w:sz="4" w:space="0" w:color="auto"/>
              <w:right w:val="single" w:sz="4" w:space="0" w:color="auto"/>
            </w:tcBorders>
            <w:hideMark/>
          </w:tcPr>
          <w:p w14:paraId="6EF99ACE" w14:textId="77777777" w:rsidR="00001582" w:rsidRPr="00091297" w:rsidRDefault="00001582" w:rsidP="00A63423">
            <w:pPr>
              <w:suppressAutoHyphens w:val="0"/>
              <w:spacing w:before="60" w:after="60" w:line="240" w:lineRule="auto"/>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14:paraId="78B4CF9D" w14:textId="77777777" w:rsidR="00001582" w:rsidRDefault="00001582" w:rsidP="00A63423">
            <w:pPr>
              <w:spacing w:before="60" w:after="60" w:line="240" w:lineRule="auto"/>
              <w:jc w:val="center"/>
              <w:rPr>
                <w:rFonts w:ascii="Times New Roman" w:hAnsi="Times New Roman"/>
                <w:b/>
                <w:sz w:val="20"/>
                <w:szCs w:val="20"/>
                <w:lang w:val="sv-SE"/>
              </w:rPr>
            </w:pPr>
            <w:r>
              <w:rPr>
                <w:rFonts w:ascii="Times New Roman" w:hAnsi="Times New Roman"/>
                <w:b/>
                <w:sz w:val="20"/>
                <w:szCs w:val="20"/>
                <w:lang w:val="sv-SE"/>
              </w:rPr>
              <w:t>2B</w:t>
            </w:r>
          </w:p>
        </w:tc>
        <w:tc>
          <w:tcPr>
            <w:tcW w:w="6469" w:type="dxa"/>
            <w:tcBorders>
              <w:top w:val="single" w:sz="4" w:space="0" w:color="auto"/>
              <w:left w:val="single" w:sz="4" w:space="0" w:color="auto"/>
              <w:bottom w:val="single" w:sz="4" w:space="0" w:color="auto"/>
              <w:right w:val="single" w:sz="4" w:space="0" w:color="auto"/>
            </w:tcBorders>
            <w:hideMark/>
          </w:tcPr>
          <w:p w14:paraId="135D33E1" w14:textId="22DA30FE" w:rsidR="00001582" w:rsidRPr="00091297" w:rsidRDefault="00001582" w:rsidP="00A63423">
            <w:pPr>
              <w:tabs>
                <w:tab w:val="left" w:pos="463"/>
              </w:tabs>
              <w:suppressAutoHyphens w:val="0"/>
              <w:autoSpaceDE w:val="0"/>
              <w:autoSpaceDN w:val="0"/>
              <w:adjustRightInd w:val="0"/>
              <w:spacing w:before="60" w:after="60" w:line="240" w:lineRule="auto"/>
              <w:rPr>
                <w:rFonts w:ascii="Times New Roman" w:hAnsi="Times New Roman"/>
                <w:color w:val="000000"/>
                <w:sz w:val="20"/>
                <w:szCs w:val="20"/>
                <w:lang w:eastAsia="sv-SE"/>
              </w:rPr>
            </w:pPr>
            <w:r w:rsidRPr="00091297">
              <w:rPr>
                <w:rFonts w:ascii="Times New Roman" w:hAnsi="Times New Roman"/>
                <w:color w:val="000000"/>
                <w:sz w:val="20"/>
                <w:szCs w:val="20"/>
                <w:lang w:eastAsia="sv-SE"/>
              </w:rPr>
              <w:t xml:space="preserve">Explosive substances, mixtures and articles which have been assigned to Division 1.4 and a compatibility group other than S, and which: </w:t>
            </w:r>
            <w:r w:rsidRPr="00091297">
              <w:rPr>
                <w:rFonts w:ascii="Times New Roman" w:hAnsi="Times New Roman"/>
                <w:color w:val="000000"/>
                <w:sz w:val="20"/>
                <w:szCs w:val="20"/>
                <w:lang w:eastAsia="sv-SE"/>
              </w:rPr>
              <w:br/>
              <w:t xml:space="preserve">(a) </w:t>
            </w:r>
            <w:r w:rsidR="002A09A8">
              <w:rPr>
                <w:rFonts w:ascii="Times New Roman" w:hAnsi="Times New Roman"/>
                <w:color w:val="000000"/>
                <w:sz w:val="20"/>
                <w:szCs w:val="20"/>
                <w:lang w:eastAsia="sv-SE"/>
              </w:rPr>
              <w:tab/>
            </w:r>
            <w:r w:rsidRPr="00091297">
              <w:rPr>
                <w:rFonts w:ascii="Times New Roman" w:hAnsi="Times New Roman"/>
                <w:color w:val="000000"/>
                <w:sz w:val="20"/>
                <w:szCs w:val="20"/>
                <w:lang w:eastAsia="sv-SE"/>
              </w:rPr>
              <w:t xml:space="preserve">do not detonate and disintegrate when functioned as intended; and </w:t>
            </w:r>
          </w:p>
          <w:p w14:paraId="799C0CCF" w14:textId="279656BE" w:rsidR="00001582" w:rsidRPr="00091297" w:rsidRDefault="00001582" w:rsidP="00A63423">
            <w:pPr>
              <w:tabs>
                <w:tab w:val="left" w:pos="463"/>
              </w:tabs>
              <w:suppressAutoHyphens w:val="0"/>
              <w:autoSpaceDE w:val="0"/>
              <w:autoSpaceDN w:val="0"/>
              <w:adjustRightInd w:val="0"/>
              <w:spacing w:before="60" w:after="60" w:line="240" w:lineRule="auto"/>
              <w:ind w:left="463" w:hanging="463"/>
              <w:rPr>
                <w:rFonts w:ascii="Times New Roman" w:hAnsi="Times New Roman"/>
                <w:color w:val="000000"/>
                <w:sz w:val="20"/>
                <w:szCs w:val="20"/>
                <w:lang w:eastAsia="sv-SE"/>
              </w:rPr>
            </w:pPr>
            <w:r w:rsidRPr="00091297">
              <w:rPr>
                <w:rFonts w:ascii="Times New Roman" w:hAnsi="Times New Roman"/>
                <w:color w:val="000000"/>
                <w:sz w:val="20"/>
                <w:szCs w:val="20"/>
                <w:lang w:eastAsia="sv-SE"/>
              </w:rPr>
              <w:t xml:space="preserve">(b) </w:t>
            </w:r>
            <w:r w:rsidR="002A09A8">
              <w:rPr>
                <w:rFonts w:ascii="Times New Roman" w:hAnsi="Times New Roman"/>
                <w:color w:val="000000"/>
                <w:sz w:val="20"/>
                <w:szCs w:val="20"/>
                <w:lang w:eastAsia="sv-SE"/>
              </w:rPr>
              <w:tab/>
            </w:r>
            <w:r w:rsidRPr="00091297">
              <w:rPr>
                <w:rFonts w:ascii="Times New Roman" w:hAnsi="Times New Roman"/>
                <w:color w:val="000000"/>
                <w:sz w:val="20"/>
                <w:szCs w:val="20"/>
                <w:lang w:eastAsia="sv-SE"/>
              </w:rPr>
              <w:t>exhibit no high hazard event</w:t>
            </w:r>
            <w:r w:rsidRPr="00091297">
              <w:rPr>
                <w:rFonts w:ascii="Times New Roman" w:hAnsi="Times New Roman"/>
                <w:color w:val="000000"/>
                <w:sz w:val="20"/>
                <w:szCs w:val="20"/>
                <w:vertAlign w:val="superscript"/>
                <w:lang w:eastAsia="sv-SE"/>
              </w:rPr>
              <w:t>c</w:t>
            </w:r>
            <w:r w:rsidRPr="00091297">
              <w:rPr>
                <w:rFonts w:ascii="Times New Roman" w:hAnsi="Times New Roman"/>
                <w:color w:val="000000"/>
                <w:sz w:val="20"/>
                <w:szCs w:val="20"/>
                <w:lang w:eastAsia="sv-SE"/>
              </w:rPr>
              <w:t xml:space="preserve"> in test 6(a) or 6(b) of the </w:t>
            </w:r>
            <w:r w:rsidRPr="00091297">
              <w:rPr>
                <w:rFonts w:ascii="Times New Roman" w:hAnsi="Times New Roman"/>
                <w:i/>
                <w:iCs/>
                <w:color w:val="000000"/>
                <w:sz w:val="20"/>
                <w:szCs w:val="20"/>
                <w:lang w:eastAsia="sv-SE"/>
              </w:rPr>
              <w:t>Manual of Tests and Criteria</w:t>
            </w:r>
            <w:r w:rsidRPr="00091297">
              <w:rPr>
                <w:rFonts w:ascii="Times New Roman" w:hAnsi="Times New Roman"/>
                <w:color w:val="000000"/>
                <w:sz w:val="20"/>
                <w:szCs w:val="20"/>
                <w:lang w:eastAsia="sv-SE"/>
              </w:rPr>
              <w:t xml:space="preserve">; and </w:t>
            </w:r>
          </w:p>
          <w:p w14:paraId="72A46BBD" w14:textId="1DC15A18" w:rsidR="00001582" w:rsidRPr="00091297" w:rsidRDefault="00001582" w:rsidP="00A63423">
            <w:pPr>
              <w:tabs>
                <w:tab w:val="left" w:pos="463"/>
              </w:tabs>
              <w:spacing w:before="60" w:after="60" w:line="240" w:lineRule="auto"/>
              <w:ind w:left="463" w:hanging="463"/>
              <w:rPr>
                <w:rFonts w:ascii="Times New Roman" w:hAnsi="Times New Roman"/>
                <w:sz w:val="20"/>
                <w:szCs w:val="20"/>
              </w:rPr>
            </w:pPr>
            <w:r w:rsidRPr="00091297">
              <w:rPr>
                <w:rFonts w:ascii="Times New Roman" w:hAnsi="Times New Roman"/>
                <w:sz w:val="20"/>
                <w:szCs w:val="20"/>
              </w:rPr>
              <w:t xml:space="preserve">(c) </w:t>
            </w:r>
            <w:r w:rsidR="002A09A8">
              <w:rPr>
                <w:rFonts w:ascii="Times New Roman" w:hAnsi="Times New Roman"/>
                <w:sz w:val="20"/>
                <w:szCs w:val="20"/>
              </w:rPr>
              <w:tab/>
            </w:r>
            <w:r w:rsidRPr="00091297">
              <w:rPr>
                <w:rFonts w:ascii="Times New Roman" w:hAnsi="Times New Roman"/>
                <w:sz w:val="20"/>
                <w:szCs w:val="20"/>
              </w:rPr>
              <w:t>do not require attenuating features, other than that which may be provided by a primary packaging, to mitigate a high hazard event</w:t>
            </w:r>
            <w:r w:rsidRPr="00091297">
              <w:rPr>
                <w:rFonts w:ascii="Times New Roman" w:hAnsi="Times New Roman"/>
                <w:sz w:val="20"/>
                <w:szCs w:val="20"/>
                <w:vertAlign w:val="superscript"/>
              </w:rPr>
              <w:t>c</w:t>
            </w:r>
            <w:r w:rsidRPr="00091297">
              <w:rPr>
                <w:rFonts w:ascii="Times New Roman" w:hAnsi="Times New Roman"/>
                <w:sz w:val="20"/>
                <w:szCs w:val="20"/>
              </w:rPr>
              <w:t>.</w:t>
            </w:r>
          </w:p>
        </w:tc>
      </w:tr>
      <w:tr w:rsidR="00001582" w14:paraId="77A23B60" w14:textId="77777777" w:rsidTr="00001582">
        <w:tc>
          <w:tcPr>
            <w:tcW w:w="0" w:type="auto"/>
            <w:vMerge/>
            <w:tcBorders>
              <w:top w:val="single" w:sz="4" w:space="0" w:color="auto"/>
              <w:left w:val="single" w:sz="4" w:space="0" w:color="auto"/>
              <w:bottom w:val="single" w:sz="4" w:space="0" w:color="auto"/>
              <w:right w:val="single" w:sz="4" w:space="0" w:color="auto"/>
            </w:tcBorders>
            <w:hideMark/>
          </w:tcPr>
          <w:p w14:paraId="559F069A" w14:textId="77777777" w:rsidR="00001582" w:rsidRPr="00091297" w:rsidRDefault="00001582" w:rsidP="00A63423">
            <w:pPr>
              <w:suppressAutoHyphens w:val="0"/>
              <w:spacing w:before="60" w:after="60" w:line="240" w:lineRule="auto"/>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14:paraId="50CD205B" w14:textId="77777777" w:rsidR="00001582" w:rsidRDefault="00001582" w:rsidP="00A63423">
            <w:pPr>
              <w:spacing w:before="60" w:after="60" w:line="240" w:lineRule="auto"/>
              <w:jc w:val="center"/>
              <w:rPr>
                <w:rFonts w:ascii="Times New Roman" w:hAnsi="Times New Roman"/>
                <w:b/>
                <w:sz w:val="20"/>
                <w:szCs w:val="20"/>
                <w:lang w:val="sv-SE"/>
              </w:rPr>
            </w:pPr>
            <w:r>
              <w:rPr>
                <w:rFonts w:ascii="Times New Roman" w:hAnsi="Times New Roman"/>
                <w:b/>
                <w:sz w:val="20"/>
                <w:szCs w:val="20"/>
                <w:lang w:val="sv-SE"/>
              </w:rPr>
              <w:t>2C</w:t>
            </w:r>
          </w:p>
        </w:tc>
        <w:tc>
          <w:tcPr>
            <w:tcW w:w="6469" w:type="dxa"/>
            <w:tcBorders>
              <w:top w:val="single" w:sz="4" w:space="0" w:color="auto"/>
              <w:left w:val="single" w:sz="4" w:space="0" w:color="auto"/>
              <w:bottom w:val="single" w:sz="4" w:space="0" w:color="auto"/>
              <w:right w:val="single" w:sz="4" w:space="0" w:color="auto"/>
            </w:tcBorders>
            <w:hideMark/>
          </w:tcPr>
          <w:p w14:paraId="2320FE06" w14:textId="02F2BBA5" w:rsidR="00001582" w:rsidRPr="00091297" w:rsidRDefault="00001582" w:rsidP="00A63423">
            <w:pPr>
              <w:tabs>
                <w:tab w:val="left" w:pos="481"/>
              </w:tabs>
              <w:suppressAutoHyphens w:val="0"/>
              <w:autoSpaceDE w:val="0"/>
              <w:autoSpaceDN w:val="0"/>
              <w:adjustRightInd w:val="0"/>
              <w:spacing w:before="60" w:after="60" w:line="240" w:lineRule="auto"/>
              <w:rPr>
                <w:rFonts w:ascii="Times New Roman" w:hAnsi="Times New Roman"/>
                <w:color w:val="000000"/>
                <w:sz w:val="20"/>
                <w:szCs w:val="20"/>
                <w:lang w:eastAsia="sv-SE"/>
              </w:rPr>
            </w:pPr>
            <w:r w:rsidRPr="00091297">
              <w:rPr>
                <w:rFonts w:ascii="Times New Roman" w:hAnsi="Times New Roman"/>
                <w:color w:val="000000"/>
                <w:sz w:val="20"/>
                <w:szCs w:val="20"/>
                <w:lang w:eastAsia="sv-SE"/>
              </w:rPr>
              <w:t xml:space="preserve">Explosive substances, mixtures and articles which have been assigned to Division 1.4 compatibility group S, and which: </w:t>
            </w:r>
            <w:r w:rsidRPr="00091297">
              <w:rPr>
                <w:rFonts w:ascii="Times New Roman" w:hAnsi="Times New Roman"/>
                <w:color w:val="000000"/>
                <w:sz w:val="20"/>
                <w:szCs w:val="20"/>
                <w:lang w:eastAsia="sv-SE"/>
              </w:rPr>
              <w:br/>
              <w:t xml:space="preserve">(a) </w:t>
            </w:r>
            <w:r w:rsidR="002A09A8">
              <w:rPr>
                <w:rFonts w:ascii="Times New Roman" w:hAnsi="Times New Roman"/>
                <w:color w:val="000000"/>
                <w:sz w:val="20"/>
                <w:szCs w:val="20"/>
                <w:lang w:eastAsia="sv-SE"/>
              </w:rPr>
              <w:tab/>
            </w:r>
            <w:r w:rsidRPr="00091297">
              <w:rPr>
                <w:rFonts w:ascii="Times New Roman" w:hAnsi="Times New Roman"/>
                <w:color w:val="000000"/>
                <w:sz w:val="20"/>
                <w:szCs w:val="20"/>
                <w:lang w:eastAsia="sv-SE"/>
              </w:rPr>
              <w:t>do not detonate and disintegrate when functioned as intended; and</w:t>
            </w:r>
          </w:p>
          <w:p w14:paraId="43BDEAE5" w14:textId="35154CD5" w:rsidR="00001582" w:rsidRPr="00091297" w:rsidRDefault="00001582" w:rsidP="00A63423">
            <w:pPr>
              <w:tabs>
                <w:tab w:val="left" w:pos="463"/>
              </w:tabs>
              <w:suppressAutoHyphens w:val="0"/>
              <w:autoSpaceDE w:val="0"/>
              <w:autoSpaceDN w:val="0"/>
              <w:adjustRightInd w:val="0"/>
              <w:spacing w:before="60" w:after="60" w:line="240" w:lineRule="auto"/>
              <w:ind w:left="463" w:hanging="463"/>
              <w:rPr>
                <w:rFonts w:ascii="Times New Roman" w:hAnsi="Times New Roman"/>
                <w:color w:val="000000"/>
                <w:sz w:val="20"/>
                <w:szCs w:val="20"/>
                <w:lang w:eastAsia="sv-SE"/>
              </w:rPr>
            </w:pPr>
            <w:r w:rsidRPr="00091297">
              <w:rPr>
                <w:rFonts w:ascii="Times New Roman" w:hAnsi="Times New Roman"/>
                <w:color w:val="000000"/>
                <w:sz w:val="20"/>
                <w:szCs w:val="20"/>
                <w:lang w:eastAsia="sv-SE"/>
              </w:rPr>
              <w:t xml:space="preserve">(b) </w:t>
            </w:r>
            <w:r w:rsidR="002A09A8">
              <w:rPr>
                <w:rFonts w:ascii="Times New Roman" w:hAnsi="Times New Roman"/>
                <w:color w:val="000000"/>
                <w:sz w:val="20"/>
                <w:szCs w:val="20"/>
                <w:lang w:eastAsia="sv-SE"/>
              </w:rPr>
              <w:tab/>
            </w:r>
            <w:r w:rsidRPr="00091297">
              <w:rPr>
                <w:rFonts w:ascii="Times New Roman" w:hAnsi="Times New Roman"/>
                <w:color w:val="000000"/>
                <w:sz w:val="20"/>
                <w:szCs w:val="20"/>
                <w:lang w:eastAsia="sv-SE"/>
              </w:rPr>
              <w:t>exhibit no high hazard event</w:t>
            </w:r>
            <w:r w:rsidRPr="00091297">
              <w:rPr>
                <w:rFonts w:ascii="Times New Roman" w:hAnsi="Times New Roman"/>
                <w:color w:val="000000"/>
                <w:sz w:val="20"/>
                <w:szCs w:val="20"/>
                <w:vertAlign w:val="superscript"/>
                <w:lang w:eastAsia="sv-SE"/>
              </w:rPr>
              <w:t>c</w:t>
            </w:r>
            <w:r w:rsidRPr="00091297">
              <w:rPr>
                <w:rFonts w:ascii="Times New Roman" w:hAnsi="Times New Roman"/>
                <w:color w:val="000000"/>
                <w:sz w:val="20"/>
                <w:szCs w:val="20"/>
                <w:lang w:eastAsia="sv-SE"/>
              </w:rPr>
              <w:t xml:space="preserve"> in test 6(a) or 6(b), or in the absence of these test results, similar results in test 6(d) of the </w:t>
            </w:r>
            <w:r w:rsidRPr="00091297">
              <w:rPr>
                <w:rFonts w:ascii="Times New Roman" w:hAnsi="Times New Roman"/>
                <w:i/>
                <w:iCs/>
                <w:color w:val="000000"/>
                <w:sz w:val="20"/>
                <w:szCs w:val="20"/>
                <w:lang w:eastAsia="sv-SE"/>
              </w:rPr>
              <w:t>Manual of Tests and Criteria</w:t>
            </w:r>
            <w:r w:rsidRPr="00091297">
              <w:rPr>
                <w:rFonts w:ascii="Times New Roman" w:hAnsi="Times New Roman"/>
                <w:color w:val="000000"/>
                <w:sz w:val="20"/>
                <w:szCs w:val="20"/>
                <w:lang w:eastAsia="sv-SE"/>
              </w:rPr>
              <w:t>; and</w:t>
            </w:r>
          </w:p>
          <w:p w14:paraId="67E92E4D" w14:textId="0D316173" w:rsidR="00001582" w:rsidRPr="00091297" w:rsidRDefault="00001582" w:rsidP="00A63423">
            <w:pPr>
              <w:tabs>
                <w:tab w:val="left" w:pos="463"/>
              </w:tabs>
              <w:spacing w:before="60" w:after="60" w:line="240" w:lineRule="auto"/>
              <w:ind w:left="463" w:hanging="463"/>
              <w:rPr>
                <w:rFonts w:ascii="Times New Roman" w:hAnsi="Times New Roman"/>
                <w:sz w:val="20"/>
                <w:szCs w:val="20"/>
              </w:rPr>
            </w:pPr>
            <w:r w:rsidRPr="00091297">
              <w:rPr>
                <w:rFonts w:ascii="Times New Roman" w:hAnsi="Times New Roman"/>
                <w:sz w:val="20"/>
                <w:szCs w:val="20"/>
              </w:rPr>
              <w:t xml:space="preserve">(c) </w:t>
            </w:r>
            <w:r w:rsidR="002A09A8">
              <w:rPr>
                <w:rFonts w:ascii="Times New Roman" w:hAnsi="Times New Roman"/>
                <w:sz w:val="20"/>
                <w:szCs w:val="20"/>
              </w:rPr>
              <w:tab/>
            </w:r>
            <w:r w:rsidRPr="00091297">
              <w:rPr>
                <w:rFonts w:ascii="Times New Roman" w:hAnsi="Times New Roman"/>
                <w:sz w:val="20"/>
                <w:szCs w:val="20"/>
              </w:rPr>
              <w:t>do not require attenuating features, other than that which may be provided by a primary packaging, to mitigate a high hazard event</w:t>
            </w:r>
            <w:r w:rsidRPr="00091297">
              <w:rPr>
                <w:rFonts w:ascii="Times New Roman" w:hAnsi="Times New Roman"/>
                <w:sz w:val="20"/>
                <w:szCs w:val="20"/>
                <w:vertAlign w:val="superscript"/>
              </w:rPr>
              <w:t>c</w:t>
            </w:r>
            <w:r w:rsidRPr="00091297">
              <w:rPr>
                <w:rFonts w:ascii="Times New Roman" w:hAnsi="Times New Roman"/>
                <w:sz w:val="20"/>
                <w:szCs w:val="20"/>
              </w:rPr>
              <w:t>.</w:t>
            </w:r>
          </w:p>
        </w:tc>
      </w:tr>
    </w:tbl>
    <w:p w14:paraId="3E92B05B" w14:textId="77777777" w:rsidR="00001582" w:rsidRDefault="00001582" w:rsidP="00001582">
      <w:pPr>
        <w:ind w:right="284"/>
        <w:jc w:val="both"/>
      </w:pPr>
    </w:p>
    <w:p w14:paraId="1C84573F" w14:textId="172EC8F4" w:rsidR="00001582" w:rsidRDefault="00001582" w:rsidP="00140844">
      <w:pPr>
        <w:tabs>
          <w:tab w:val="left" w:pos="1418"/>
        </w:tabs>
        <w:spacing w:after="160" w:line="240" w:lineRule="auto"/>
        <w:ind w:left="1134" w:right="284"/>
        <w:jc w:val="both"/>
        <w:rPr>
          <w:i/>
          <w:iCs/>
        </w:rPr>
      </w:pPr>
      <w:r>
        <w:rPr>
          <w:i/>
          <w:iCs/>
          <w:vertAlign w:val="superscript"/>
        </w:rPr>
        <w:t>a</w:t>
      </w:r>
      <w:r>
        <w:rPr>
          <w:i/>
          <w:iCs/>
        </w:rPr>
        <w:t xml:space="preserve"> </w:t>
      </w:r>
      <w:r w:rsidR="00140844">
        <w:rPr>
          <w:i/>
          <w:iCs/>
        </w:rPr>
        <w:tab/>
      </w:r>
      <w:r>
        <w:rPr>
          <w:i/>
          <w:iCs/>
        </w:rPr>
        <w:t>Explosives in Category 2 that are removed from their primary packaging for use remain classified in Category 2, see 2.1.1.3.4.</w:t>
      </w:r>
    </w:p>
    <w:p w14:paraId="3E50510F" w14:textId="78DFFEEC" w:rsidR="00001582" w:rsidRDefault="00001582" w:rsidP="00140844">
      <w:pPr>
        <w:tabs>
          <w:tab w:val="left" w:pos="1418"/>
        </w:tabs>
        <w:spacing w:after="160" w:line="240" w:lineRule="auto"/>
        <w:ind w:left="1134" w:right="284"/>
        <w:jc w:val="both"/>
        <w:rPr>
          <w:i/>
          <w:iCs/>
        </w:rPr>
      </w:pPr>
      <w:r>
        <w:rPr>
          <w:i/>
          <w:iCs/>
          <w:vertAlign w:val="superscript"/>
        </w:rPr>
        <w:t>b</w:t>
      </w:r>
      <w:r>
        <w:rPr>
          <w:i/>
          <w:iCs/>
        </w:rPr>
        <w:t xml:space="preserve"> </w:t>
      </w:r>
      <w:r w:rsidR="00140844">
        <w:rPr>
          <w:i/>
          <w:iCs/>
        </w:rPr>
        <w:tab/>
      </w:r>
      <w:r>
        <w:rPr>
          <w:i/>
          <w:iCs/>
        </w:rPr>
        <w:t xml:space="preserve">The manufacturer, supplier or competent authority may classify an explosive of Division 1.4 as sub-category 2A on basis of data or other considerations even if it meets the technical criteria for sub-category 2B or 2C. </w:t>
      </w:r>
    </w:p>
    <w:p w14:paraId="546E9ED5" w14:textId="44438C1C" w:rsidR="00001582" w:rsidRDefault="00001582" w:rsidP="00140844">
      <w:pPr>
        <w:tabs>
          <w:tab w:val="left" w:pos="1418"/>
        </w:tabs>
        <w:spacing w:after="160" w:line="240" w:lineRule="auto"/>
        <w:ind w:left="1134" w:right="284"/>
        <w:jc w:val="both"/>
        <w:rPr>
          <w:i/>
          <w:iCs/>
        </w:rPr>
      </w:pPr>
      <w:r>
        <w:rPr>
          <w:i/>
          <w:iCs/>
          <w:vertAlign w:val="superscript"/>
        </w:rPr>
        <w:t>c</w:t>
      </w:r>
      <w:r>
        <w:rPr>
          <w:i/>
          <w:iCs/>
        </w:rPr>
        <w:t xml:space="preserve"> </w:t>
      </w:r>
      <w:r w:rsidR="00140844">
        <w:rPr>
          <w:i/>
          <w:iCs/>
        </w:rPr>
        <w:tab/>
      </w:r>
      <w:r>
        <w:rPr>
          <w:i/>
          <w:iCs/>
        </w:rPr>
        <w:t>A high hazard event is exhibited when performing test 6(a) or 6(b), according to the Manual of Tests and Criteria, by:</w:t>
      </w:r>
    </w:p>
    <w:p w14:paraId="540B9C5B" w14:textId="77777777" w:rsidR="00140844" w:rsidRDefault="00001582" w:rsidP="00140844">
      <w:pPr>
        <w:spacing w:after="160" w:line="240" w:lineRule="auto"/>
        <w:ind w:left="2268" w:right="284" w:hanging="425"/>
        <w:jc w:val="both"/>
        <w:rPr>
          <w:i/>
          <w:iCs/>
        </w:rPr>
      </w:pPr>
      <w:r>
        <w:rPr>
          <w:i/>
          <w:iCs/>
        </w:rPr>
        <w:t>(a)</w:t>
      </w:r>
      <w:r>
        <w:rPr>
          <w:i/>
          <w:iCs/>
        </w:rPr>
        <w:tab/>
      </w:r>
      <w:r w:rsidRPr="00001582">
        <w:rPr>
          <w:i/>
          <w:iCs/>
        </w:rPr>
        <w:t xml:space="preserve">a significant change in the witness plate shape, such as perforation, gouge, substantial dent or bowing; or </w:t>
      </w:r>
    </w:p>
    <w:p w14:paraId="1AB5DF80" w14:textId="51FFB639" w:rsidR="00001582" w:rsidRPr="00001582" w:rsidRDefault="00001582" w:rsidP="00140844">
      <w:pPr>
        <w:pStyle w:val="ListParagraph"/>
        <w:spacing w:before="80" w:after="160"/>
        <w:ind w:left="2268" w:right="284" w:hanging="414"/>
        <w:contextualSpacing/>
        <w:rPr>
          <w:i/>
          <w:sz w:val="20"/>
          <w:szCs w:val="20"/>
        </w:rPr>
      </w:pPr>
      <w:r>
        <w:rPr>
          <w:i/>
          <w:iCs/>
          <w:sz w:val="20"/>
          <w:szCs w:val="20"/>
        </w:rPr>
        <w:t>(b)</w:t>
      </w:r>
      <w:r>
        <w:rPr>
          <w:i/>
          <w:iCs/>
          <w:sz w:val="20"/>
          <w:szCs w:val="20"/>
        </w:rPr>
        <w:tab/>
      </w:r>
      <w:r w:rsidRPr="00001582">
        <w:rPr>
          <w:i/>
          <w:iCs/>
          <w:sz w:val="20"/>
          <w:szCs w:val="20"/>
        </w:rPr>
        <w:t>instantaneous scattering of most of the confining material.</w:t>
      </w:r>
    </w:p>
    <w:p w14:paraId="50B31B75" w14:textId="763F3CDA" w:rsidR="00001582" w:rsidRDefault="00001582" w:rsidP="00153A5D">
      <w:pPr>
        <w:keepNext/>
        <w:keepLines/>
        <w:spacing w:after="240"/>
        <w:ind w:left="1134" w:right="284"/>
        <w:jc w:val="both"/>
      </w:pPr>
      <w:r>
        <w:lastRenderedPageBreak/>
        <w:t>2.1.2.2</w:t>
      </w:r>
      <w:r>
        <w:tab/>
      </w:r>
      <w:r>
        <w:tab/>
        <w:t>The Divisions are as follows</w:t>
      </w:r>
      <w:r w:rsidR="00153A5D">
        <w:t>:</w:t>
      </w:r>
    </w:p>
    <w:p w14:paraId="34FC861B" w14:textId="77777777" w:rsidR="00001582" w:rsidRDefault="00001582" w:rsidP="00001582">
      <w:pPr>
        <w:spacing w:after="240"/>
        <w:ind w:left="2835" w:right="284" w:hanging="567"/>
        <w:jc w:val="both"/>
      </w:pPr>
      <w:r>
        <w:t>(a)</w:t>
      </w:r>
      <w:r>
        <w:tab/>
        <w:t>Division 1.1: Substances, mixtures and articles which have a mass explosion hazard (a mass explosion is one which affects almost the entire quantity present virtually instantaneously);</w:t>
      </w:r>
    </w:p>
    <w:p w14:paraId="74E4B6B4" w14:textId="77777777" w:rsidR="00001582" w:rsidRDefault="00001582" w:rsidP="00001582">
      <w:pPr>
        <w:spacing w:after="240"/>
        <w:ind w:left="2835" w:right="284" w:hanging="567"/>
        <w:jc w:val="both"/>
      </w:pPr>
      <w:r>
        <w:t>(b)</w:t>
      </w:r>
      <w:r>
        <w:tab/>
        <w:t>Division 1.2: Substances, mixtures and articles which have a projection hazard but not a mass explosion hazard;</w:t>
      </w:r>
    </w:p>
    <w:p w14:paraId="4FC17FBB" w14:textId="77777777" w:rsidR="00001582" w:rsidRDefault="00001582" w:rsidP="00001582">
      <w:pPr>
        <w:spacing w:after="240"/>
        <w:ind w:left="2835" w:right="284" w:hanging="567"/>
        <w:jc w:val="both"/>
      </w:pPr>
      <w:r>
        <w:t>(c)</w:t>
      </w:r>
      <w:r>
        <w:tab/>
        <w:t>Division 1.3: Substances, mixtures and articles which have a fire hazard and either a minor blast hazard or a minor projection hazard or both, but not a mass explosion hazard:</w:t>
      </w:r>
    </w:p>
    <w:p w14:paraId="47203CD5" w14:textId="77777777" w:rsidR="00001582" w:rsidRDefault="00001582" w:rsidP="00001582">
      <w:pPr>
        <w:spacing w:after="240"/>
        <w:ind w:left="3402" w:right="284" w:hanging="567"/>
        <w:jc w:val="both"/>
      </w:pPr>
      <w:r>
        <w:t>(i)</w:t>
      </w:r>
      <w:r>
        <w:tab/>
        <w:t>combustion of which give rise to considerable radiant heat; or</w:t>
      </w:r>
    </w:p>
    <w:p w14:paraId="3ACA87B4" w14:textId="77777777" w:rsidR="00001582" w:rsidRDefault="00001582" w:rsidP="00001582">
      <w:pPr>
        <w:spacing w:after="240"/>
        <w:ind w:left="3402" w:right="284" w:hanging="567"/>
        <w:jc w:val="both"/>
      </w:pPr>
      <w:r>
        <w:t>(ii)</w:t>
      </w:r>
      <w:r>
        <w:tab/>
        <w:t>which burn one after another, producing minor blast or projection effects or both;</w:t>
      </w:r>
    </w:p>
    <w:p w14:paraId="47F061BA" w14:textId="77777777" w:rsidR="00001582" w:rsidRDefault="00001582" w:rsidP="00001582">
      <w:pPr>
        <w:spacing w:after="240"/>
        <w:ind w:left="2835" w:right="284" w:hanging="567"/>
        <w:jc w:val="both"/>
      </w:pPr>
      <w:r>
        <w:t>(d)</w:t>
      </w:r>
      <w:r>
        <w:tab/>
        <w:t>Division 1.4: Substances and articles which present no significant hazard: substances, mixtures and articles which present only a small hazard in the event of ignition or initiation. The effects are largely confined to the package and no projection of fragments of appreciable size or range is to be expected. An external fire shall not cause virtually instantaneous explosion of almost the entire contents of the package;</w:t>
      </w:r>
    </w:p>
    <w:p w14:paraId="59578D8E" w14:textId="77777777" w:rsidR="00001582" w:rsidRDefault="00001582" w:rsidP="00001582">
      <w:pPr>
        <w:spacing w:after="240"/>
        <w:ind w:left="2835" w:right="284" w:hanging="567"/>
        <w:jc w:val="both"/>
      </w:pPr>
      <w:r>
        <w:t>(e)</w:t>
      </w:r>
      <w:r>
        <w:tab/>
        <w:t>Division 1.4 compatibility group S: Substances, mixtures and articles so packed or designed that any hazardous effects arising from accidental functioning are confined within the package unless the package has been degraded by fire, in which case all blast or projection effects are limited to the extent that they do not significantly hinder fire-fighting or other emergency response efforts in the immediate vicinity of the package.</w:t>
      </w:r>
    </w:p>
    <w:p w14:paraId="0265631A" w14:textId="77777777" w:rsidR="00001582" w:rsidRDefault="00001582" w:rsidP="00001582">
      <w:pPr>
        <w:spacing w:after="240"/>
        <w:ind w:left="2835" w:right="284" w:hanging="567"/>
        <w:jc w:val="both"/>
      </w:pPr>
      <w:r>
        <w:t>(f)</w:t>
      </w:r>
      <w:r>
        <w:tab/>
        <w:t>Division 1.5: Very insensitive substances or mixtures which have a mass explosion hazard: substances and mixtures which have a mass explosion hazard but are so insensitive that there is very little probability of initiation or of transition from burning to detonation under normal conditions. The probability of transition from burning to detonation is greater when large quantities are present.</w:t>
      </w:r>
    </w:p>
    <w:p w14:paraId="00595853" w14:textId="77777777" w:rsidR="00001582" w:rsidRDefault="00001582" w:rsidP="00001582">
      <w:pPr>
        <w:spacing w:after="240"/>
        <w:ind w:left="2835" w:right="284" w:hanging="567"/>
        <w:jc w:val="both"/>
      </w:pPr>
      <w:r>
        <w:t>(g)</w:t>
      </w:r>
      <w:r>
        <w:tab/>
        <w:t>Division 1.6: Extremely insensitive articles which do not have a mass explosion hazard: articles which predominantly contain extremely insensitive substances or mixtures and which demonstrate a negligible probability of accidental initiation or propagation. The hazard from articles of Division 1.6 is limited to the explosion of a single article.</w:t>
      </w:r>
    </w:p>
    <w:p w14:paraId="13C9F758" w14:textId="1A2BCA2A" w:rsidR="00001582" w:rsidRDefault="00001582" w:rsidP="00001582">
      <w:pPr>
        <w:ind w:left="1134" w:right="284"/>
        <w:jc w:val="both"/>
        <w:rPr>
          <w:i/>
        </w:rPr>
      </w:pPr>
      <w:r>
        <w:rPr>
          <w:b/>
          <w:i/>
        </w:rPr>
        <w:t>NOTE 1:</w:t>
      </w:r>
      <w:r>
        <w:rPr>
          <w:i/>
        </w:rPr>
        <w:t xml:space="preserve"> </w:t>
      </w:r>
      <w:r w:rsidR="00070FF0">
        <w:rPr>
          <w:i/>
        </w:rPr>
        <w:tab/>
      </w:r>
      <w:r>
        <w:rPr>
          <w:i/>
        </w:rPr>
        <w:t>For some regulatory purposes, the divisions are further subdivided into compatibility groups which identify the kinds of explosives that are deemed to be compatible (see 2.1.2 of the UN Model Regulations, Chapter 2.1).</w:t>
      </w:r>
    </w:p>
    <w:p w14:paraId="46229EBF" w14:textId="77777777" w:rsidR="00001582" w:rsidRDefault="00001582" w:rsidP="00001582">
      <w:pPr>
        <w:ind w:left="1134" w:right="284"/>
        <w:jc w:val="both"/>
        <w:rPr>
          <w:i/>
        </w:rPr>
      </w:pPr>
    </w:p>
    <w:p w14:paraId="3930CC92" w14:textId="1CF75DF7" w:rsidR="00001582" w:rsidRDefault="00001582" w:rsidP="00001582">
      <w:pPr>
        <w:ind w:left="1134" w:right="284"/>
        <w:jc w:val="both"/>
        <w:rPr>
          <w:i/>
        </w:rPr>
      </w:pPr>
      <w:r>
        <w:rPr>
          <w:b/>
          <w:i/>
        </w:rPr>
        <w:t>NOTE 2:</w:t>
      </w:r>
      <w:r>
        <w:rPr>
          <w:i/>
        </w:rPr>
        <w:t xml:space="preserve"> </w:t>
      </w:r>
      <w:r w:rsidR="00070FF0">
        <w:rPr>
          <w:i/>
        </w:rPr>
        <w:tab/>
      </w:r>
      <w:r>
        <w:rPr>
          <w:i/>
        </w:rPr>
        <w:t>While Division 1.4 compatibility group S is not a division of its own, this classification corresponds to a separate division based on additional criteria.</w:t>
      </w:r>
    </w:p>
    <w:p w14:paraId="2024C5F2" w14:textId="77777777" w:rsidR="00001582" w:rsidRDefault="00001582" w:rsidP="00001582">
      <w:pPr>
        <w:ind w:left="1134" w:right="284"/>
        <w:jc w:val="both"/>
        <w:rPr>
          <w:i/>
        </w:rPr>
      </w:pPr>
    </w:p>
    <w:p w14:paraId="3DCAA4A3" w14:textId="58DC82C1" w:rsidR="00001582" w:rsidRDefault="00001582" w:rsidP="00001582">
      <w:pPr>
        <w:tabs>
          <w:tab w:val="left" w:pos="2268"/>
        </w:tabs>
        <w:ind w:left="1134" w:right="284"/>
        <w:jc w:val="both"/>
        <w:rPr>
          <w:i/>
        </w:rPr>
      </w:pPr>
      <w:r>
        <w:rPr>
          <w:b/>
          <w:i/>
        </w:rPr>
        <w:t>NOTE 3:</w:t>
      </w:r>
      <w:r>
        <w:rPr>
          <w:i/>
        </w:rPr>
        <w:t xml:space="preserve"> </w:t>
      </w:r>
      <w:r w:rsidR="00070FF0">
        <w:rPr>
          <w:i/>
        </w:rPr>
        <w:tab/>
      </w:r>
      <w:r>
        <w:rPr>
          <w:i/>
        </w:rPr>
        <w:t>For classification tests on explosive substances or mixtures, the tests should be performed on the substance or mixture as presented. If for example, for the purposes of supply or transport, the same substance or mixture is to be presented in a physical form different from that which was tested and which is considered likely to materially alter its performance in a classification test, it must also be tested in the new form.</w:t>
      </w:r>
    </w:p>
    <w:p w14:paraId="3B7E21FF" w14:textId="77777777" w:rsidR="00001582" w:rsidRDefault="00001582" w:rsidP="00001582">
      <w:pPr>
        <w:tabs>
          <w:tab w:val="left" w:pos="2268"/>
        </w:tabs>
        <w:spacing w:before="240"/>
        <w:ind w:left="1134" w:right="284"/>
        <w:jc w:val="both"/>
        <w:rPr>
          <w:b/>
        </w:rPr>
      </w:pPr>
      <w:r>
        <w:rPr>
          <w:b/>
        </w:rPr>
        <w:lastRenderedPageBreak/>
        <w:t>2.1.3</w:t>
      </w:r>
      <w:r>
        <w:rPr>
          <w:b/>
        </w:rPr>
        <w:tab/>
        <w:t>Hazard communication</w:t>
      </w:r>
    </w:p>
    <w:p w14:paraId="70EB0E86" w14:textId="77777777" w:rsidR="00001582" w:rsidRDefault="00001582" w:rsidP="00001582">
      <w:pPr>
        <w:ind w:left="1134" w:right="284"/>
        <w:jc w:val="both"/>
      </w:pPr>
    </w:p>
    <w:p w14:paraId="0499112F" w14:textId="77777777" w:rsidR="00001582" w:rsidRDefault="00001582" w:rsidP="00001582">
      <w:pPr>
        <w:ind w:left="1134" w:right="284"/>
        <w:jc w:val="both"/>
      </w:pPr>
      <w:r>
        <w:t>General and specific considerations concerning labelling requirements are provided in Hazard communication: Labelling (Chapter 1.4). Annex 1 contains summary tables about classification and labelling. Annex 3 contains examples of precautionary statements and pictograms which can be used where allowed by the competent authority.</w:t>
      </w:r>
    </w:p>
    <w:p w14:paraId="7F34FE21" w14:textId="77777777" w:rsidR="00001582" w:rsidRDefault="00001582" w:rsidP="00001582">
      <w:pPr>
        <w:ind w:left="1134" w:right="284"/>
        <w:jc w:val="both"/>
      </w:pPr>
    </w:p>
    <w:tbl>
      <w:tblPr>
        <w:tblStyle w:val="TableGrid"/>
        <w:tblW w:w="0" w:type="auto"/>
        <w:tblInd w:w="1134" w:type="dxa"/>
        <w:tblCellMar>
          <w:top w:w="57" w:type="dxa"/>
          <w:left w:w="57" w:type="dxa"/>
          <w:bottom w:w="57" w:type="dxa"/>
          <w:right w:w="57" w:type="dxa"/>
        </w:tblCellMar>
        <w:tblLook w:val="04A0" w:firstRow="1" w:lastRow="0" w:firstColumn="1" w:lastColumn="0" w:noHBand="0" w:noVBand="1"/>
      </w:tblPr>
      <w:tblGrid>
        <w:gridCol w:w="1271"/>
        <w:gridCol w:w="1701"/>
        <w:gridCol w:w="1701"/>
        <w:gridCol w:w="1701"/>
        <w:gridCol w:w="1701"/>
      </w:tblGrid>
      <w:tr w:rsidR="00001582" w:rsidRPr="00027EB8" w14:paraId="7DCBCF1A" w14:textId="77777777" w:rsidTr="00A63423">
        <w:tc>
          <w:tcPr>
            <w:tcW w:w="1271" w:type="dxa"/>
            <w:tcBorders>
              <w:top w:val="single" w:sz="4" w:space="0" w:color="auto"/>
              <w:left w:val="single" w:sz="4" w:space="0" w:color="auto"/>
              <w:bottom w:val="single" w:sz="4" w:space="0" w:color="auto"/>
              <w:right w:val="single" w:sz="4" w:space="0" w:color="auto"/>
            </w:tcBorders>
            <w:hideMark/>
          </w:tcPr>
          <w:p w14:paraId="2F0631D3" w14:textId="77777777" w:rsidR="00001582" w:rsidRPr="00027EB8" w:rsidRDefault="00001582" w:rsidP="00001582">
            <w:pPr>
              <w:keepNext/>
              <w:keepLines/>
              <w:ind w:right="-84"/>
              <w:jc w:val="both"/>
              <w:rPr>
                <w:b/>
              </w:rPr>
            </w:pPr>
            <w:r w:rsidRPr="00027EB8">
              <w:rPr>
                <w:b/>
              </w:rPr>
              <w:t>Category</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BB22C9E" w14:textId="77777777" w:rsidR="00001582" w:rsidRPr="00027EB8" w:rsidRDefault="00001582" w:rsidP="00001582">
            <w:pPr>
              <w:keepNext/>
              <w:keepLines/>
              <w:jc w:val="center"/>
              <w:rPr>
                <w:b/>
              </w:rPr>
            </w:pPr>
            <w:r w:rsidRPr="00027EB8">
              <w:rPr>
                <w:b/>
              </w:rPr>
              <w:t>1</w:t>
            </w: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1D666F62" w14:textId="77777777" w:rsidR="00001582" w:rsidRPr="00027EB8" w:rsidRDefault="00001582" w:rsidP="00001582">
            <w:pPr>
              <w:keepNext/>
              <w:keepLines/>
              <w:jc w:val="center"/>
              <w:rPr>
                <w:b/>
              </w:rPr>
            </w:pPr>
            <w:r w:rsidRPr="00027EB8">
              <w:rPr>
                <w:b/>
              </w:rPr>
              <w:t>2</w:t>
            </w:r>
          </w:p>
        </w:tc>
      </w:tr>
      <w:tr w:rsidR="00001582" w:rsidRPr="00027EB8" w14:paraId="161EC3CA" w14:textId="77777777" w:rsidTr="00A63423">
        <w:tc>
          <w:tcPr>
            <w:tcW w:w="1271" w:type="dxa"/>
            <w:tcBorders>
              <w:top w:val="single" w:sz="4" w:space="0" w:color="auto"/>
              <w:left w:val="single" w:sz="4" w:space="0" w:color="auto"/>
              <w:bottom w:val="single" w:sz="4" w:space="0" w:color="auto"/>
              <w:right w:val="single" w:sz="4" w:space="0" w:color="auto"/>
            </w:tcBorders>
            <w:hideMark/>
          </w:tcPr>
          <w:p w14:paraId="0ED503BF" w14:textId="77777777" w:rsidR="00001582" w:rsidRPr="00027EB8" w:rsidRDefault="00001582" w:rsidP="00001582">
            <w:pPr>
              <w:keepNext/>
              <w:keepLines/>
              <w:ind w:right="-84"/>
              <w:jc w:val="both"/>
              <w:rPr>
                <w:b/>
              </w:rPr>
            </w:pPr>
            <w:r w:rsidRPr="00027EB8">
              <w:rPr>
                <w:b/>
              </w:rPr>
              <w:t>Sub-category</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CFD6E10" w14:textId="77777777" w:rsidR="00001582" w:rsidRPr="00027EB8" w:rsidRDefault="00001582" w:rsidP="00A63423">
            <w:pPr>
              <w:keepNext/>
              <w:keepLines/>
              <w:jc w:val="center"/>
              <w:rPr>
                <w:i/>
              </w:rPr>
            </w:pPr>
            <w:r w:rsidRPr="00027EB8">
              <w:rPr>
                <w:i/>
              </w:rPr>
              <w:t>Not applicable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1740DB7" w14:textId="77777777" w:rsidR="00001582" w:rsidRPr="00027EB8" w:rsidRDefault="00001582" w:rsidP="00001582">
            <w:pPr>
              <w:keepNext/>
              <w:keepLines/>
              <w:jc w:val="center"/>
              <w:rPr>
                <w:b/>
              </w:rPr>
            </w:pPr>
            <w:r w:rsidRPr="00027EB8">
              <w:rPr>
                <w:b/>
              </w:rPr>
              <w:t>2A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C3EFE46" w14:textId="77777777" w:rsidR="00001582" w:rsidRPr="00027EB8" w:rsidRDefault="00001582" w:rsidP="00001582">
            <w:pPr>
              <w:keepNext/>
              <w:keepLines/>
              <w:jc w:val="center"/>
              <w:rPr>
                <w:b/>
              </w:rPr>
            </w:pPr>
            <w:r w:rsidRPr="00027EB8">
              <w:rPr>
                <w:b/>
              </w:rPr>
              <w:t>2B</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7AD8046" w14:textId="77777777" w:rsidR="00001582" w:rsidRPr="00027EB8" w:rsidRDefault="00001582" w:rsidP="00001582">
            <w:pPr>
              <w:keepNext/>
              <w:keepLines/>
              <w:jc w:val="center"/>
              <w:rPr>
                <w:b/>
              </w:rPr>
            </w:pPr>
            <w:r w:rsidRPr="00027EB8">
              <w:rPr>
                <w:b/>
              </w:rPr>
              <w:t>2C</w:t>
            </w:r>
          </w:p>
        </w:tc>
      </w:tr>
      <w:tr w:rsidR="00001582" w:rsidRPr="00027EB8" w14:paraId="227A8110" w14:textId="77777777" w:rsidTr="00A63423">
        <w:tc>
          <w:tcPr>
            <w:tcW w:w="1271" w:type="dxa"/>
            <w:tcBorders>
              <w:top w:val="single" w:sz="4" w:space="0" w:color="auto"/>
              <w:left w:val="single" w:sz="4" w:space="0" w:color="auto"/>
              <w:bottom w:val="single" w:sz="4" w:space="0" w:color="auto"/>
              <w:right w:val="single" w:sz="4" w:space="0" w:color="auto"/>
            </w:tcBorders>
            <w:hideMark/>
          </w:tcPr>
          <w:p w14:paraId="3549E55D" w14:textId="77777777" w:rsidR="00001582" w:rsidRPr="00027EB8" w:rsidRDefault="00001582" w:rsidP="00001582">
            <w:pPr>
              <w:keepNext/>
              <w:keepLines/>
              <w:ind w:right="-84"/>
              <w:jc w:val="both"/>
              <w:rPr>
                <w:b/>
              </w:rPr>
            </w:pPr>
            <w:r w:rsidRPr="00027EB8">
              <w:rPr>
                <w:b/>
              </w:rPr>
              <w:t>Symbol</w:t>
            </w:r>
            <w:r w:rsidRPr="00027EB8">
              <w:rPr>
                <w:b/>
                <w:vertAlign w:val="superscript"/>
              </w:rPr>
              <w:t>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EF0F77A" w14:textId="76B63973" w:rsidR="00001582" w:rsidRPr="00027EB8" w:rsidRDefault="00001582" w:rsidP="002A09A8">
            <w:pPr>
              <w:keepNext/>
              <w:keepLines/>
              <w:jc w:val="center"/>
            </w:pPr>
            <w:r w:rsidRPr="00027EB8">
              <w:t>Exploding bomb</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D52E33B" w14:textId="4767DDD6" w:rsidR="00001582" w:rsidRPr="00027EB8" w:rsidRDefault="00001582" w:rsidP="002A09A8">
            <w:pPr>
              <w:keepNext/>
              <w:keepLines/>
              <w:jc w:val="center"/>
              <w:rPr>
                <w:vertAlign w:val="superscript"/>
              </w:rPr>
            </w:pPr>
            <w:r w:rsidRPr="00027EB8">
              <w:t>Exploding bomb</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FE41517" w14:textId="1C2EB87A" w:rsidR="00001582" w:rsidRPr="00027EB8" w:rsidRDefault="00001582" w:rsidP="002A09A8">
            <w:pPr>
              <w:keepNext/>
              <w:keepLines/>
              <w:jc w:val="center"/>
            </w:pPr>
            <w:r w:rsidRPr="00027EB8">
              <w:t>Exploding bomb</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583F5D3" w14:textId="65CD9DE1" w:rsidR="00001582" w:rsidRPr="00027EB8" w:rsidRDefault="00001582" w:rsidP="002A09A8">
            <w:pPr>
              <w:keepNext/>
              <w:keepLines/>
              <w:jc w:val="center"/>
            </w:pPr>
            <w:r w:rsidRPr="00027EB8">
              <w:t>Exclamation mark</w:t>
            </w:r>
          </w:p>
        </w:tc>
      </w:tr>
      <w:tr w:rsidR="00001582" w:rsidRPr="00027EB8" w14:paraId="106B7F0B" w14:textId="77777777" w:rsidTr="00A63423">
        <w:tc>
          <w:tcPr>
            <w:tcW w:w="1271" w:type="dxa"/>
            <w:tcBorders>
              <w:top w:val="single" w:sz="4" w:space="0" w:color="auto"/>
              <w:left w:val="single" w:sz="4" w:space="0" w:color="auto"/>
              <w:bottom w:val="single" w:sz="4" w:space="0" w:color="auto"/>
              <w:right w:val="single" w:sz="4" w:space="0" w:color="auto"/>
            </w:tcBorders>
            <w:hideMark/>
          </w:tcPr>
          <w:p w14:paraId="50B5FB62" w14:textId="77777777" w:rsidR="00001582" w:rsidRPr="00027EB8" w:rsidRDefault="00001582" w:rsidP="00001582">
            <w:pPr>
              <w:keepNext/>
              <w:keepLines/>
              <w:ind w:right="-84"/>
              <w:jc w:val="both"/>
              <w:rPr>
                <w:b/>
              </w:rPr>
            </w:pPr>
            <w:r w:rsidRPr="00027EB8">
              <w:rPr>
                <w:b/>
              </w:rPr>
              <w:t>Signal word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079BDC2" w14:textId="77777777" w:rsidR="00001582" w:rsidRPr="00027EB8" w:rsidRDefault="00001582" w:rsidP="002A09A8">
            <w:pPr>
              <w:keepNext/>
              <w:keepLines/>
              <w:jc w:val="center"/>
            </w:pPr>
            <w:r w:rsidRPr="00027EB8">
              <w:t>Danger</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971AF8B" w14:textId="77777777" w:rsidR="00001582" w:rsidRPr="00027EB8" w:rsidRDefault="00001582" w:rsidP="002A09A8">
            <w:pPr>
              <w:keepNext/>
              <w:keepLines/>
              <w:jc w:val="center"/>
            </w:pPr>
            <w:r w:rsidRPr="00027EB8">
              <w:t>Danger</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96828E8" w14:textId="77777777" w:rsidR="00001582" w:rsidRPr="00027EB8" w:rsidRDefault="00001582" w:rsidP="002A09A8">
            <w:pPr>
              <w:keepNext/>
              <w:keepLines/>
              <w:jc w:val="center"/>
            </w:pPr>
            <w:r w:rsidRPr="00027EB8">
              <w:t>Warning</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BF63C13" w14:textId="77777777" w:rsidR="00001582" w:rsidRPr="00027EB8" w:rsidRDefault="00001582" w:rsidP="002A09A8">
            <w:pPr>
              <w:keepNext/>
              <w:keepLines/>
              <w:jc w:val="center"/>
            </w:pPr>
            <w:r w:rsidRPr="00027EB8">
              <w:t>Warning</w:t>
            </w:r>
          </w:p>
        </w:tc>
      </w:tr>
      <w:tr w:rsidR="00001582" w:rsidRPr="00027EB8" w14:paraId="4A55C96B" w14:textId="77777777" w:rsidTr="00A63423">
        <w:tc>
          <w:tcPr>
            <w:tcW w:w="1271" w:type="dxa"/>
            <w:tcBorders>
              <w:top w:val="single" w:sz="4" w:space="0" w:color="auto"/>
              <w:left w:val="single" w:sz="4" w:space="0" w:color="auto"/>
              <w:bottom w:val="single" w:sz="4" w:space="0" w:color="auto"/>
              <w:right w:val="single" w:sz="4" w:space="0" w:color="auto"/>
            </w:tcBorders>
            <w:hideMark/>
          </w:tcPr>
          <w:p w14:paraId="06F5902F" w14:textId="77777777" w:rsidR="00001582" w:rsidRPr="00027EB8" w:rsidRDefault="00001582" w:rsidP="00001582">
            <w:pPr>
              <w:keepNext/>
              <w:keepLines/>
              <w:ind w:right="-84"/>
              <w:jc w:val="both"/>
              <w:rPr>
                <w:b/>
              </w:rPr>
            </w:pPr>
            <w:r w:rsidRPr="00027EB8">
              <w:rPr>
                <w:b/>
              </w:rPr>
              <w:t>Hazard statement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5A8FD9E" w14:textId="77777777" w:rsidR="00001582" w:rsidRPr="00027EB8" w:rsidRDefault="00001582" w:rsidP="002A09A8">
            <w:pPr>
              <w:keepNext/>
              <w:keepLines/>
              <w:jc w:val="center"/>
            </w:pPr>
            <w:r w:rsidRPr="00027EB8">
              <w:t>Explosive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F166620" w14:textId="77777777" w:rsidR="00001582" w:rsidRPr="00027EB8" w:rsidRDefault="00001582" w:rsidP="002A09A8">
            <w:pPr>
              <w:keepNext/>
              <w:keepLines/>
              <w:jc w:val="center"/>
            </w:pPr>
            <w:r w:rsidRPr="00027EB8">
              <w:t>Explosive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958974A" w14:textId="77777777" w:rsidR="00001582" w:rsidRPr="00027EB8" w:rsidRDefault="00001582" w:rsidP="002A09A8">
            <w:pPr>
              <w:keepNext/>
              <w:keepLines/>
              <w:jc w:val="center"/>
            </w:pPr>
            <w:r w:rsidRPr="00027EB8">
              <w:t>Fire or projection hazard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6B0DE88" w14:textId="77777777" w:rsidR="00001582" w:rsidRPr="00027EB8" w:rsidRDefault="00001582" w:rsidP="002A09A8">
            <w:pPr>
              <w:keepNext/>
              <w:keepLines/>
              <w:jc w:val="center"/>
            </w:pPr>
            <w:r w:rsidRPr="00027EB8">
              <w:t>Fire or projection hazard</w:t>
            </w:r>
          </w:p>
        </w:tc>
      </w:tr>
      <w:tr w:rsidR="00001582" w:rsidRPr="00027EB8" w14:paraId="509C2156" w14:textId="77777777" w:rsidTr="00A63423">
        <w:tc>
          <w:tcPr>
            <w:tcW w:w="1271" w:type="dxa"/>
            <w:tcBorders>
              <w:top w:val="single" w:sz="4" w:space="0" w:color="auto"/>
              <w:left w:val="single" w:sz="4" w:space="0" w:color="auto"/>
              <w:bottom w:val="single" w:sz="4" w:space="0" w:color="auto"/>
              <w:right w:val="single" w:sz="4" w:space="0" w:color="auto"/>
            </w:tcBorders>
            <w:hideMark/>
          </w:tcPr>
          <w:p w14:paraId="581CE8AF" w14:textId="77777777" w:rsidR="00001582" w:rsidRPr="00027EB8" w:rsidRDefault="00001582" w:rsidP="00001582">
            <w:pPr>
              <w:keepNext/>
              <w:keepLines/>
              <w:ind w:right="-84"/>
              <w:jc w:val="both"/>
              <w:rPr>
                <w:b/>
              </w:rPr>
            </w:pPr>
            <w:r w:rsidRPr="00027EB8">
              <w:rPr>
                <w:b/>
              </w:rPr>
              <w:t>Additional hazard statement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817611B" w14:textId="77777777" w:rsidR="00001582" w:rsidRPr="00027EB8" w:rsidRDefault="00001582" w:rsidP="00001582">
            <w:pPr>
              <w:keepNext/>
              <w:keepLines/>
              <w:jc w:val="both"/>
            </w:pPr>
            <w:r w:rsidRPr="00027EB8">
              <w:t>Very sensitive</w:t>
            </w:r>
            <w:r w:rsidRPr="00027EB8">
              <w:rPr>
                <w:vertAlign w:val="superscript"/>
              </w:rPr>
              <w:t>b</w:t>
            </w:r>
          </w:p>
          <w:p w14:paraId="63F53959" w14:textId="77777777" w:rsidR="00001582" w:rsidRPr="00027EB8" w:rsidRDefault="00001582" w:rsidP="00ED2AAC">
            <w:pPr>
              <w:keepNext/>
              <w:keepLines/>
              <w:jc w:val="center"/>
              <w:rPr>
                <w:b/>
                <w:i/>
                <w:u w:val="single"/>
              </w:rPr>
            </w:pPr>
            <w:r w:rsidRPr="00027EB8">
              <w:rPr>
                <w:b/>
                <w:i/>
                <w:u w:val="single"/>
              </w:rPr>
              <w:t>or</w:t>
            </w:r>
          </w:p>
          <w:p w14:paraId="51A604CA" w14:textId="77777777" w:rsidR="00001582" w:rsidRPr="00027EB8" w:rsidRDefault="00001582" w:rsidP="00001582">
            <w:pPr>
              <w:keepNext/>
              <w:keepLines/>
              <w:jc w:val="both"/>
            </w:pPr>
            <w:r w:rsidRPr="00027EB8">
              <w:t>May be sensitive</w:t>
            </w:r>
            <w:r w:rsidRPr="00027EB8">
              <w:rPr>
                <w:vertAlign w:val="superscript"/>
              </w:rPr>
              <w:t>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912A414" w14:textId="77777777" w:rsidR="00001582" w:rsidRPr="00027EB8" w:rsidRDefault="00001582" w:rsidP="00001582">
            <w:pPr>
              <w:keepNext/>
              <w:keepLines/>
              <w:jc w:val="both"/>
            </w:pPr>
            <w:r w:rsidRPr="00027EB8">
              <w:rPr>
                <w:i/>
              </w:rPr>
              <w:t>Not applicable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B2D8649" w14:textId="77777777" w:rsidR="00001582" w:rsidRPr="00027EB8" w:rsidRDefault="00001582" w:rsidP="00001582">
            <w:pPr>
              <w:keepNext/>
              <w:keepLines/>
              <w:jc w:val="both"/>
            </w:pPr>
            <w:r w:rsidRPr="00027EB8">
              <w:rPr>
                <w:i/>
              </w:rPr>
              <w:t>Not applicable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C854B06" w14:textId="77777777" w:rsidR="00001582" w:rsidRPr="00027EB8" w:rsidRDefault="00001582" w:rsidP="00001582">
            <w:pPr>
              <w:keepNext/>
              <w:keepLines/>
              <w:jc w:val="both"/>
            </w:pPr>
            <w:r w:rsidRPr="00027EB8">
              <w:rPr>
                <w:i/>
              </w:rPr>
              <w:t>Not applicable</w:t>
            </w:r>
          </w:p>
        </w:tc>
      </w:tr>
    </w:tbl>
    <w:p w14:paraId="10B7B956" w14:textId="77777777" w:rsidR="00001582" w:rsidRDefault="00001582" w:rsidP="00001582">
      <w:pPr>
        <w:ind w:left="1134" w:right="284"/>
        <w:jc w:val="both"/>
      </w:pPr>
    </w:p>
    <w:p w14:paraId="734DCA97" w14:textId="77777777" w:rsidR="00001582" w:rsidRDefault="00001582" w:rsidP="00001582">
      <w:pPr>
        <w:ind w:left="1134" w:right="284"/>
        <w:jc w:val="both"/>
        <w:rPr>
          <w:i/>
        </w:rPr>
      </w:pPr>
      <w:r>
        <w:rPr>
          <w:i/>
          <w:vertAlign w:val="superscript"/>
        </w:rPr>
        <w:t>a</w:t>
      </w:r>
      <w:r>
        <w:rPr>
          <w:i/>
        </w:rPr>
        <w:t xml:space="preserve"> For divisions 1.4, 1.5 and 1.6 no symbol appears on the label for transport, according to the UN Model Regulations.</w:t>
      </w:r>
    </w:p>
    <w:p w14:paraId="0A620576" w14:textId="77777777" w:rsidR="00001582" w:rsidRDefault="00001582" w:rsidP="00001582">
      <w:pPr>
        <w:ind w:left="1134" w:right="284"/>
        <w:jc w:val="both"/>
        <w:rPr>
          <w:i/>
        </w:rPr>
      </w:pPr>
    </w:p>
    <w:p w14:paraId="6D78240E" w14:textId="77777777" w:rsidR="00001582" w:rsidRDefault="00001582" w:rsidP="00001582">
      <w:pPr>
        <w:ind w:left="1134" w:right="284"/>
        <w:jc w:val="both"/>
        <w:rPr>
          <w:i/>
        </w:rPr>
      </w:pPr>
      <w:r>
        <w:rPr>
          <w:i/>
          <w:vertAlign w:val="superscript"/>
        </w:rPr>
        <w:t>b</w:t>
      </w:r>
      <w:r>
        <w:rPr>
          <w:i/>
        </w:rPr>
        <w:t xml:space="preserve"> To be assigned additionally to explosives that are sensitive to initiation as determined by test series 3 or 4 of the Manual of Tests and Criteria. May also be applied to explosives sensitive to other stimuli, e.g. electrostatic discharge.</w:t>
      </w:r>
    </w:p>
    <w:p w14:paraId="350C2306" w14:textId="77777777" w:rsidR="00001582" w:rsidRDefault="00001582" w:rsidP="00001582">
      <w:pPr>
        <w:ind w:left="1134" w:right="284"/>
        <w:jc w:val="both"/>
        <w:rPr>
          <w:i/>
        </w:rPr>
      </w:pPr>
    </w:p>
    <w:p w14:paraId="2DA8736C" w14:textId="77777777" w:rsidR="00001582" w:rsidRDefault="00001582" w:rsidP="00001582">
      <w:pPr>
        <w:ind w:left="1134" w:right="284"/>
        <w:jc w:val="both"/>
        <w:rPr>
          <w:i/>
        </w:rPr>
      </w:pPr>
      <w:r>
        <w:rPr>
          <w:i/>
          <w:vertAlign w:val="superscript"/>
        </w:rPr>
        <w:t>c</w:t>
      </w:r>
      <w:r>
        <w:rPr>
          <w:i/>
        </w:rPr>
        <w:t xml:space="preserve"> To be assigned additionally to explosives for which sufficient information on their sensitivity to initiation is not available.</w:t>
      </w:r>
    </w:p>
    <w:p w14:paraId="3260D2B2" w14:textId="77777777" w:rsidR="00001582" w:rsidRDefault="00001582" w:rsidP="00001582">
      <w:pPr>
        <w:ind w:left="1134" w:right="284"/>
        <w:jc w:val="both"/>
        <w:rPr>
          <w:b/>
          <w:bCs/>
          <w:i/>
          <w:iCs/>
        </w:rPr>
      </w:pPr>
    </w:p>
    <w:p w14:paraId="477FD60C" w14:textId="77777777" w:rsidR="00001582" w:rsidRDefault="00001582" w:rsidP="00001582">
      <w:pPr>
        <w:ind w:left="1134" w:right="284"/>
        <w:jc w:val="both"/>
        <w:rPr>
          <w:i/>
          <w:iCs/>
        </w:rPr>
      </w:pPr>
      <w:r>
        <w:rPr>
          <w:b/>
          <w:bCs/>
          <w:i/>
          <w:iCs/>
        </w:rPr>
        <w:t xml:space="preserve">NOTE: </w:t>
      </w:r>
      <w:r>
        <w:rPr>
          <w:i/>
          <w:iCs/>
        </w:rPr>
        <w:t>Substances and mixtures excluded by 2.1.1.2.2 (c), point (v) still have explosive properties. The user should be informed of these intrinsic explosive properties because they have to be considered for handling – especially if the substance or mixture is removed from its packaging or is repackaged – and for storage. For this reason, the explosive properties of the substance or mixture should be communicated in Sub-section 2.3 (Other hazards which do not result in classification) and Section 9 (Physical and chemical properties) or 10 (Stability and reactivity) of the Safety Data Sheet in accordance with Table 1.5.2, and other sections of the Safety Data Sheet, as appropriate.</w:t>
      </w:r>
      <w:r>
        <w:rPr>
          <w:i/>
          <w:iCs/>
        </w:rPr>
        <w:br/>
      </w:r>
    </w:p>
    <w:p w14:paraId="0E436CF8" w14:textId="77777777" w:rsidR="00001582" w:rsidRDefault="00001582" w:rsidP="00001582">
      <w:pPr>
        <w:ind w:left="1134" w:right="284"/>
        <w:jc w:val="both"/>
        <w:rPr>
          <w:b/>
          <w:bCs/>
          <w:i/>
          <w:iCs/>
          <w:strike/>
        </w:rPr>
      </w:pPr>
      <w:r>
        <w:rPr>
          <w:b/>
          <w:bCs/>
          <w:i/>
          <w:iCs/>
          <w:strike/>
        </w:rPr>
        <w:t>Similarly, articles excluded by 2.1.1.2.2 d) may still pose an explosion hazard which should be conveyed in Sub-section 2.3 of the Safety Data Sheet, and in other sections as appropriate.</w:t>
      </w:r>
    </w:p>
    <w:p w14:paraId="4BB81B11" w14:textId="77777777" w:rsidR="00001582" w:rsidRDefault="00001582" w:rsidP="00001582">
      <w:pPr>
        <w:ind w:left="1134" w:right="284"/>
        <w:jc w:val="both"/>
        <w:rPr>
          <w:i/>
        </w:rPr>
      </w:pPr>
    </w:p>
    <w:p w14:paraId="3FAFB052" w14:textId="77777777" w:rsidR="00001582" w:rsidRDefault="00001582" w:rsidP="00001582">
      <w:pPr>
        <w:tabs>
          <w:tab w:val="left" w:pos="2268"/>
        </w:tabs>
        <w:spacing w:after="240"/>
        <w:ind w:left="1134" w:right="284"/>
        <w:jc w:val="both"/>
        <w:rPr>
          <w:b/>
        </w:rPr>
      </w:pPr>
      <w:r>
        <w:rPr>
          <w:b/>
        </w:rPr>
        <w:t xml:space="preserve">2.1.4 </w:t>
      </w:r>
      <w:r>
        <w:rPr>
          <w:b/>
        </w:rPr>
        <w:tab/>
        <w:t>Decision logic and guidance</w:t>
      </w:r>
    </w:p>
    <w:p w14:paraId="520C0F95" w14:textId="76022B0B" w:rsidR="00001582" w:rsidRDefault="00001582" w:rsidP="00001582">
      <w:pPr>
        <w:tabs>
          <w:tab w:val="left" w:pos="2268"/>
        </w:tabs>
        <w:ind w:left="1134" w:right="284"/>
        <w:jc w:val="both"/>
      </w:pPr>
      <w:r>
        <w:tab/>
        <w:t>The decision logic and guidance, which follow, are not part of the harmonized classification system, but have been provided here as additional guidance. It is strongly recommended that the person responsible for classification studies the criteria before and during use of the decision logic.</w:t>
      </w:r>
    </w:p>
    <w:p w14:paraId="33BEA025" w14:textId="77777777" w:rsidR="00001582" w:rsidRDefault="00001582" w:rsidP="00001582">
      <w:pPr>
        <w:ind w:left="1134" w:right="284"/>
        <w:jc w:val="both"/>
        <w:rPr>
          <w:b/>
        </w:rPr>
      </w:pPr>
    </w:p>
    <w:p w14:paraId="33127D30" w14:textId="77777777" w:rsidR="00001582" w:rsidRDefault="00001582" w:rsidP="003633B5">
      <w:pPr>
        <w:keepNext/>
        <w:keepLines/>
        <w:ind w:left="1134" w:right="284"/>
        <w:jc w:val="both"/>
      </w:pPr>
      <w:r>
        <w:t xml:space="preserve">2.1.4.1 </w:t>
      </w:r>
      <w:r>
        <w:tab/>
        <w:t>Decision logic</w:t>
      </w:r>
    </w:p>
    <w:p w14:paraId="67597ACB" w14:textId="77777777" w:rsidR="00001582" w:rsidRDefault="00001582" w:rsidP="00001582">
      <w:pPr>
        <w:ind w:left="1134" w:right="284"/>
        <w:jc w:val="both"/>
      </w:pPr>
    </w:p>
    <w:p w14:paraId="6EC8AE36" w14:textId="77777777" w:rsidR="00001582" w:rsidRDefault="00001582" w:rsidP="00001582">
      <w:pPr>
        <w:ind w:left="1134" w:right="284"/>
        <w:jc w:val="both"/>
        <w:rPr>
          <w:b/>
          <w:i/>
        </w:rPr>
      </w:pPr>
      <w:r>
        <w:rPr>
          <w:b/>
          <w:i/>
          <w:highlight w:val="lightGray"/>
        </w:rPr>
        <w:t>[DECISION LOGIC FLOWCHARTS TO BE INSERTED]</w:t>
      </w:r>
    </w:p>
    <w:p w14:paraId="07383AA2" w14:textId="730E6AF5" w:rsidR="00001582" w:rsidRDefault="00001582" w:rsidP="00001582">
      <w:pPr>
        <w:keepNext/>
        <w:keepLines/>
        <w:ind w:left="1134" w:right="284"/>
        <w:jc w:val="both"/>
      </w:pPr>
      <w:r>
        <w:lastRenderedPageBreak/>
        <w:t>2.1.4.2</w:t>
      </w:r>
      <w:r>
        <w:tab/>
      </w:r>
      <w:r>
        <w:tab/>
        <w:t>Description of explosion hazard levels</w:t>
      </w:r>
    </w:p>
    <w:p w14:paraId="132DFEC5" w14:textId="77777777" w:rsidR="00001582" w:rsidRDefault="00001582" w:rsidP="00001582">
      <w:pPr>
        <w:keepNext/>
        <w:keepLines/>
        <w:ind w:left="1134" w:right="284"/>
        <w:jc w:val="both"/>
      </w:pPr>
    </w:p>
    <w:tbl>
      <w:tblPr>
        <w:tblStyle w:val="TableGrid"/>
        <w:tblW w:w="0" w:type="auto"/>
        <w:tblInd w:w="1134" w:type="dxa"/>
        <w:tblCellMar>
          <w:top w:w="57" w:type="dxa"/>
          <w:left w:w="57" w:type="dxa"/>
          <w:bottom w:w="57" w:type="dxa"/>
          <w:right w:w="57" w:type="dxa"/>
        </w:tblCellMar>
        <w:tblLook w:val="04A0" w:firstRow="1" w:lastRow="0" w:firstColumn="1" w:lastColumn="0" w:noHBand="0" w:noVBand="1"/>
      </w:tblPr>
      <w:tblGrid>
        <w:gridCol w:w="1131"/>
        <w:gridCol w:w="6799"/>
      </w:tblGrid>
      <w:tr w:rsidR="00001582" w:rsidRPr="00027EB8" w14:paraId="73FC648A" w14:textId="77777777" w:rsidTr="00001582">
        <w:tc>
          <w:tcPr>
            <w:tcW w:w="846" w:type="dxa"/>
            <w:tcBorders>
              <w:top w:val="single" w:sz="4" w:space="0" w:color="auto"/>
              <w:left w:val="single" w:sz="4" w:space="0" w:color="auto"/>
              <w:bottom w:val="single" w:sz="4" w:space="0" w:color="auto"/>
              <w:right w:val="single" w:sz="4" w:space="0" w:color="auto"/>
            </w:tcBorders>
            <w:hideMark/>
          </w:tcPr>
          <w:p w14:paraId="66937B98" w14:textId="77777777" w:rsidR="00001582" w:rsidRPr="00027EB8" w:rsidRDefault="00001582" w:rsidP="00001582">
            <w:pPr>
              <w:keepNext/>
              <w:keepLines/>
              <w:ind w:right="284"/>
              <w:jc w:val="both"/>
              <w:rPr>
                <w:b/>
              </w:rPr>
            </w:pPr>
            <w:r w:rsidRPr="00027EB8">
              <w:rPr>
                <w:b/>
              </w:rPr>
              <w:t>Sub-category</w:t>
            </w:r>
          </w:p>
        </w:tc>
        <w:tc>
          <w:tcPr>
            <w:tcW w:w="6799" w:type="dxa"/>
            <w:tcBorders>
              <w:top w:val="single" w:sz="4" w:space="0" w:color="auto"/>
              <w:left w:val="single" w:sz="4" w:space="0" w:color="auto"/>
              <w:bottom w:val="single" w:sz="4" w:space="0" w:color="auto"/>
              <w:right w:val="single" w:sz="4" w:space="0" w:color="auto"/>
            </w:tcBorders>
            <w:hideMark/>
          </w:tcPr>
          <w:p w14:paraId="42F9609E" w14:textId="77777777" w:rsidR="00001582" w:rsidRPr="00027EB8" w:rsidRDefault="00001582" w:rsidP="00001582">
            <w:pPr>
              <w:keepNext/>
              <w:keepLines/>
              <w:ind w:right="284"/>
              <w:jc w:val="both"/>
              <w:rPr>
                <w:b/>
              </w:rPr>
            </w:pPr>
            <w:r w:rsidRPr="00027EB8">
              <w:rPr>
                <w:b/>
              </w:rPr>
              <w:t>Explosion hazard level</w:t>
            </w:r>
          </w:p>
        </w:tc>
      </w:tr>
      <w:tr w:rsidR="00001582" w:rsidRPr="00027EB8" w14:paraId="0AFCAD26" w14:textId="77777777" w:rsidTr="00001582">
        <w:tc>
          <w:tcPr>
            <w:tcW w:w="846" w:type="dxa"/>
            <w:tcBorders>
              <w:top w:val="single" w:sz="4" w:space="0" w:color="auto"/>
              <w:left w:val="single" w:sz="4" w:space="0" w:color="auto"/>
              <w:bottom w:val="single" w:sz="4" w:space="0" w:color="auto"/>
              <w:right w:val="single" w:sz="4" w:space="0" w:color="auto"/>
            </w:tcBorders>
            <w:vAlign w:val="center"/>
            <w:hideMark/>
          </w:tcPr>
          <w:p w14:paraId="34A9E57D" w14:textId="77777777" w:rsidR="00001582" w:rsidRPr="00027EB8" w:rsidRDefault="00001582" w:rsidP="00001582">
            <w:pPr>
              <w:keepNext/>
              <w:keepLines/>
              <w:ind w:right="284"/>
              <w:jc w:val="both"/>
            </w:pPr>
            <w:r w:rsidRPr="00027EB8">
              <w:t>2A</w:t>
            </w:r>
          </w:p>
        </w:tc>
        <w:tc>
          <w:tcPr>
            <w:tcW w:w="6799" w:type="dxa"/>
            <w:tcBorders>
              <w:top w:val="single" w:sz="4" w:space="0" w:color="auto"/>
              <w:left w:val="single" w:sz="4" w:space="0" w:color="auto"/>
              <w:bottom w:val="single" w:sz="4" w:space="0" w:color="auto"/>
              <w:right w:val="single" w:sz="4" w:space="0" w:color="auto"/>
            </w:tcBorders>
          </w:tcPr>
          <w:p w14:paraId="4754603C" w14:textId="2798E3E8" w:rsidR="00001582" w:rsidRPr="00027EB8" w:rsidRDefault="00001582" w:rsidP="00001582">
            <w:pPr>
              <w:keepNext/>
              <w:keepLines/>
              <w:jc w:val="both"/>
            </w:pPr>
            <w:r w:rsidRPr="00027EB8">
              <w:rPr>
                <w:color w:val="000000" w:themeColor="text1"/>
              </w:rPr>
              <w:t xml:space="preserve">Sub-category 2A represents a high explosion hazard. An explosive in this sub-category </w:t>
            </w:r>
            <w:r w:rsidRPr="00027EB8">
              <w:t xml:space="preserve">has the potential to </w:t>
            </w:r>
            <w:r w:rsidRPr="00027EB8">
              <w:rPr>
                <w:color w:val="000000" w:themeColor="text1"/>
              </w:rPr>
              <w:t>cause complete destruction of objects and lethal or very severe injuries to persons.</w:t>
            </w:r>
          </w:p>
        </w:tc>
      </w:tr>
      <w:tr w:rsidR="00001582" w:rsidRPr="00027EB8" w14:paraId="3473081D" w14:textId="77777777" w:rsidTr="00001582">
        <w:tc>
          <w:tcPr>
            <w:tcW w:w="846" w:type="dxa"/>
            <w:tcBorders>
              <w:top w:val="single" w:sz="4" w:space="0" w:color="auto"/>
              <w:left w:val="single" w:sz="4" w:space="0" w:color="auto"/>
              <w:bottom w:val="single" w:sz="4" w:space="0" w:color="auto"/>
              <w:right w:val="single" w:sz="4" w:space="0" w:color="auto"/>
            </w:tcBorders>
            <w:vAlign w:val="center"/>
            <w:hideMark/>
          </w:tcPr>
          <w:p w14:paraId="1A8B4BFF" w14:textId="77777777" w:rsidR="00001582" w:rsidRPr="00027EB8" w:rsidRDefault="00001582" w:rsidP="00001582">
            <w:pPr>
              <w:ind w:right="284"/>
              <w:jc w:val="both"/>
            </w:pPr>
            <w:r w:rsidRPr="00027EB8">
              <w:t>2B</w:t>
            </w:r>
          </w:p>
        </w:tc>
        <w:tc>
          <w:tcPr>
            <w:tcW w:w="6799" w:type="dxa"/>
            <w:tcBorders>
              <w:top w:val="single" w:sz="4" w:space="0" w:color="auto"/>
              <w:left w:val="single" w:sz="4" w:space="0" w:color="auto"/>
              <w:bottom w:val="single" w:sz="4" w:space="0" w:color="auto"/>
              <w:right w:val="single" w:sz="4" w:space="0" w:color="auto"/>
            </w:tcBorders>
          </w:tcPr>
          <w:p w14:paraId="2E314D66" w14:textId="2F6BF61A" w:rsidR="00001582" w:rsidRPr="00027EB8" w:rsidRDefault="00001582" w:rsidP="00001582">
            <w:pPr>
              <w:jc w:val="both"/>
            </w:pPr>
            <w:r w:rsidRPr="00027EB8">
              <w:rPr>
                <w:color w:val="000000" w:themeColor="text1"/>
              </w:rPr>
              <w:t>Sub-category 2B represents a medium explosion hazard.</w:t>
            </w:r>
            <w:r w:rsidRPr="00027EB8">
              <w:rPr>
                <w:color w:val="CC0000"/>
              </w:rPr>
              <w:t xml:space="preserve"> </w:t>
            </w:r>
            <w:r w:rsidRPr="00027EB8">
              <w:rPr>
                <w:color w:val="000000" w:themeColor="text1"/>
              </w:rPr>
              <w:t>An explosive in this sub-category has the potential to cause serious damage to objects and</w:t>
            </w:r>
            <w:r w:rsidRPr="00027EB8">
              <w:rPr>
                <w:color w:val="CC0000"/>
              </w:rPr>
              <w:t xml:space="preserve"> </w:t>
            </w:r>
            <w:r w:rsidRPr="00027EB8">
              <w:t xml:space="preserve">serious injuries </w:t>
            </w:r>
            <w:r w:rsidRPr="00027EB8">
              <w:rPr>
                <w:color w:val="000000" w:themeColor="text1"/>
              </w:rPr>
              <w:t>to persons. Injuries may result in permanent impairment.</w:t>
            </w:r>
          </w:p>
        </w:tc>
      </w:tr>
      <w:tr w:rsidR="00001582" w:rsidRPr="00027EB8" w14:paraId="53C91E3D" w14:textId="77777777" w:rsidTr="00001582">
        <w:tc>
          <w:tcPr>
            <w:tcW w:w="846" w:type="dxa"/>
            <w:tcBorders>
              <w:top w:val="single" w:sz="4" w:space="0" w:color="auto"/>
              <w:left w:val="single" w:sz="4" w:space="0" w:color="auto"/>
              <w:bottom w:val="single" w:sz="4" w:space="0" w:color="auto"/>
              <w:right w:val="single" w:sz="4" w:space="0" w:color="auto"/>
            </w:tcBorders>
            <w:vAlign w:val="center"/>
            <w:hideMark/>
          </w:tcPr>
          <w:p w14:paraId="3C0B1401" w14:textId="77777777" w:rsidR="00001582" w:rsidRPr="00027EB8" w:rsidRDefault="00001582" w:rsidP="00001582">
            <w:pPr>
              <w:ind w:right="284"/>
              <w:jc w:val="both"/>
            </w:pPr>
            <w:r w:rsidRPr="00027EB8">
              <w:t>2C</w:t>
            </w:r>
          </w:p>
        </w:tc>
        <w:tc>
          <w:tcPr>
            <w:tcW w:w="6799" w:type="dxa"/>
            <w:tcBorders>
              <w:top w:val="single" w:sz="4" w:space="0" w:color="auto"/>
              <w:left w:val="single" w:sz="4" w:space="0" w:color="auto"/>
              <w:bottom w:val="single" w:sz="4" w:space="0" w:color="auto"/>
              <w:right w:val="single" w:sz="4" w:space="0" w:color="auto"/>
            </w:tcBorders>
          </w:tcPr>
          <w:p w14:paraId="1D43F98B" w14:textId="5BCD0D79" w:rsidR="00001582" w:rsidRPr="00027EB8" w:rsidRDefault="00001582" w:rsidP="00001582">
            <w:pPr>
              <w:jc w:val="both"/>
            </w:pPr>
            <w:r w:rsidRPr="00027EB8">
              <w:rPr>
                <w:color w:val="000000" w:themeColor="text1"/>
              </w:rPr>
              <w:t>Sub-category 2C represents a low explosion hazard.</w:t>
            </w:r>
            <w:r w:rsidRPr="00027EB8">
              <w:rPr>
                <w:color w:val="CC0000"/>
              </w:rPr>
              <w:t xml:space="preserve"> </w:t>
            </w:r>
            <w:r w:rsidRPr="00027EB8">
              <w:rPr>
                <w:color w:val="000000" w:themeColor="text1"/>
              </w:rPr>
              <w:t>An explosive in this sub-category can cause minor damage to objects and moderate injuries to persons. Injuries would not normally result in permanent impairment</w:t>
            </w:r>
            <w:r w:rsidRPr="00027EB8">
              <w:t>.</w:t>
            </w:r>
          </w:p>
        </w:tc>
      </w:tr>
    </w:tbl>
    <w:p w14:paraId="6452CE7D" w14:textId="77777777" w:rsidR="00001582" w:rsidRDefault="00001582" w:rsidP="00001582">
      <w:pPr>
        <w:spacing w:before="240" w:after="240"/>
        <w:ind w:left="1134" w:right="284"/>
        <w:jc w:val="both"/>
      </w:pPr>
      <w:r>
        <w:t>2.1.4.3</w:t>
      </w:r>
      <w:r>
        <w:tab/>
      </w:r>
      <w:r>
        <w:tab/>
        <w:t>Principles of explosives classification</w:t>
      </w:r>
    </w:p>
    <w:p w14:paraId="43CF0DFC" w14:textId="6364AD6E" w:rsidR="00001582" w:rsidRDefault="00001582" w:rsidP="00001582">
      <w:pPr>
        <w:tabs>
          <w:tab w:val="left" w:pos="2268"/>
        </w:tabs>
        <w:spacing w:after="240"/>
        <w:ind w:left="1134" w:right="284"/>
        <w:jc w:val="both"/>
      </w:pPr>
      <w:r>
        <w:t>2.1.4.3.1</w:t>
      </w:r>
      <w:r>
        <w:tab/>
      </w:r>
      <w:r>
        <w:rPr>
          <w:i/>
        </w:rPr>
        <w:t>Assigning explosives to divisions by testing</w:t>
      </w:r>
    </w:p>
    <w:p w14:paraId="7762FAA0" w14:textId="2BE8EFB1" w:rsidR="00091297" w:rsidRPr="00ED2AAC" w:rsidRDefault="00091297" w:rsidP="00001582">
      <w:pPr>
        <w:tabs>
          <w:tab w:val="left" w:pos="2268"/>
        </w:tabs>
        <w:spacing w:after="240"/>
        <w:ind w:left="1134" w:right="284"/>
        <w:jc w:val="both"/>
      </w:pPr>
      <w:r w:rsidRPr="00ED2AAC">
        <w:t>2.1.4.3.1.1</w:t>
      </w:r>
      <w:r w:rsidRPr="00ED2AAC">
        <w:tab/>
      </w:r>
      <w:r w:rsidR="00001582" w:rsidRPr="00ED2AAC">
        <w:t xml:space="preserve">Explosives are assigned to divisions based on testing of specific configurations, which quantifies levels of blast, projections and fire. Formation of a configuration provides a level of protection from outside stimuli and fixes the sensitivity and hazard magnitude, which enables the assignment to a division. The divisions therefore describe the explosive behaviour in the particular configuration. Such descriptions reflect attenuating properties of the packaging and article, which may include spacing, or specific orientations of explosive articles to mitigate an explosive effect. The configuration is further controlled by design and packaging requirements specified in the </w:t>
      </w:r>
      <w:r w:rsidR="00001582" w:rsidRPr="00ED2AAC">
        <w:rPr>
          <w:i/>
        </w:rPr>
        <w:t>UN Model Regulations</w:t>
      </w:r>
      <w:r w:rsidR="00001582" w:rsidRPr="00ED2AAC">
        <w:t xml:space="preserve">. </w:t>
      </w:r>
    </w:p>
    <w:p w14:paraId="79585123" w14:textId="7FD915F0" w:rsidR="00001582" w:rsidRPr="00ED2AAC" w:rsidRDefault="00091297" w:rsidP="00001582">
      <w:pPr>
        <w:tabs>
          <w:tab w:val="left" w:pos="2268"/>
        </w:tabs>
        <w:spacing w:after="240"/>
        <w:ind w:left="1134" w:right="284"/>
        <w:jc w:val="both"/>
      </w:pPr>
      <w:r w:rsidRPr="00ED2AAC">
        <w:t>2.1.4.3.1.2</w:t>
      </w:r>
      <w:r w:rsidRPr="00ED2AAC">
        <w:tab/>
      </w:r>
      <w:r w:rsidR="00001582" w:rsidRPr="00ED2AAC">
        <w:t>Although divisions are not valid outside of the configurations to which they were assigned, they may still be used as a basis for regulatory measures in storage and handling when these configurations are modified. This normally presumes that additional safety measures are taken to account for the modified configurations, e.g. aggregate quantity limits and protective building designs.</w:t>
      </w:r>
    </w:p>
    <w:p w14:paraId="3219C6B2" w14:textId="43AB9850" w:rsidR="00001582" w:rsidRPr="00ED2AAC" w:rsidRDefault="00001582" w:rsidP="00001582">
      <w:pPr>
        <w:spacing w:after="240"/>
        <w:ind w:left="1134" w:right="284"/>
        <w:jc w:val="both"/>
      </w:pPr>
      <w:r w:rsidRPr="00ED2AAC">
        <w:t>2.1.4.3.2</w:t>
      </w:r>
      <w:r w:rsidRPr="00ED2AAC">
        <w:tab/>
      </w:r>
      <w:r w:rsidRPr="00ED2AAC">
        <w:rPr>
          <w:i/>
        </w:rPr>
        <w:t>Assigning explosive</w:t>
      </w:r>
      <w:r w:rsidRPr="00ED2AAC">
        <w:rPr>
          <w:b/>
          <w:i/>
          <w:u w:val="single"/>
        </w:rPr>
        <w:t>s</w:t>
      </w:r>
      <w:r w:rsidRPr="00ED2AAC">
        <w:rPr>
          <w:i/>
        </w:rPr>
        <w:t xml:space="preserve"> to divisions based on analogy</w:t>
      </w:r>
    </w:p>
    <w:p w14:paraId="21E85735" w14:textId="28FF0B28" w:rsidR="00001582" w:rsidRPr="00ED2AAC" w:rsidRDefault="00001582" w:rsidP="00001582">
      <w:pPr>
        <w:tabs>
          <w:tab w:val="left" w:pos="2268"/>
        </w:tabs>
        <w:spacing w:after="240"/>
        <w:ind w:left="1134" w:right="284"/>
        <w:jc w:val="both"/>
      </w:pPr>
      <w:r w:rsidRPr="00ED2AAC">
        <w:tab/>
        <w:t xml:space="preserve">While classification in a division or a sub-category is based on testing in accordance with Part I of the </w:t>
      </w:r>
      <w:r w:rsidRPr="00ED2AAC">
        <w:rPr>
          <w:i/>
        </w:rPr>
        <w:t>Manual of Tests and Criteria</w:t>
      </w:r>
      <w:r w:rsidRPr="00ED2AAC">
        <w:t>, similar explosives configurations may be classified without testing, where appropriate, based on analogy to tested explosives. The use of analogy should take into consideration whether changes to the configuration may affect the hazard posed compared to the tested configuration, and is narrowly limited according to the quantity, packaging and design of the explosive.</w:t>
      </w:r>
    </w:p>
    <w:p w14:paraId="170E87EA" w14:textId="77777777" w:rsidR="00001582" w:rsidRPr="00ED2AAC" w:rsidRDefault="00001582" w:rsidP="00001582">
      <w:pPr>
        <w:spacing w:after="240"/>
        <w:ind w:left="1134" w:right="284"/>
        <w:jc w:val="both"/>
      </w:pPr>
      <w:bookmarkStart w:id="1" w:name="_Hlk50026273"/>
      <w:r w:rsidRPr="00ED2AAC">
        <w:t>2.1.4.3.3</w:t>
      </w:r>
      <w:bookmarkEnd w:id="1"/>
      <w:r w:rsidRPr="00ED2AAC">
        <w:tab/>
      </w:r>
      <w:r w:rsidRPr="00ED2AAC">
        <w:rPr>
          <w:i/>
        </w:rPr>
        <w:t>Assigning explosives to sub-categories</w:t>
      </w:r>
    </w:p>
    <w:p w14:paraId="1EF261BD" w14:textId="2D249FC5" w:rsidR="00001582" w:rsidRDefault="00001582" w:rsidP="00001582">
      <w:pPr>
        <w:tabs>
          <w:tab w:val="left" w:pos="2268"/>
        </w:tabs>
        <w:spacing w:after="240"/>
        <w:ind w:left="1134" w:right="284"/>
        <w:jc w:val="both"/>
      </w:pPr>
      <w:r w:rsidRPr="00ED2AAC">
        <w:t>2.1.4.3.3.1</w:t>
      </w:r>
      <w:r w:rsidRPr="00ED2AAC">
        <w:tab/>
        <w:t>Assignment to subcategories within Category 2 builds on the information provided by the division to better reflect the hazard of the explosive in its primary packaging, which is intended to be retained until use. The primary packaging is all or part of the original tested configuration. It is normally the immediate container or the innermost packaging layer and may include attenuating properties which mitigate hazardous effects. However, only flexible inner packaging such as a thin-wall plastic bag or</w:t>
      </w:r>
      <w:r>
        <w:t xml:space="preserve"> other unsubstantial material which provides negligible attenuation of explosive effects should not be considered the primary packaging. As explosives are unpackaged from their primary packaging they may present greater sensitivity or blast, projection or fire hazards. Retaining the primary packaging until use and limiting the amount of unpacked explosives are therefore generally important safety measures when handling explosives. When an explosive is installed or deployed and is later removed from use without initiation, it should be replaced in its primary packaging or an identical primary packaging.</w:t>
      </w:r>
    </w:p>
    <w:p w14:paraId="3082BC74" w14:textId="48C31BA2" w:rsidR="00001582" w:rsidRPr="00ED2AAC" w:rsidRDefault="00001582" w:rsidP="00001582">
      <w:pPr>
        <w:spacing w:after="240"/>
        <w:ind w:left="1134" w:right="284"/>
        <w:jc w:val="both"/>
      </w:pPr>
      <w:r w:rsidRPr="00ED2AAC">
        <w:lastRenderedPageBreak/>
        <w:t>2.1.4.3.3.2</w:t>
      </w:r>
      <w:r w:rsidRPr="00ED2AAC">
        <w:tab/>
        <w:t>Multiple explosive articles may sometimes be supplied where they are in direct contact without any intervening packaging material or spacing, or critical orientation. Provided all applicable classification evaluation occurred in this configuration, their primary packaging can be discarded without affecting the classification.</w:t>
      </w:r>
    </w:p>
    <w:p w14:paraId="4D7EE69A" w14:textId="6346A539" w:rsidR="00001582" w:rsidRPr="00ED2AAC" w:rsidRDefault="00001582" w:rsidP="00001582">
      <w:pPr>
        <w:spacing w:after="240"/>
        <w:ind w:left="1134" w:right="284"/>
        <w:jc w:val="both"/>
      </w:pPr>
      <w:r w:rsidRPr="00ED2AAC">
        <w:t>2.1.4.3.3.3</w:t>
      </w:r>
      <w:r w:rsidRPr="00ED2AAC">
        <w:tab/>
        <w:t>Occasionally, larger explosive articles are supplied without any packaging, e.g. in a handling device such as a cradle. In these cases</w:t>
      </w:r>
      <w:r w:rsidR="00027EB8">
        <w:t>,</w:t>
      </w:r>
      <w:r w:rsidRPr="00ED2AAC">
        <w:t xml:space="preserve"> there may be no primary packaging, i.e. the classification is of the article as such. Handling devices that do not affect the classification can be discarded.</w:t>
      </w:r>
    </w:p>
    <w:p w14:paraId="6FBC9558" w14:textId="77777777" w:rsidR="00001582" w:rsidRPr="00ED2AAC" w:rsidRDefault="00001582" w:rsidP="00001582">
      <w:pPr>
        <w:spacing w:after="240"/>
        <w:ind w:left="1134" w:right="284"/>
        <w:jc w:val="both"/>
        <w:rPr>
          <w:b/>
          <w:i/>
          <w:u w:val="single"/>
        </w:rPr>
      </w:pPr>
      <w:r w:rsidRPr="00ED2AAC">
        <w:t>2.1.4.3.4</w:t>
      </w:r>
      <w:r w:rsidRPr="00ED2AAC">
        <w:tab/>
      </w:r>
      <w:r w:rsidRPr="00ED2AAC">
        <w:rPr>
          <w:i/>
        </w:rPr>
        <w:t xml:space="preserve">Classification </w:t>
      </w:r>
      <w:r w:rsidRPr="00ED2AAC">
        <w:rPr>
          <w:b/>
          <w:i/>
          <w:strike/>
        </w:rPr>
        <w:t>during explosives manufacturing and processing</w:t>
      </w:r>
      <w:r w:rsidRPr="00ED2AAC">
        <w:rPr>
          <w:b/>
          <w:i/>
        </w:rPr>
        <w:t xml:space="preserve"> </w:t>
      </w:r>
      <w:r w:rsidRPr="00ED2AAC">
        <w:rPr>
          <w:b/>
          <w:i/>
          <w:u w:val="single"/>
        </w:rPr>
        <w:t>of explosives in situations where they cannot be assigned to a division</w:t>
      </w:r>
    </w:p>
    <w:p w14:paraId="405C7C7E" w14:textId="283D65A8" w:rsidR="00001582" w:rsidRPr="00ED2AAC" w:rsidRDefault="00001582" w:rsidP="00ED2AAC">
      <w:pPr>
        <w:spacing w:after="240"/>
        <w:ind w:left="1134" w:right="284"/>
        <w:jc w:val="both"/>
      </w:pPr>
      <w:r w:rsidRPr="00ED2AAC">
        <w:t>2.1.4.3.4.1</w:t>
      </w:r>
      <w:r w:rsidRPr="00ED2AAC">
        <w:tab/>
        <w:t>Explosives in manufacturing</w:t>
      </w:r>
      <w:r w:rsidRPr="00ED2AAC">
        <w:rPr>
          <w:b/>
          <w:u w:val="single"/>
        </w:rPr>
        <w:t>,</w:t>
      </w:r>
      <w:r w:rsidRPr="00ED2AAC">
        <w:t xml:space="preserve"> </w:t>
      </w:r>
      <w:r w:rsidRPr="00ED2AAC">
        <w:rPr>
          <w:b/>
          <w:strike/>
        </w:rPr>
        <w:t>and</w:t>
      </w:r>
      <w:r w:rsidRPr="00ED2AAC">
        <w:t xml:space="preserve"> processing </w:t>
      </w:r>
      <w:r w:rsidRPr="00ED2AAC">
        <w:rPr>
          <w:b/>
          <w:u w:val="single"/>
        </w:rPr>
        <w:t>and otherwise unfinished stages</w:t>
      </w:r>
      <w:r w:rsidRPr="00ED2AAC">
        <w:t xml:space="preserve"> cannot be assigned to a division until configured for transport, and hence are assigned to Category 1.</w:t>
      </w:r>
      <w:r w:rsidR="00ED2AAC" w:rsidRPr="00ED2AAC">
        <w:t xml:space="preserve"> </w:t>
      </w:r>
      <w:r w:rsidRPr="00ED2AAC">
        <w:t>Similarly, explosives assigned to Category 2 when taken out of their primary packaging for purposes other than use, are re-assigned to Category 1 (unless their primary packaging can be discarded, see 2.1.4.3.3).</w:t>
      </w:r>
    </w:p>
    <w:p w14:paraId="00293D1E" w14:textId="5588E967" w:rsidR="00001582" w:rsidRDefault="00001582" w:rsidP="00001582">
      <w:pPr>
        <w:spacing w:after="240"/>
        <w:ind w:left="1134" w:right="284"/>
        <w:jc w:val="both"/>
      </w:pPr>
      <w:r w:rsidRPr="00ED2AAC">
        <w:t>2.1.4.3.4.</w:t>
      </w:r>
      <w:r w:rsidR="00B272B7" w:rsidRPr="00ED2AAC">
        <w:t>2</w:t>
      </w:r>
      <w:r w:rsidRPr="00ED2AAC">
        <w:tab/>
        <w:t xml:space="preserve">The sensitivity and hazard severity of unpackaged explosives </w:t>
      </w:r>
      <w:r w:rsidRPr="00ED2AAC">
        <w:rPr>
          <w:b/>
          <w:strike/>
        </w:rPr>
        <w:t>in manufacturing and processing</w:t>
      </w:r>
      <w:r w:rsidRPr="00ED2AAC">
        <w:t xml:space="preserve"> is dependent on non-intrinsic parameters related to the methods used, including quantity, depth, confinement, initiation stimulus, composition, physical state such as particle size, etc. The hazards posed by explosives in Category 1 thus vary extensively and may also vary dynamically as they flow through a process. For these reasons, the hazard communication for Category 1 cannot provide any details regarding the explosive behaviour. Process hazards analysis and risk management principles should be applied in these cases to identify and manage the risk of processes in accordance with best practices and applicable regulations.</w:t>
      </w:r>
    </w:p>
    <w:p w14:paraId="105EC403" w14:textId="77777777" w:rsidR="00001582" w:rsidRDefault="00001582" w:rsidP="00001582">
      <w:pPr>
        <w:spacing w:after="240"/>
        <w:ind w:left="1134" w:right="284"/>
        <w:jc w:val="both"/>
        <w:rPr>
          <w:u w:val="single"/>
        </w:rPr>
      </w:pPr>
      <w:r>
        <w:t>2.1.4.3.5</w:t>
      </w:r>
      <w:r>
        <w:tab/>
      </w:r>
      <w:r>
        <w:rPr>
          <w:i/>
        </w:rPr>
        <w:t xml:space="preserve">Safety </w:t>
      </w:r>
      <w:r>
        <w:rPr>
          <w:b/>
          <w:i/>
          <w:strike/>
        </w:rPr>
        <w:t>during explosives manufacturing and processing</w:t>
      </w:r>
      <w:r>
        <w:rPr>
          <w:b/>
          <w:i/>
        </w:rPr>
        <w:t xml:space="preserve"> </w:t>
      </w:r>
      <w:r>
        <w:rPr>
          <w:b/>
          <w:i/>
          <w:u w:val="single"/>
        </w:rPr>
        <w:t>related to explosives failing Test series 3 or 4</w:t>
      </w:r>
    </w:p>
    <w:p w14:paraId="718948BF" w14:textId="61B0A2ED" w:rsidR="00001582" w:rsidRDefault="00001582" w:rsidP="00001582">
      <w:pPr>
        <w:tabs>
          <w:tab w:val="left" w:pos="2268"/>
        </w:tabs>
        <w:spacing w:after="240"/>
        <w:ind w:left="1134" w:right="284"/>
        <w:jc w:val="both"/>
      </w:pPr>
      <w:r>
        <w:tab/>
        <w:t xml:space="preserve">Category 1 also includes explosives that fail Test series 3 or </w:t>
      </w:r>
      <w:r>
        <w:rPr>
          <w:b/>
          <w:u w:val="single"/>
        </w:rPr>
        <w:t>Test series</w:t>
      </w:r>
      <w:r>
        <w:t xml:space="preserve"> 4 as configured, having an unacceptable level of sensitivity to stimuli encountered during transport. </w:t>
      </w:r>
      <w:r>
        <w:rPr>
          <w:b/>
          <w:strike/>
        </w:rPr>
        <w:t>These tests and their</w:t>
      </w:r>
      <w:r>
        <w:t xml:space="preserve"> </w:t>
      </w:r>
      <w:r>
        <w:rPr>
          <w:b/>
          <w:u w:val="single"/>
        </w:rPr>
        <w:t>The</w:t>
      </w:r>
      <w:r>
        <w:t xml:space="preserve"> thresholds </w:t>
      </w:r>
      <w:r>
        <w:rPr>
          <w:b/>
          <w:u w:val="single"/>
        </w:rPr>
        <w:t>of these tests</w:t>
      </w:r>
      <w:r>
        <w:t xml:space="preserve"> may not be representative of the energy levels encountered during explosives processing and manufacturing</w:t>
      </w:r>
      <w:r w:rsidR="00027EB8">
        <w:t>.</w:t>
      </w:r>
      <w:r>
        <w:rPr>
          <w:b/>
        </w:rPr>
        <w:t xml:space="preserve"> </w:t>
      </w:r>
      <w:r>
        <w:rPr>
          <w:b/>
          <w:strike/>
        </w:rPr>
        <w:t>and</w:t>
      </w:r>
      <w:r>
        <w:rPr>
          <w:b/>
          <w:u w:val="single"/>
        </w:rPr>
        <w:t>Furthermore, these tests</w:t>
      </w:r>
      <w:r>
        <w:t xml:space="preserve"> do not include all types of stimuli that may be encountered, such as electrostatic discharge. </w:t>
      </w:r>
      <w:r>
        <w:rPr>
          <w:b/>
          <w:strike/>
        </w:rPr>
        <w:t>Therefore, further</w:t>
      </w:r>
      <w:r>
        <w:t xml:space="preserve"> </w:t>
      </w:r>
      <w:r>
        <w:rPr>
          <w:b/>
          <w:u w:val="single"/>
        </w:rPr>
        <w:t>Additional</w:t>
      </w:r>
      <w:r>
        <w:t xml:space="preserve"> investigations of the properties of the explosive at hand </w:t>
      </w:r>
      <w:r>
        <w:rPr>
          <w:b/>
          <w:strike/>
        </w:rPr>
        <w:t>and appropriate risk management are</w:t>
      </w:r>
      <w:r>
        <w:t xml:space="preserve"> </w:t>
      </w:r>
      <w:r>
        <w:rPr>
          <w:b/>
          <w:u w:val="single"/>
        </w:rPr>
        <w:t>may thus be</w:t>
      </w:r>
      <w:r>
        <w:t xml:space="preserve"> needed for safe processing and handling.”.</w:t>
      </w:r>
    </w:p>
    <w:p w14:paraId="35E662B5" w14:textId="18EC0883" w:rsidR="00747C8C" w:rsidRPr="00FB0359" w:rsidRDefault="00FB0359" w:rsidP="00FB0359">
      <w:pPr>
        <w:pStyle w:val="SingleTxtG"/>
        <w:jc w:val="center"/>
        <w:rPr>
          <w:lang w:val="fr-CH"/>
        </w:rPr>
      </w:pPr>
      <w:r w:rsidRPr="00FB0359">
        <w:rPr>
          <w:lang w:val="fr-CH"/>
        </w:rPr>
        <w:t>__________________</w:t>
      </w:r>
    </w:p>
    <w:sectPr w:rsidR="00747C8C" w:rsidRPr="00FB0359" w:rsidSect="00B07F3F">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1134" w:left="1134" w:header="964" w:footer="113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0E779" w14:textId="77777777" w:rsidR="006A7921" w:rsidRDefault="006A7921"/>
  </w:endnote>
  <w:endnote w:type="continuationSeparator" w:id="0">
    <w:p w14:paraId="7ABBD5D8" w14:textId="77777777" w:rsidR="006A7921" w:rsidRDefault="006A7921"/>
  </w:endnote>
  <w:endnote w:type="continuationNotice" w:id="1">
    <w:p w14:paraId="2A14C975" w14:textId="77777777" w:rsidR="006A7921" w:rsidRDefault="006A79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A9CCB" w14:textId="2E13F0BF" w:rsidR="00B71B78" w:rsidRPr="000216CC" w:rsidRDefault="00B71B78" w:rsidP="000216C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sidR="00103A91">
      <w:rPr>
        <w:b/>
        <w:noProof/>
        <w:sz w:val="18"/>
      </w:rPr>
      <w:t>8</w:t>
    </w:r>
    <w:r w:rsidRPr="000216CC">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B4213" w14:textId="3A91E593" w:rsidR="00B71B78" w:rsidRPr="000216CC" w:rsidRDefault="00B71B78"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sidR="00103A91">
      <w:rPr>
        <w:b/>
        <w:noProof/>
        <w:sz w:val="18"/>
      </w:rPr>
      <w:t>7</w:t>
    </w:r>
    <w:r w:rsidRPr="000216C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FC355" w14:textId="77777777" w:rsidR="00B71B78" w:rsidRDefault="00B71B78" w:rsidP="0097639C">
    <w:pPr>
      <w:pStyle w:val="Footer"/>
      <w:tabs>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639EE" w14:textId="77777777" w:rsidR="006A7921" w:rsidRPr="000B175B" w:rsidRDefault="006A7921" w:rsidP="000B175B">
      <w:pPr>
        <w:tabs>
          <w:tab w:val="right" w:pos="2155"/>
        </w:tabs>
        <w:spacing w:after="80"/>
        <w:ind w:left="680"/>
        <w:rPr>
          <w:u w:val="single"/>
        </w:rPr>
      </w:pPr>
      <w:r>
        <w:rPr>
          <w:u w:val="single"/>
        </w:rPr>
        <w:tab/>
      </w:r>
    </w:p>
  </w:footnote>
  <w:footnote w:type="continuationSeparator" w:id="0">
    <w:p w14:paraId="2E5CFCFD" w14:textId="77777777" w:rsidR="006A7921" w:rsidRPr="00FC68B7" w:rsidRDefault="006A7921" w:rsidP="00FC68B7">
      <w:pPr>
        <w:tabs>
          <w:tab w:val="left" w:pos="2155"/>
        </w:tabs>
        <w:spacing w:after="80"/>
        <w:ind w:left="680"/>
        <w:rPr>
          <w:u w:val="single"/>
        </w:rPr>
      </w:pPr>
      <w:r>
        <w:rPr>
          <w:u w:val="single"/>
        </w:rPr>
        <w:tab/>
      </w:r>
    </w:p>
  </w:footnote>
  <w:footnote w:type="continuationNotice" w:id="1">
    <w:p w14:paraId="14ABE0AB" w14:textId="77777777" w:rsidR="006A7921" w:rsidRDefault="006A79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59B4F" w14:textId="47E8E6C6" w:rsidR="00B71B78" w:rsidRPr="001E5919" w:rsidRDefault="00EE73F9" w:rsidP="001E5919">
    <w:pPr>
      <w:pStyle w:val="Header"/>
      <w:rPr>
        <w:lang w:val="fr-FR"/>
      </w:rPr>
    </w:pPr>
    <w:r>
      <w:rPr>
        <w:lang w:val="fr-FR"/>
      </w:rPr>
      <w:t>UN/SCETDG/57/INF.</w:t>
    </w:r>
    <w:r w:rsidR="00FB0359">
      <w:rPr>
        <w:lang w:val="fr-FR"/>
      </w:rPr>
      <w:t>1</w:t>
    </w:r>
    <w:r w:rsidR="00001582">
      <w:rPr>
        <w:lang w:val="fr-FR"/>
      </w:rPr>
      <w:t>7</w:t>
    </w:r>
    <w:r>
      <w:rPr>
        <w:lang w:val="fr-FR"/>
      </w:rPr>
      <w:br/>
    </w:r>
    <w:r w:rsidR="00B71B78">
      <w:rPr>
        <w:lang w:val="fr-FR"/>
      </w:rPr>
      <w:t>UN/SCEGHS/39/INF.</w:t>
    </w:r>
    <w:r w:rsidR="00FB0359">
      <w:rPr>
        <w:lang w:val="fr-FR"/>
      </w:rPr>
      <w:t>1</w:t>
    </w:r>
    <w:r w:rsidR="00001582">
      <w:rPr>
        <w:lang w:val="fr-FR"/>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941F6" w14:textId="087BEB4E" w:rsidR="00B71B78" w:rsidRPr="001E5919" w:rsidRDefault="00EE73F9" w:rsidP="001E5919">
    <w:pPr>
      <w:pStyle w:val="Header"/>
      <w:jc w:val="right"/>
      <w:rPr>
        <w:lang w:val="fr-FR"/>
      </w:rPr>
    </w:pPr>
    <w:r>
      <w:rPr>
        <w:lang w:val="fr-FR"/>
      </w:rPr>
      <w:t>UN/SCETDG/57/INF.</w:t>
    </w:r>
    <w:r w:rsidR="00FB0359">
      <w:rPr>
        <w:lang w:val="fr-FR"/>
      </w:rPr>
      <w:t>1</w:t>
    </w:r>
    <w:r w:rsidR="000B382F">
      <w:rPr>
        <w:lang w:val="fr-FR"/>
      </w:rPr>
      <w:t>7</w:t>
    </w:r>
    <w:r>
      <w:rPr>
        <w:lang w:val="fr-FR"/>
      </w:rPr>
      <w:br/>
      <w:t>UN/SCEGHS/39/INF.</w:t>
    </w:r>
    <w:r w:rsidR="00FB0359">
      <w:rPr>
        <w:lang w:val="fr-FR"/>
      </w:rPr>
      <w:t>1</w:t>
    </w:r>
    <w:r w:rsidR="000B382F">
      <w:rPr>
        <w:lang w:val="fr-FR"/>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3B615" w14:textId="77777777" w:rsidR="00B71B78" w:rsidRPr="00542C8D" w:rsidRDefault="00B71B78" w:rsidP="00542C8D">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E4158"/>
    <w:multiLevelType w:val="hybridMultilevel"/>
    <w:tmpl w:val="60948D56"/>
    <w:lvl w:ilvl="0" w:tplc="EA7C2B66">
      <w:start w:val="1"/>
      <w:numFmt w:val="decimal"/>
      <w:lvlText w:val="%1."/>
      <w:lvlJc w:val="left"/>
      <w:pPr>
        <w:ind w:left="2629" w:hanging="360"/>
      </w:pPr>
      <w:rPr>
        <w:rFonts w:hint="default"/>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9DDC7C60">
      <w:numFmt w:val="bullet"/>
      <w:lvlText w:val="•"/>
      <w:lvlJc w:val="left"/>
      <w:pPr>
        <w:ind w:left="3734" w:hanging="440"/>
      </w:pPr>
      <w:rPr>
        <w:rFonts w:ascii="Times New Roman" w:eastAsia="Times New Roman" w:hAnsi="Times New Roman" w:cs="Times New Roman" w:hint="default"/>
      </w:r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02214C83"/>
    <w:multiLevelType w:val="hybridMultilevel"/>
    <w:tmpl w:val="F1946D12"/>
    <w:lvl w:ilvl="0" w:tplc="D566617A">
      <w:numFmt w:val="bullet"/>
      <w:lvlText w:val="-"/>
      <w:lvlJc w:val="left"/>
      <w:pPr>
        <w:ind w:left="1494" w:hanging="360"/>
      </w:pPr>
      <w:rPr>
        <w:rFonts w:ascii="Times New Roman" w:eastAsia="Times New Roman" w:hAnsi="Times New Roman" w:cs="Times New Roman" w:hint="default"/>
      </w:rPr>
    </w:lvl>
    <w:lvl w:ilvl="1" w:tplc="041D0003">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C40124B"/>
    <w:multiLevelType w:val="hybridMultilevel"/>
    <w:tmpl w:val="CBEA5AEC"/>
    <w:lvl w:ilvl="0" w:tplc="04090001">
      <w:start w:val="1"/>
      <w:numFmt w:val="bullet"/>
      <w:lvlText w:val=""/>
      <w:lvlJc w:val="left"/>
      <w:pPr>
        <w:ind w:left="1854" w:hanging="360"/>
      </w:pPr>
      <w:rPr>
        <w:rFonts w:ascii="Symbol" w:hAnsi="Symbol" w:hint="default"/>
      </w:r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C022983"/>
    <w:multiLevelType w:val="hybridMultilevel"/>
    <w:tmpl w:val="897004BE"/>
    <w:lvl w:ilvl="0" w:tplc="EA7C2B66">
      <w:start w:val="1"/>
      <w:numFmt w:val="decimal"/>
      <w:lvlText w:val="%1."/>
      <w:lvlJc w:val="left"/>
      <w:pPr>
        <w:ind w:left="6750" w:hanging="360"/>
      </w:pPr>
      <w:rPr>
        <w:rFonts w:hint="default"/>
      </w:rPr>
    </w:lvl>
    <w:lvl w:ilvl="1" w:tplc="510E1498">
      <w:start w:val="1"/>
      <w:numFmt w:val="lowerRoman"/>
      <w:lvlText w:val="(%2)"/>
      <w:lvlJc w:val="right"/>
      <w:pPr>
        <w:ind w:left="2214" w:hanging="360"/>
      </w:pPr>
      <w:rPr>
        <w:rFonts w:hint="default"/>
      </w:rPr>
    </w:lvl>
    <w:lvl w:ilvl="2" w:tplc="0809001B">
      <w:start w:val="1"/>
      <w:numFmt w:val="lowerRoman"/>
      <w:lvlText w:val="%3."/>
      <w:lvlJc w:val="right"/>
      <w:pPr>
        <w:ind w:left="2934" w:hanging="180"/>
      </w:pPr>
    </w:lvl>
    <w:lvl w:ilvl="3" w:tplc="9DDC7C60">
      <w:numFmt w:val="bullet"/>
      <w:lvlText w:val="•"/>
      <w:lvlJc w:val="left"/>
      <w:pPr>
        <w:ind w:left="3734" w:hanging="440"/>
      </w:pPr>
      <w:rPr>
        <w:rFonts w:ascii="Times New Roman" w:eastAsia="Times New Roman" w:hAnsi="Times New Roman" w:cs="Times New Roman" w:hint="default"/>
      </w:r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1D6C6FEE"/>
    <w:multiLevelType w:val="hybridMultilevel"/>
    <w:tmpl w:val="89A89CC2"/>
    <w:lvl w:ilvl="0" w:tplc="04090017">
      <w:start w:val="1"/>
      <w:numFmt w:val="lowerLetter"/>
      <w:lvlText w:val="%1)"/>
      <w:lvlJc w:val="left"/>
      <w:pPr>
        <w:ind w:left="2061" w:hanging="360"/>
      </w:pPr>
      <w:rPr>
        <w:rFonts w:hint="default"/>
      </w:r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7" w15:restartNumberingAfterBreak="0">
    <w:nsid w:val="1D7C46FE"/>
    <w:multiLevelType w:val="hybridMultilevel"/>
    <w:tmpl w:val="5484C730"/>
    <w:lvl w:ilvl="0" w:tplc="B9BCD836">
      <w:start w:val="1"/>
      <w:numFmt w:val="lowerLetter"/>
      <w:lvlText w:val="(%1)"/>
      <w:lvlJc w:val="left"/>
      <w:pPr>
        <w:ind w:left="2061" w:hanging="360"/>
      </w:pPr>
      <w:rPr>
        <w:rFonts w:hint="default"/>
      </w:r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8" w15:restartNumberingAfterBreak="0">
    <w:nsid w:val="21B37988"/>
    <w:multiLevelType w:val="hybridMultilevel"/>
    <w:tmpl w:val="6C14A746"/>
    <w:lvl w:ilvl="0" w:tplc="EA7C2B6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23315929"/>
    <w:multiLevelType w:val="hybridMultilevel"/>
    <w:tmpl w:val="5DBA275E"/>
    <w:lvl w:ilvl="0" w:tplc="600C313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0" w15:restartNumberingAfterBreak="0">
    <w:nsid w:val="2CF14259"/>
    <w:multiLevelType w:val="hybridMultilevel"/>
    <w:tmpl w:val="75EE8C66"/>
    <w:lvl w:ilvl="0" w:tplc="1BE8D614">
      <w:start w:val="13"/>
      <w:numFmt w:val="decimal"/>
      <w:lvlText w:val="%1."/>
      <w:lvlJc w:val="left"/>
      <w:pPr>
        <w:ind w:left="1440" w:hanging="360"/>
      </w:pPr>
      <w:rPr>
        <w:rFonts w:ascii="Times New Roman" w:eastAsia="Times New Roman" w:hAnsi="Times New Roman" w:cs="Times New Roman" w:hint="default"/>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383F09AE"/>
    <w:multiLevelType w:val="hybridMultilevel"/>
    <w:tmpl w:val="10F86E76"/>
    <w:lvl w:ilvl="0" w:tplc="D758D3BA">
      <w:start w:val="1"/>
      <w:numFmt w:val="lowerRoman"/>
      <w:lvlText w:val="%1."/>
      <w:lvlJc w:val="left"/>
      <w:pPr>
        <w:ind w:left="2988" w:hanging="72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2" w15:restartNumberingAfterBreak="0">
    <w:nsid w:val="42114740"/>
    <w:multiLevelType w:val="hybridMultilevel"/>
    <w:tmpl w:val="180A7554"/>
    <w:lvl w:ilvl="0" w:tplc="E132DF24">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3" w15:restartNumberingAfterBreak="0">
    <w:nsid w:val="54A45AA8"/>
    <w:multiLevelType w:val="hybridMultilevel"/>
    <w:tmpl w:val="729A026E"/>
    <w:lvl w:ilvl="0" w:tplc="6A9EA270">
      <w:start w:val="1"/>
      <w:numFmt w:val="decimal"/>
      <w:lvlText w:val="%1."/>
      <w:lvlJc w:val="left"/>
      <w:pPr>
        <w:ind w:left="1494" w:hanging="360"/>
      </w:pPr>
      <w:rPr>
        <w:rFonts w:ascii="Times New Roman" w:eastAsia="Times New Roman" w:hAnsi="Times New Roman" w:cs="Times New Roman"/>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15:restartNumberingAfterBreak="0">
    <w:nsid w:val="56B10292"/>
    <w:multiLevelType w:val="hybridMultilevel"/>
    <w:tmpl w:val="B9EADF18"/>
    <w:lvl w:ilvl="0" w:tplc="80524A1A">
      <w:start w:val="1"/>
      <w:numFmt w:val="lowerLetter"/>
      <w:lvlText w:val="(%1)"/>
      <w:lvlJc w:val="left"/>
      <w:pPr>
        <w:ind w:left="1854" w:hanging="360"/>
      </w:pPr>
    </w:lvl>
    <w:lvl w:ilvl="1" w:tplc="041D0019">
      <w:start w:val="1"/>
      <w:numFmt w:val="lowerLetter"/>
      <w:lvlText w:val="%2."/>
      <w:lvlJc w:val="left"/>
      <w:pPr>
        <w:ind w:left="2574" w:hanging="360"/>
      </w:pPr>
    </w:lvl>
    <w:lvl w:ilvl="2" w:tplc="041D001B">
      <w:start w:val="1"/>
      <w:numFmt w:val="lowerRoman"/>
      <w:lvlText w:val="%3."/>
      <w:lvlJc w:val="right"/>
      <w:pPr>
        <w:ind w:left="3294" w:hanging="180"/>
      </w:pPr>
    </w:lvl>
    <w:lvl w:ilvl="3" w:tplc="041D000F">
      <w:start w:val="1"/>
      <w:numFmt w:val="decimal"/>
      <w:lvlText w:val="%4."/>
      <w:lvlJc w:val="left"/>
      <w:pPr>
        <w:ind w:left="4014" w:hanging="360"/>
      </w:pPr>
    </w:lvl>
    <w:lvl w:ilvl="4" w:tplc="041D0019">
      <w:start w:val="1"/>
      <w:numFmt w:val="lowerLetter"/>
      <w:lvlText w:val="%5."/>
      <w:lvlJc w:val="left"/>
      <w:pPr>
        <w:ind w:left="4734" w:hanging="360"/>
      </w:pPr>
    </w:lvl>
    <w:lvl w:ilvl="5" w:tplc="041D001B">
      <w:start w:val="1"/>
      <w:numFmt w:val="lowerRoman"/>
      <w:lvlText w:val="%6."/>
      <w:lvlJc w:val="right"/>
      <w:pPr>
        <w:ind w:left="5454" w:hanging="180"/>
      </w:pPr>
    </w:lvl>
    <w:lvl w:ilvl="6" w:tplc="041D000F">
      <w:start w:val="1"/>
      <w:numFmt w:val="decimal"/>
      <w:lvlText w:val="%7."/>
      <w:lvlJc w:val="left"/>
      <w:pPr>
        <w:ind w:left="6174" w:hanging="360"/>
      </w:pPr>
    </w:lvl>
    <w:lvl w:ilvl="7" w:tplc="041D0019">
      <w:start w:val="1"/>
      <w:numFmt w:val="lowerLetter"/>
      <w:lvlText w:val="%8."/>
      <w:lvlJc w:val="left"/>
      <w:pPr>
        <w:ind w:left="6894" w:hanging="360"/>
      </w:pPr>
    </w:lvl>
    <w:lvl w:ilvl="8" w:tplc="041D001B">
      <w:start w:val="1"/>
      <w:numFmt w:val="lowerRoman"/>
      <w:lvlText w:val="%9."/>
      <w:lvlJc w:val="right"/>
      <w:pPr>
        <w:ind w:left="7614" w:hanging="180"/>
      </w:pPr>
    </w:lvl>
  </w:abstractNum>
  <w:abstractNum w:abstractNumId="25" w15:restartNumberingAfterBreak="0">
    <w:nsid w:val="57517526"/>
    <w:multiLevelType w:val="hybridMultilevel"/>
    <w:tmpl w:val="23689C8E"/>
    <w:lvl w:ilvl="0" w:tplc="3A2AE336">
      <w:start w:val="1"/>
      <w:numFmt w:val="lowerRoman"/>
      <w:lvlText w:val="%1."/>
      <w:lvlJc w:val="left"/>
      <w:pPr>
        <w:ind w:left="2988" w:hanging="72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6" w15:restartNumberingAfterBreak="0">
    <w:nsid w:val="5E1639F7"/>
    <w:multiLevelType w:val="multilevel"/>
    <w:tmpl w:val="CBB43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2553055"/>
    <w:multiLevelType w:val="hybridMultilevel"/>
    <w:tmpl w:val="10B4218C"/>
    <w:lvl w:ilvl="0" w:tplc="B9BCD83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B04C44"/>
    <w:multiLevelType w:val="hybridMultilevel"/>
    <w:tmpl w:val="28DCCBEC"/>
    <w:lvl w:ilvl="0" w:tplc="04090001">
      <w:start w:val="1"/>
      <w:numFmt w:val="bullet"/>
      <w:lvlText w:val=""/>
      <w:lvlJc w:val="left"/>
      <w:pPr>
        <w:ind w:left="1494" w:hanging="360"/>
      </w:pPr>
      <w:rPr>
        <w:rFonts w:ascii="Symbol" w:hAnsi="Symbol" w:hint="default"/>
      </w:rPr>
    </w:lvl>
    <w:lvl w:ilvl="1" w:tplc="08090019">
      <w:start w:val="1"/>
      <w:numFmt w:val="lowerLetter"/>
      <w:lvlText w:val="%2."/>
      <w:lvlJc w:val="left"/>
      <w:pPr>
        <w:ind w:left="558" w:hanging="360"/>
      </w:pPr>
    </w:lvl>
    <w:lvl w:ilvl="2" w:tplc="0809001B">
      <w:start w:val="1"/>
      <w:numFmt w:val="lowerRoman"/>
      <w:lvlText w:val="%3."/>
      <w:lvlJc w:val="right"/>
      <w:pPr>
        <w:ind w:left="1278" w:hanging="180"/>
      </w:pPr>
    </w:lvl>
    <w:lvl w:ilvl="3" w:tplc="0809000F" w:tentative="1">
      <w:start w:val="1"/>
      <w:numFmt w:val="decimal"/>
      <w:lvlText w:val="%4."/>
      <w:lvlJc w:val="left"/>
      <w:pPr>
        <w:ind w:left="1998" w:hanging="360"/>
      </w:pPr>
    </w:lvl>
    <w:lvl w:ilvl="4" w:tplc="08090019" w:tentative="1">
      <w:start w:val="1"/>
      <w:numFmt w:val="lowerLetter"/>
      <w:lvlText w:val="%5."/>
      <w:lvlJc w:val="left"/>
      <w:pPr>
        <w:ind w:left="2718" w:hanging="360"/>
      </w:pPr>
    </w:lvl>
    <w:lvl w:ilvl="5" w:tplc="0809001B" w:tentative="1">
      <w:start w:val="1"/>
      <w:numFmt w:val="lowerRoman"/>
      <w:lvlText w:val="%6."/>
      <w:lvlJc w:val="right"/>
      <w:pPr>
        <w:ind w:left="3438" w:hanging="180"/>
      </w:pPr>
    </w:lvl>
    <w:lvl w:ilvl="6" w:tplc="0809000F" w:tentative="1">
      <w:start w:val="1"/>
      <w:numFmt w:val="decimal"/>
      <w:lvlText w:val="%7."/>
      <w:lvlJc w:val="left"/>
      <w:pPr>
        <w:ind w:left="4158" w:hanging="360"/>
      </w:pPr>
    </w:lvl>
    <w:lvl w:ilvl="7" w:tplc="08090019" w:tentative="1">
      <w:start w:val="1"/>
      <w:numFmt w:val="lowerLetter"/>
      <w:lvlText w:val="%8."/>
      <w:lvlJc w:val="left"/>
      <w:pPr>
        <w:ind w:left="4878" w:hanging="360"/>
      </w:pPr>
    </w:lvl>
    <w:lvl w:ilvl="8" w:tplc="0809001B" w:tentative="1">
      <w:start w:val="1"/>
      <w:numFmt w:val="lowerRoman"/>
      <w:lvlText w:val="%9."/>
      <w:lvlJc w:val="right"/>
      <w:pPr>
        <w:ind w:left="5598" w:hanging="180"/>
      </w:pPr>
    </w:lvl>
  </w:abstractNum>
  <w:abstractNum w:abstractNumId="31" w15:restartNumberingAfterBreak="0">
    <w:nsid w:val="66D70565"/>
    <w:multiLevelType w:val="hybridMultilevel"/>
    <w:tmpl w:val="688E9B42"/>
    <w:lvl w:ilvl="0" w:tplc="04090001">
      <w:start w:val="1"/>
      <w:numFmt w:val="bullet"/>
      <w:lvlText w:val=""/>
      <w:lvlJc w:val="left"/>
      <w:pPr>
        <w:ind w:left="2061" w:hanging="360"/>
      </w:pPr>
      <w:rPr>
        <w:rFonts w:ascii="Symbol" w:hAnsi="Symbol" w:hint="default"/>
      </w:r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2" w15:restartNumberingAfterBreak="0">
    <w:nsid w:val="6C303A07"/>
    <w:multiLevelType w:val="hybridMultilevel"/>
    <w:tmpl w:val="9F1682B2"/>
    <w:lvl w:ilvl="0" w:tplc="B9BCD836">
      <w:start w:val="1"/>
      <w:numFmt w:val="lowerLetter"/>
      <w:lvlText w:val="(%1)"/>
      <w:lvlJc w:val="left"/>
      <w:pPr>
        <w:ind w:left="2061" w:hanging="360"/>
      </w:pPr>
      <w:rPr>
        <w:rFonts w:hint="default"/>
      </w:r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3" w15:restartNumberingAfterBreak="0">
    <w:nsid w:val="71947C28"/>
    <w:multiLevelType w:val="hybridMultilevel"/>
    <w:tmpl w:val="9F1682B2"/>
    <w:lvl w:ilvl="0" w:tplc="B9BCD836">
      <w:start w:val="1"/>
      <w:numFmt w:val="lowerLetter"/>
      <w:lvlText w:val="(%1)"/>
      <w:lvlJc w:val="left"/>
      <w:pPr>
        <w:ind w:left="2061" w:hanging="360"/>
      </w:pPr>
      <w:rPr>
        <w:rFonts w:hint="default"/>
      </w:r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4" w15:restartNumberingAfterBreak="0">
    <w:nsid w:val="71D66456"/>
    <w:multiLevelType w:val="hybridMultilevel"/>
    <w:tmpl w:val="F390A090"/>
    <w:lvl w:ilvl="0" w:tplc="3C1EB666">
      <w:start w:val="1"/>
      <w:numFmt w:val="lowerRoman"/>
      <w:lvlText w:val="%1."/>
      <w:lvlJc w:val="left"/>
      <w:pPr>
        <w:ind w:left="2988" w:hanging="72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3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7"/>
  </w:num>
  <w:num w:numId="12">
    <w:abstractNumId w:val="14"/>
  </w:num>
  <w:num w:numId="13">
    <w:abstractNumId w:val="12"/>
  </w:num>
  <w:num w:numId="14">
    <w:abstractNumId w:val="29"/>
  </w:num>
  <w:num w:numId="15">
    <w:abstractNumId w:val="35"/>
  </w:num>
  <w:num w:numId="16">
    <w:abstractNumId w:val="23"/>
  </w:num>
  <w:num w:numId="17">
    <w:abstractNumId w:val="20"/>
  </w:num>
  <w:num w:numId="18">
    <w:abstractNumId w:val="10"/>
  </w:num>
  <w:num w:numId="19">
    <w:abstractNumId w:val="22"/>
  </w:num>
  <w:num w:numId="20">
    <w:abstractNumId w:val="28"/>
  </w:num>
  <w:num w:numId="21">
    <w:abstractNumId w:val="34"/>
  </w:num>
  <w:num w:numId="22">
    <w:abstractNumId w:val="19"/>
  </w:num>
  <w:num w:numId="23">
    <w:abstractNumId w:val="21"/>
  </w:num>
  <w:num w:numId="24">
    <w:abstractNumId w:val="25"/>
  </w:num>
  <w:num w:numId="25">
    <w:abstractNumId w:val="18"/>
  </w:num>
  <w:num w:numId="26">
    <w:abstractNumId w:val="13"/>
  </w:num>
  <w:num w:numId="27">
    <w:abstractNumId w:val="30"/>
  </w:num>
  <w:num w:numId="28">
    <w:abstractNumId w:val="32"/>
  </w:num>
  <w:num w:numId="29">
    <w:abstractNumId w:val="33"/>
  </w:num>
  <w:num w:numId="30">
    <w:abstractNumId w:val="17"/>
  </w:num>
  <w:num w:numId="31">
    <w:abstractNumId w:val="26"/>
  </w:num>
  <w:num w:numId="32">
    <w:abstractNumId w:val="31"/>
  </w:num>
  <w:num w:numId="33">
    <w:abstractNumId w:val="16"/>
  </w:num>
  <w:num w:numId="34">
    <w:abstractNumId w:val="11"/>
  </w:num>
  <w:num w:numId="35">
    <w:abstractNumId w:val="15"/>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0"/>
  <w:activeWritingStyle w:appName="MSWord" w:lang="nl-NL" w:vendorID="64" w:dllVersion="6" w:nlCheck="1" w:checkStyle="0"/>
  <w:activeWritingStyle w:appName="MSWord" w:lang="fr-F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nl-NL" w:vendorID="64" w:dllVersion="0" w:nlCheck="1" w:checkStyle="0"/>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ctiveWritingStyle w:appName="MSWord" w:lang="fr-CH"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1582"/>
    <w:rsid w:val="000019B8"/>
    <w:rsid w:val="00002751"/>
    <w:rsid w:val="00006C69"/>
    <w:rsid w:val="00006FAE"/>
    <w:rsid w:val="00007A94"/>
    <w:rsid w:val="000133C5"/>
    <w:rsid w:val="00017D24"/>
    <w:rsid w:val="000216CC"/>
    <w:rsid w:val="00022088"/>
    <w:rsid w:val="00026B64"/>
    <w:rsid w:val="00027EB8"/>
    <w:rsid w:val="0003042A"/>
    <w:rsid w:val="00031437"/>
    <w:rsid w:val="0003375D"/>
    <w:rsid w:val="00040776"/>
    <w:rsid w:val="00043180"/>
    <w:rsid w:val="00044081"/>
    <w:rsid w:val="000441CC"/>
    <w:rsid w:val="000504CE"/>
    <w:rsid w:val="00050922"/>
    <w:rsid w:val="00050F6B"/>
    <w:rsid w:val="00052256"/>
    <w:rsid w:val="0005258D"/>
    <w:rsid w:val="00053492"/>
    <w:rsid w:val="00055FF2"/>
    <w:rsid w:val="0005710C"/>
    <w:rsid w:val="00063DAC"/>
    <w:rsid w:val="00064402"/>
    <w:rsid w:val="00067E6D"/>
    <w:rsid w:val="00070FF0"/>
    <w:rsid w:val="00072C8C"/>
    <w:rsid w:val="00073129"/>
    <w:rsid w:val="00073FC6"/>
    <w:rsid w:val="00075F99"/>
    <w:rsid w:val="00076A0A"/>
    <w:rsid w:val="00077A9B"/>
    <w:rsid w:val="00080B38"/>
    <w:rsid w:val="00082CE1"/>
    <w:rsid w:val="00083598"/>
    <w:rsid w:val="00084632"/>
    <w:rsid w:val="00084AE1"/>
    <w:rsid w:val="000863FA"/>
    <w:rsid w:val="00086918"/>
    <w:rsid w:val="00090F8D"/>
    <w:rsid w:val="00091046"/>
    <w:rsid w:val="00091297"/>
    <w:rsid w:val="00091419"/>
    <w:rsid w:val="00091CB3"/>
    <w:rsid w:val="000931C0"/>
    <w:rsid w:val="000939AE"/>
    <w:rsid w:val="000A1FD1"/>
    <w:rsid w:val="000A2236"/>
    <w:rsid w:val="000A35F2"/>
    <w:rsid w:val="000A3A48"/>
    <w:rsid w:val="000A4046"/>
    <w:rsid w:val="000A4C38"/>
    <w:rsid w:val="000B0EA7"/>
    <w:rsid w:val="000B175B"/>
    <w:rsid w:val="000B382F"/>
    <w:rsid w:val="000B3A0F"/>
    <w:rsid w:val="000B3C2B"/>
    <w:rsid w:val="000B4919"/>
    <w:rsid w:val="000B4D72"/>
    <w:rsid w:val="000B7AF2"/>
    <w:rsid w:val="000C1ED8"/>
    <w:rsid w:val="000C28CA"/>
    <w:rsid w:val="000C5D4B"/>
    <w:rsid w:val="000C6D96"/>
    <w:rsid w:val="000C717F"/>
    <w:rsid w:val="000D0B8F"/>
    <w:rsid w:val="000D14B6"/>
    <w:rsid w:val="000D379B"/>
    <w:rsid w:val="000D481F"/>
    <w:rsid w:val="000D6D97"/>
    <w:rsid w:val="000D7830"/>
    <w:rsid w:val="000E0415"/>
    <w:rsid w:val="000E1285"/>
    <w:rsid w:val="000E2E11"/>
    <w:rsid w:val="000E5E99"/>
    <w:rsid w:val="000E7E74"/>
    <w:rsid w:val="000F0087"/>
    <w:rsid w:val="000F1747"/>
    <w:rsid w:val="000F52D6"/>
    <w:rsid w:val="000F6A20"/>
    <w:rsid w:val="00103A90"/>
    <w:rsid w:val="00103A91"/>
    <w:rsid w:val="0010461A"/>
    <w:rsid w:val="001054A3"/>
    <w:rsid w:val="001057AB"/>
    <w:rsid w:val="001058DD"/>
    <w:rsid w:val="00110915"/>
    <w:rsid w:val="00113F87"/>
    <w:rsid w:val="001149AA"/>
    <w:rsid w:val="00115303"/>
    <w:rsid w:val="00115931"/>
    <w:rsid w:val="00115FA4"/>
    <w:rsid w:val="00117787"/>
    <w:rsid w:val="00117D0D"/>
    <w:rsid w:val="00117FD5"/>
    <w:rsid w:val="00120D9A"/>
    <w:rsid w:val="00120E7B"/>
    <w:rsid w:val="00121EB7"/>
    <w:rsid w:val="0012241F"/>
    <w:rsid w:val="00124B3F"/>
    <w:rsid w:val="00130307"/>
    <w:rsid w:val="00131B10"/>
    <w:rsid w:val="00131D42"/>
    <w:rsid w:val="00133C50"/>
    <w:rsid w:val="0013537A"/>
    <w:rsid w:val="001367DF"/>
    <w:rsid w:val="00136F78"/>
    <w:rsid w:val="001377BD"/>
    <w:rsid w:val="001406F4"/>
    <w:rsid w:val="00140844"/>
    <w:rsid w:val="001467C3"/>
    <w:rsid w:val="001470D6"/>
    <w:rsid w:val="00153A5D"/>
    <w:rsid w:val="00156FF1"/>
    <w:rsid w:val="001621AD"/>
    <w:rsid w:val="001633FB"/>
    <w:rsid w:val="00163A1B"/>
    <w:rsid w:val="001640DF"/>
    <w:rsid w:val="00165735"/>
    <w:rsid w:val="00167786"/>
    <w:rsid w:val="00170C34"/>
    <w:rsid w:val="00181019"/>
    <w:rsid w:val="001835BF"/>
    <w:rsid w:val="00184B86"/>
    <w:rsid w:val="00191F73"/>
    <w:rsid w:val="00195084"/>
    <w:rsid w:val="00195BC9"/>
    <w:rsid w:val="0019637E"/>
    <w:rsid w:val="001A02A4"/>
    <w:rsid w:val="001A11CB"/>
    <w:rsid w:val="001A1CDC"/>
    <w:rsid w:val="001A3FC1"/>
    <w:rsid w:val="001A5DDE"/>
    <w:rsid w:val="001B0361"/>
    <w:rsid w:val="001B0B4E"/>
    <w:rsid w:val="001B35EE"/>
    <w:rsid w:val="001B4B04"/>
    <w:rsid w:val="001B6B72"/>
    <w:rsid w:val="001C08F5"/>
    <w:rsid w:val="001C429D"/>
    <w:rsid w:val="001C6663"/>
    <w:rsid w:val="001C7895"/>
    <w:rsid w:val="001D0B0A"/>
    <w:rsid w:val="001D25B8"/>
    <w:rsid w:val="001D26DF"/>
    <w:rsid w:val="001D2FDC"/>
    <w:rsid w:val="001D3123"/>
    <w:rsid w:val="001D3A88"/>
    <w:rsid w:val="001D4B2D"/>
    <w:rsid w:val="001D4E70"/>
    <w:rsid w:val="001D55A4"/>
    <w:rsid w:val="001D5B61"/>
    <w:rsid w:val="001D7926"/>
    <w:rsid w:val="001D7B26"/>
    <w:rsid w:val="001E5919"/>
    <w:rsid w:val="001E66BE"/>
    <w:rsid w:val="001E797C"/>
    <w:rsid w:val="001F3FDB"/>
    <w:rsid w:val="00200389"/>
    <w:rsid w:val="00202673"/>
    <w:rsid w:val="0020301C"/>
    <w:rsid w:val="00207C86"/>
    <w:rsid w:val="00211B12"/>
    <w:rsid w:val="00211E0B"/>
    <w:rsid w:val="0021481D"/>
    <w:rsid w:val="00215259"/>
    <w:rsid w:val="00221589"/>
    <w:rsid w:val="00221AC2"/>
    <w:rsid w:val="00223316"/>
    <w:rsid w:val="00223F20"/>
    <w:rsid w:val="00224CD9"/>
    <w:rsid w:val="002254D7"/>
    <w:rsid w:val="002277D8"/>
    <w:rsid w:val="0023025D"/>
    <w:rsid w:val="002309A7"/>
    <w:rsid w:val="00234B1B"/>
    <w:rsid w:val="00235381"/>
    <w:rsid w:val="00237785"/>
    <w:rsid w:val="00240052"/>
    <w:rsid w:val="00241178"/>
    <w:rsid w:val="00241439"/>
    <w:rsid w:val="00241466"/>
    <w:rsid w:val="002440E7"/>
    <w:rsid w:val="002451FB"/>
    <w:rsid w:val="00247570"/>
    <w:rsid w:val="00247764"/>
    <w:rsid w:val="002511B3"/>
    <w:rsid w:val="00253547"/>
    <w:rsid w:val="00257C1E"/>
    <w:rsid w:val="00257DD7"/>
    <w:rsid w:val="00261B71"/>
    <w:rsid w:val="00262099"/>
    <w:rsid w:val="002621F5"/>
    <w:rsid w:val="00264A62"/>
    <w:rsid w:val="0026745A"/>
    <w:rsid w:val="002708B5"/>
    <w:rsid w:val="00270A21"/>
    <w:rsid w:val="002725CA"/>
    <w:rsid w:val="00273A92"/>
    <w:rsid w:val="00276E3C"/>
    <w:rsid w:val="00277896"/>
    <w:rsid w:val="00280EB7"/>
    <w:rsid w:val="0028116C"/>
    <w:rsid w:val="00291E61"/>
    <w:rsid w:val="002976CF"/>
    <w:rsid w:val="002A09A8"/>
    <w:rsid w:val="002A0BD2"/>
    <w:rsid w:val="002A12B1"/>
    <w:rsid w:val="002A2A95"/>
    <w:rsid w:val="002A3510"/>
    <w:rsid w:val="002A3C44"/>
    <w:rsid w:val="002A5B17"/>
    <w:rsid w:val="002A76D3"/>
    <w:rsid w:val="002A7C9F"/>
    <w:rsid w:val="002B067A"/>
    <w:rsid w:val="002B1514"/>
    <w:rsid w:val="002B1CDA"/>
    <w:rsid w:val="002B3254"/>
    <w:rsid w:val="002B46B9"/>
    <w:rsid w:val="002C2163"/>
    <w:rsid w:val="002C25CC"/>
    <w:rsid w:val="002C5293"/>
    <w:rsid w:val="002C7F25"/>
    <w:rsid w:val="002D1C67"/>
    <w:rsid w:val="002D3912"/>
    <w:rsid w:val="002D4DB6"/>
    <w:rsid w:val="002D5029"/>
    <w:rsid w:val="002D5A85"/>
    <w:rsid w:val="002D5C7D"/>
    <w:rsid w:val="002E35BB"/>
    <w:rsid w:val="002E4639"/>
    <w:rsid w:val="002E4D44"/>
    <w:rsid w:val="002E5CF2"/>
    <w:rsid w:val="002F1915"/>
    <w:rsid w:val="002F363A"/>
    <w:rsid w:val="002F3957"/>
    <w:rsid w:val="002F68FD"/>
    <w:rsid w:val="002F6F3B"/>
    <w:rsid w:val="002F7332"/>
    <w:rsid w:val="003003A7"/>
    <w:rsid w:val="00302A3D"/>
    <w:rsid w:val="00305943"/>
    <w:rsid w:val="00305A08"/>
    <w:rsid w:val="003107D0"/>
    <w:rsid w:val="003107FA"/>
    <w:rsid w:val="00313F20"/>
    <w:rsid w:val="00314790"/>
    <w:rsid w:val="00315D73"/>
    <w:rsid w:val="00316FF9"/>
    <w:rsid w:val="00321716"/>
    <w:rsid w:val="003225F2"/>
    <w:rsid w:val="003229D8"/>
    <w:rsid w:val="003240F3"/>
    <w:rsid w:val="0032549A"/>
    <w:rsid w:val="00325F1A"/>
    <w:rsid w:val="00327D0A"/>
    <w:rsid w:val="003311D1"/>
    <w:rsid w:val="00336D2F"/>
    <w:rsid w:val="00340BB2"/>
    <w:rsid w:val="00342660"/>
    <w:rsid w:val="003428B0"/>
    <w:rsid w:val="003517C3"/>
    <w:rsid w:val="00353B8E"/>
    <w:rsid w:val="00355502"/>
    <w:rsid w:val="0035575A"/>
    <w:rsid w:val="00356BC7"/>
    <w:rsid w:val="00357A20"/>
    <w:rsid w:val="003623D1"/>
    <w:rsid w:val="003633B5"/>
    <w:rsid w:val="00363530"/>
    <w:rsid w:val="003651D0"/>
    <w:rsid w:val="00372F06"/>
    <w:rsid w:val="0037522C"/>
    <w:rsid w:val="00377CC7"/>
    <w:rsid w:val="003823F2"/>
    <w:rsid w:val="00382FAF"/>
    <w:rsid w:val="00390F0E"/>
    <w:rsid w:val="0039115F"/>
    <w:rsid w:val="00391647"/>
    <w:rsid w:val="003923FB"/>
    <w:rsid w:val="0039277A"/>
    <w:rsid w:val="00393127"/>
    <w:rsid w:val="003940EF"/>
    <w:rsid w:val="003954E2"/>
    <w:rsid w:val="00396F6A"/>
    <w:rsid w:val="003972E0"/>
    <w:rsid w:val="003A1EC2"/>
    <w:rsid w:val="003A2972"/>
    <w:rsid w:val="003A52D7"/>
    <w:rsid w:val="003A59C7"/>
    <w:rsid w:val="003A5A16"/>
    <w:rsid w:val="003A5FED"/>
    <w:rsid w:val="003B3BB5"/>
    <w:rsid w:val="003B5B38"/>
    <w:rsid w:val="003B72E8"/>
    <w:rsid w:val="003C0275"/>
    <w:rsid w:val="003C0657"/>
    <w:rsid w:val="003C0D65"/>
    <w:rsid w:val="003C17C1"/>
    <w:rsid w:val="003C18C9"/>
    <w:rsid w:val="003C2819"/>
    <w:rsid w:val="003C2CC4"/>
    <w:rsid w:val="003C45DF"/>
    <w:rsid w:val="003C655D"/>
    <w:rsid w:val="003C7F9C"/>
    <w:rsid w:val="003D4B23"/>
    <w:rsid w:val="003D6FE1"/>
    <w:rsid w:val="003E5F65"/>
    <w:rsid w:val="003F23A4"/>
    <w:rsid w:val="003F5900"/>
    <w:rsid w:val="003F5B52"/>
    <w:rsid w:val="003F5E99"/>
    <w:rsid w:val="003F66F3"/>
    <w:rsid w:val="003F772A"/>
    <w:rsid w:val="004030C5"/>
    <w:rsid w:val="00403EC6"/>
    <w:rsid w:val="00406CD4"/>
    <w:rsid w:val="00407CED"/>
    <w:rsid w:val="004264D7"/>
    <w:rsid w:val="00430086"/>
    <w:rsid w:val="00430918"/>
    <w:rsid w:val="004325CB"/>
    <w:rsid w:val="00433B74"/>
    <w:rsid w:val="004351F9"/>
    <w:rsid w:val="00437F3F"/>
    <w:rsid w:val="004434E1"/>
    <w:rsid w:val="00445C9D"/>
    <w:rsid w:val="00446DE4"/>
    <w:rsid w:val="00447440"/>
    <w:rsid w:val="00447900"/>
    <w:rsid w:val="00452D10"/>
    <w:rsid w:val="00454036"/>
    <w:rsid w:val="004562AA"/>
    <w:rsid w:val="00460917"/>
    <w:rsid w:val="00460B22"/>
    <w:rsid w:val="0046443A"/>
    <w:rsid w:val="004653B3"/>
    <w:rsid w:val="004654C4"/>
    <w:rsid w:val="0046668F"/>
    <w:rsid w:val="0046773D"/>
    <w:rsid w:val="0046788D"/>
    <w:rsid w:val="00475CD0"/>
    <w:rsid w:val="0048028B"/>
    <w:rsid w:val="00480BD4"/>
    <w:rsid w:val="0048304D"/>
    <w:rsid w:val="00484A9B"/>
    <w:rsid w:val="00486DA4"/>
    <w:rsid w:val="00492AF9"/>
    <w:rsid w:val="0049304E"/>
    <w:rsid w:val="00494C77"/>
    <w:rsid w:val="00497711"/>
    <w:rsid w:val="004A1710"/>
    <w:rsid w:val="004B2C9D"/>
    <w:rsid w:val="004B33C4"/>
    <w:rsid w:val="004B5939"/>
    <w:rsid w:val="004B692E"/>
    <w:rsid w:val="004B73D6"/>
    <w:rsid w:val="004C39D0"/>
    <w:rsid w:val="004C43DB"/>
    <w:rsid w:val="004C4F1A"/>
    <w:rsid w:val="004C6D6D"/>
    <w:rsid w:val="004C7974"/>
    <w:rsid w:val="004D0012"/>
    <w:rsid w:val="004D5FB6"/>
    <w:rsid w:val="004E0C5D"/>
    <w:rsid w:val="004E3603"/>
    <w:rsid w:val="004F4240"/>
    <w:rsid w:val="004F52AA"/>
    <w:rsid w:val="004F5854"/>
    <w:rsid w:val="004F77CD"/>
    <w:rsid w:val="00502365"/>
    <w:rsid w:val="005042BC"/>
    <w:rsid w:val="00504FEC"/>
    <w:rsid w:val="00507CF1"/>
    <w:rsid w:val="00515057"/>
    <w:rsid w:val="0051771C"/>
    <w:rsid w:val="00522177"/>
    <w:rsid w:val="005223CB"/>
    <w:rsid w:val="00524D87"/>
    <w:rsid w:val="005258D4"/>
    <w:rsid w:val="00527910"/>
    <w:rsid w:val="00530360"/>
    <w:rsid w:val="00534655"/>
    <w:rsid w:val="0053653D"/>
    <w:rsid w:val="00536DFA"/>
    <w:rsid w:val="005371B2"/>
    <w:rsid w:val="00541A44"/>
    <w:rsid w:val="00542001"/>
    <w:rsid w:val="005420F2"/>
    <w:rsid w:val="00542505"/>
    <w:rsid w:val="00542C8D"/>
    <w:rsid w:val="005434EF"/>
    <w:rsid w:val="0054641F"/>
    <w:rsid w:val="005475D4"/>
    <w:rsid w:val="00550CA7"/>
    <w:rsid w:val="00552179"/>
    <w:rsid w:val="00555CDB"/>
    <w:rsid w:val="005603DA"/>
    <w:rsid w:val="00561B6D"/>
    <w:rsid w:val="00562D45"/>
    <w:rsid w:val="005655A7"/>
    <w:rsid w:val="0056615B"/>
    <w:rsid w:val="00567DFB"/>
    <w:rsid w:val="005704BE"/>
    <w:rsid w:val="00571DAA"/>
    <w:rsid w:val="005739EC"/>
    <w:rsid w:val="00576F7D"/>
    <w:rsid w:val="0058129D"/>
    <w:rsid w:val="00584066"/>
    <w:rsid w:val="00590144"/>
    <w:rsid w:val="005904DA"/>
    <w:rsid w:val="0059680B"/>
    <w:rsid w:val="0059682C"/>
    <w:rsid w:val="005A2489"/>
    <w:rsid w:val="005A64DD"/>
    <w:rsid w:val="005A72B2"/>
    <w:rsid w:val="005B07CF"/>
    <w:rsid w:val="005B0899"/>
    <w:rsid w:val="005B09F0"/>
    <w:rsid w:val="005B0CED"/>
    <w:rsid w:val="005B1BA3"/>
    <w:rsid w:val="005B3DB3"/>
    <w:rsid w:val="005B4B57"/>
    <w:rsid w:val="005B528A"/>
    <w:rsid w:val="005B6541"/>
    <w:rsid w:val="005C3E89"/>
    <w:rsid w:val="005C4CB5"/>
    <w:rsid w:val="005C6B5A"/>
    <w:rsid w:val="005D0C6C"/>
    <w:rsid w:val="005D1BB4"/>
    <w:rsid w:val="005D68BD"/>
    <w:rsid w:val="005E0752"/>
    <w:rsid w:val="005E3D28"/>
    <w:rsid w:val="005E53FE"/>
    <w:rsid w:val="005E5946"/>
    <w:rsid w:val="005E6758"/>
    <w:rsid w:val="005F3A39"/>
    <w:rsid w:val="005F3D99"/>
    <w:rsid w:val="005F5C2F"/>
    <w:rsid w:val="005F7BB1"/>
    <w:rsid w:val="00602490"/>
    <w:rsid w:val="00603E3C"/>
    <w:rsid w:val="0061166C"/>
    <w:rsid w:val="00611FC4"/>
    <w:rsid w:val="00612812"/>
    <w:rsid w:val="0061549F"/>
    <w:rsid w:val="006176FB"/>
    <w:rsid w:val="006260F3"/>
    <w:rsid w:val="00626B06"/>
    <w:rsid w:val="00626E5B"/>
    <w:rsid w:val="006279AC"/>
    <w:rsid w:val="006314B1"/>
    <w:rsid w:val="00632200"/>
    <w:rsid w:val="00632969"/>
    <w:rsid w:val="00632EAA"/>
    <w:rsid w:val="0063419C"/>
    <w:rsid w:val="00635381"/>
    <w:rsid w:val="00636986"/>
    <w:rsid w:val="00637542"/>
    <w:rsid w:val="00637558"/>
    <w:rsid w:val="00640B26"/>
    <w:rsid w:val="00641194"/>
    <w:rsid w:val="00645A0B"/>
    <w:rsid w:val="00645DED"/>
    <w:rsid w:val="006471F6"/>
    <w:rsid w:val="006500BA"/>
    <w:rsid w:val="006506DB"/>
    <w:rsid w:val="00653E36"/>
    <w:rsid w:val="00661016"/>
    <w:rsid w:val="0066179D"/>
    <w:rsid w:val="00662121"/>
    <w:rsid w:val="00662E09"/>
    <w:rsid w:val="006632F5"/>
    <w:rsid w:val="00667B26"/>
    <w:rsid w:val="00670CF0"/>
    <w:rsid w:val="00673C50"/>
    <w:rsid w:val="00675F87"/>
    <w:rsid w:val="00684954"/>
    <w:rsid w:val="00685AD0"/>
    <w:rsid w:val="00687AF0"/>
    <w:rsid w:val="00690CD6"/>
    <w:rsid w:val="00695F8E"/>
    <w:rsid w:val="006A3932"/>
    <w:rsid w:val="006A63E3"/>
    <w:rsid w:val="006A7392"/>
    <w:rsid w:val="006A7921"/>
    <w:rsid w:val="006B1C55"/>
    <w:rsid w:val="006B4518"/>
    <w:rsid w:val="006C0D34"/>
    <w:rsid w:val="006C1D8F"/>
    <w:rsid w:val="006C251B"/>
    <w:rsid w:val="006C2F7E"/>
    <w:rsid w:val="006C57FD"/>
    <w:rsid w:val="006C6F93"/>
    <w:rsid w:val="006D2A3E"/>
    <w:rsid w:val="006D3560"/>
    <w:rsid w:val="006D7700"/>
    <w:rsid w:val="006D7714"/>
    <w:rsid w:val="006E3B65"/>
    <w:rsid w:val="006E4BFC"/>
    <w:rsid w:val="006E564B"/>
    <w:rsid w:val="007025C0"/>
    <w:rsid w:val="00706813"/>
    <w:rsid w:val="0070691D"/>
    <w:rsid w:val="00707A9B"/>
    <w:rsid w:val="00707E5C"/>
    <w:rsid w:val="00707F04"/>
    <w:rsid w:val="00711637"/>
    <w:rsid w:val="007134CF"/>
    <w:rsid w:val="00714F4F"/>
    <w:rsid w:val="00723978"/>
    <w:rsid w:val="00724964"/>
    <w:rsid w:val="0072632A"/>
    <w:rsid w:val="00736A6E"/>
    <w:rsid w:val="00736E6A"/>
    <w:rsid w:val="00737407"/>
    <w:rsid w:val="007416F3"/>
    <w:rsid w:val="00741F59"/>
    <w:rsid w:val="00742129"/>
    <w:rsid w:val="0074697D"/>
    <w:rsid w:val="00747C8C"/>
    <w:rsid w:val="007528EF"/>
    <w:rsid w:val="00753344"/>
    <w:rsid w:val="00755A0C"/>
    <w:rsid w:val="00755E6A"/>
    <w:rsid w:val="00755EBE"/>
    <w:rsid w:val="0076047E"/>
    <w:rsid w:val="00760C16"/>
    <w:rsid w:val="00761619"/>
    <w:rsid w:val="0076177C"/>
    <w:rsid w:val="00763C33"/>
    <w:rsid w:val="00763F5B"/>
    <w:rsid w:val="00764D34"/>
    <w:rsid w:val="00766322"/>
    <w:rsid w:val="00770BCD"/>
    <w:rsid w:val="00771904"/>
    <w:rsid w:val="00773353"/>
    <w:rsid w:val="00774129"/>
    <w:rsid w:val="00774E8F"/>
    <w:rsid w:val="00774EAA"/>
    <w:rsid w:val="00777C27"/>
    <w:rsid w:val="0078123B"/>
    <w:rsid w:val="0078333D"/>
    <w:rsid w:val="00786434"/>
    <w:rsid w:val="00790689"/>
    <w:rsid w:val="00790791"/>
    <w:rsid w:val="007932E3"/>
    <w:rsid w:val="007944A3"/>
    <w:rsid w:val="007959DD"/>
    <w:rsid w:val="00796F36"/>
    <w:rsid w:val="007A2CDB"/>
    <w:rsid w:val="007A62EC"/>
    <w:rsid w:val="007A6D76"/>
    <w:rsid w:val="007B1A7E"/>
    <w:rsid w:val="007B2BA8"/>
    <w:rsid w:val="007B3C6D"/>
    <w:rsid w:val="007B5E15"/>
    <w:rsid w:val="007B6BA5"/>
    <w:rsid w:val="007C2C0D"/>
    <w:rsid w:val="007C3075"/>
    <w:rsid w:val="007C3162"/>
    <w:rsid w:val="007C3390"/>
    <w:rsid w:val="007C3FFE"/>
    <w:rsid w:val="007C4F4B"/>
    <w:rsid w:val="007C644D"/>
    <w:rsid w:val="007C71BC"/>
    <w:rsid w:val="007D1339"/>
    <w:rsid w:val="007D4EF3"/>
    <w:rsid w:val="007D722E"/>
    <w:rsid w:val="007D7BC6"/>
    <w:rsid w:val="007E1BE6"/>
    <w:rsid w:val="007E3DAB"/>
    <w:rsid w:val="007E4BD3"/>
    <w:rsid w:val="007E5B14"/>
    <w:rsid w:val="007E5D7C"/>
    <w:rsid w:val="007F0471"/>
    <w:rsid w:val="007F2A54"/>
    <w:rsid w:val="007F4FEF"/>
    <w:rsid w:val="007F5104"/>
    <w:rsid w:val="007F6611"/>
    <w:rsid w:val="007F6D17"/>
    <w:rsid w:val="007F7D82"/>
    <w:rsid w:val="00800024"/>
    <w:rsid w:val="00800875"/>
    <w:rsid w:val="00801952"/>
    <w:rsid w:val="00803236"/>
    <w:rsid w:val="008037A2"/>
    <w:rsid w:val="00803FD4"/>
    <w:rsid w:val="008112B1"/>
    <w:rsid w:val="00816341"/>
    <w:rsid w:val="00816370"/>
    <w:rsid w:val="00816582"/>
    <w:rsid w:val="00817599"/>
    <w:rsid w:val="008175E9"/>
    <w:rsid w:val="00820A2D"/>
    <w:rsid w:val="00820C8B"/>
    <w:rsid w:val="00822FCE"/>
    <w:rsid w:val="008242D7"/>
    <w:rsid w:val="00825B97"/>
    <w:rsid w:val="00826410"/>
    <w:rsid w:val="00826C09"/>
    <w:rsid w:val="0083043E"/>
    <w:rsid w:val="0083069A"/>
    <w:rsid w:val="00832A1D"/>
    <w:rsid w:val="00834479"/>
    <w:rsid w:val="00843AB2"/>
    <w:rsid w:val="00846809"/>
    <w:rsid w:val="00851D4F"/>
    <w:rsid w:val="00852C3A"/>
    <w:rsid w:val="00854873"/>
    <w:rsid w:val="00856BCC"/>
    <w:rsid w:val="0086107D"/>
    <w:rsid w:val="00864251"/>
    <w:rsid w:val="00871B13"/>
    <w:rsid w:val="00871FD5"/>
    <w:rsid w:val="0087259D"/>
    <w:rsid w:val="0087351D"/>
    <w:rsid w:val="008754FF"/>
    <w:rsid w:val="00877071"/>
    <w:rsid w:val="00881213"/>
    <w:rsid w:val="00886C92"/>
    <w:rsid w:val="008979B1"/>
    <w:rsid w:val="008A0B75"/>
    <w:rsid w:val="008A1542"/>
    <w:rsid w:val="008A1C4B"/>
    <w:rsid w:val="008A6B25"/>
    <w:rsid w:val="008A6C4F"/>
    <w:rsid w:val="008A7679"/>
    <w:rsid w:val="008A7AB3"/>
    <w:rsid w:val="008B2DB8"/>
    <w:rsid w:val="008B3244"/>
    <w:rsid w:val="008B65FB"/>
    <w:rsid w:val="008C04F5"/>
    <w:rsid w:val="008C1A0E"/>
    <w:rsid w:val="008C24CC"/>
    <w:rsid w:val="008C3B3C"/>
    <w:rsid w:val="008C4283"/>
    <w:rsid w:val="008C45B1"/>
    <w:rsid w:val="008C4E36"/>
    <w:rsid w:val="008C6D16"/>
    <w:rsid w:val="008C74C3"/>
    <w:rsid w:val="008C7BF7"/>
    <w:rsid w:val="008D134F"/>
    <w:rsid w:val="008D3C75"/>
    <w:rsid w:val="008D5D05"/>
    <w:rsid w:val="008D6942"/>
    <w:rsid w:val="008E0E46"/>
    <w:rsid w:val="008E1DAE"/>
    <w:rsid w:val="008E295A"/>
    <w:rsid w:val="008E3BB8"/>
    <w:rsid w:val="008F0214"/>
    <w:rsid w:val="008F2D9A"/>
    <w:rsid w:val="008F44B8"/>
    <w:rsid w:val="008F504A"/>
    <w:rsid w:val="008F6413"/>
    <w:rsid w:val="0090380B"/>
    <w:rsid w:val="00904EBC"/>
    <w:rsid w:val="00910F87"/>
    <w:rsid w:val="00912BA7"/>
    <w:rsid w:val="0091320D"/>
    <w:rsid w:val="0091645B"/>
    <w:rsid w:val="00923019"/>
    <w:rsid w:val="00923AA2"/>
    <w:rsid w:val="00924B63"/>
    <w:rsid w:val="00931D1B"/>
    <w:rsid w:val="00933FAB"/>
    <w:rsid w:val="009363B6"/>
    <w:rsid w:val="00940F46"/>
    <w:rsid w:val="00941ECC"/>
    <w:rsid w:val="009437D4"/>
    <w:rsid w:val="00945A5D"/>
    <w:rsid w:val="00946A0D"/>
    <w:rsid w:val="0094762B"/>
    <w:rsid w:val="00954F3C"/>
    <w:rsid w:val="00955109"/>
    <w:rsid w:val="00963B67"/>
    <w:rsid w:val="00963CBA"/>
    <w:rsid w:val="009701ED"/>
    <w:rsid w:val="00971710"/>
    <w:rsid w:val="0097431F"/>
    <w:rsid w:val="0097639C"/>
    <w:rsid w:val="0097685F"/>
    <w:rsid w:val="00982A54"/>
    <w:rsid w:val="00984471"/>
    <w:rsid w:val="00985F37"/>
    <w:rsid w:val="009879EA"/>
    <w:rsid w:val="009903C1"/>
    <w:rsid w:val="009908A5"/>
    <w:rsid w:val="0099124E"/>
    <w:rsid w:val="00991261"/>
    <w:rsid w:val="009953D5"/>
    <w:rsid w:val="0099545C"/>
    <w:rsid w:val="009A12C6"/>
    <w:rsid w:val="009A16BE"/>
    <w:rsid w:val="009A1D29"/>
    <w:rsid w:val="009A2A69"/>
    <w:rsid w:val="009A3212"/>
    <w:rsid w:val="009B26D0"/>
    <w:rsid w:val="009B4C77"/>
    <w:rsid w:val="009B5F0D"/>
    <w:rsid w:val="009C0FA4"/>
    <w:rsid w:val="009C6058"/>
    <w:rsid w:val="009C6168"/>
    <w:rsid w:val="009C61B6"/>
    <w:rsid w:val="009C6394"/>
    <w:rsid w:val="009C6939"/>
    <w:rsid w:val="009D0E2A"/>
    <w:rsid w:val="009D0F0E"/>
    <w:rsid w:val="009D1AAE"/>
    <w:rsid w:val="009D1C63"/>
    <w:rsid w:val="009D1F7D"/>
    <w:rsid w:val="009D634E"/>
    <w:rsid w:val="009E1560"/>
    <w:rsid w:val="009E7EDE"/>
    <w:rsid w:val="009F0F06"/>
    <w:rsid w:val="009F2482"/>
    <w:rsid w:val="009F35DB"/>
    <w:rsid w:val="009F4FC5"/>
    <w:rsid w:val="009F7CD7"/>
    <w:rsid w:val="00A02C71"/>
    <w:rsid w:val="00A068B8"/>
    <w:rsid w:val="00A10D41"/>
    <w:rsid w:val="00A1427D"/>
    <w:rsid w:val="00A14A9B"/>
    <w:rsid w:val="00A1716E"/>
    <w:rsid w:val="00A201E8"/>
    <w:rsid w:val="00A235F1"/>
    <w:rsid w:val="00A34B00"/>
    <w:rsid w:val="00A36464"/>
    <w:rsid w:val="00A3777A"/>
    <w:rsid w:val="00A45A37"/>
    <w:rsid w:val="00A50077"/>
    <w:rsid w:val="00A52922"/>
    <w:rsid w:val="00A538E5"/>
    <w:rsid w:val="00A5422A"/>
    <w:rsid w:val="00A54CA8"/>
    <w:rsid w:val="00A60196"/>
    <w:rsid w:val="00A60B3E"/>
    <w:rsid w:val="00A6199C"/>
    <w:rsid w:val="00A62147"/>
    <w:rsid w:val="00A622AF"/>
    <w:rsid w:val="00A6236D"/>
    <w:rsid w:val="00A63423"/>
    <w:rsid w:val="00A65F4A"/>
    <w:rsid w:val="00A66636"/>
    <w:rsid w:val="00A6730E"/>
    <w:rsid w:val="00A71B77"/>
    <w:rsid w:val="00A72F22"/>
    <w:rsid w:val="00A744D7"/>
    <w:rsid w:val="00A748A6"/>
    <w:rsid w:val="00A74A46"/>
    <w:rsid w:val="00A753A9"/>
    <w:rsid w:val="00A75D0E"/>
    <w:rsid w:val="00A75EC9"/>
    <w:rsid w:val="00A810D4"/>
    <w:rsid w:val="00A83451"/>
    <w:rsid w:val="00A83538"/>
    <w:rsid w:val="00A841F8"/>
    <w:rsid w:val="00A8523D"/>
    <w:rsid w:val="00A865E5"/>
    <w:rsid w:val="00A879A4"/>
    <w:rsid w:val="00A9244A"/>
    <w:rsid w:val="00AA128F"/>
    <w:rsid w:val="00AA1D9A"/>
    <w:rsid w:val="00AA32EB"/>
    <w:rsid w:val="00AA6307"/>
    <w:rsid w:val="00AA6AEB"/>
    <w:rsid w:val="00AA7616"/>
    <w:rsid w:val="00AB2189"/>
    <w:rsid w:val="00AB382F"/>
    <w:rsid w:val="00AB3FD7"/>
    <w:rsid w:val="00AB4CF1"/>
    <w:rsid w:val="00AB547D"/>
    <w:rsid w:val="00AB5E15"/>
    <w:rsid w:val="00AC0069"/>
    <w:rsid w:val="00AC7F82"/>
    <w:rsid w:val="00AD34EE"/>
    <w:rsid w:val="00AD5498"/>
    <w:rsid w:val="00AD564C"/>
    <w:rsid w:val="00AD7C88"/>
    <w:rsid w:val="00AE45DE"/>
    <w:rsid w:val="00AF0878"/>
    <w:rsid w:val="00AF2F9D"/>
    <w:rsid w:val="00AF5853"/>
    <w:rsid w:val="00AF6033"/>
    <w:rsid w:val="00AF6710"/>
    <w:rsid w:val="00B013E6"/>
    <w:rsid w:val="00B04D66"/>
    <w:rsid w:val="00B07F3F"/>
    <w:rsid w:val="00B10C19"/>
    <w:rsid w:val="00B1157C"/>
    <w:rsid w:val="00B13914"/>
    <w:rsid w:val="00B1501F"/>
    <w:rsid w:val="00B2578B"/>
    <w:rsid w:val="00B26710"/>
    <w:rsid w:val="00B26B3C"/>
    <w:rsid w:val="00B272B7"/>
    <w:rsid w:val="00B30179"/>
    <w:rsid w:val="00B3317B"/>
    <w:rsid w:val="00B366AB"/>
    <w:rsid w:val="00B36913"/>
    <w:rsid w:val="00B41384"/>
    <w:rsid w:val="00B41F75"/>
    <w:rsid w:val="00B43422"/>
    <w:rsid w:val="00B4398E"/>
    <w:rsid w:val="00B52157"/>
    <w:rsid w:val="00B5392B"/>
    <w:rsid w:val="00B54670"/>
    <w:rsid w:val="00B560D2"/>
    <w:rsid w:val="00B56C20"/>
    <w:rsid w:val="00B61827"/>
    <w:rsid w:val="00B64FDB"/>
    <w:rsid w:val="00B71B78"/>
    <w:rsid w:val="00B71E2B"/>
    <w:rsid w:val="00B73DA8"/>
    <w:rsid w:val="00B74F7C"/>
    <w:rsid w:val="00B75CA5"/>
    <w:rsid w:val="00B75E05"/>
    <w:rsid w:val="00B81E12"/>
    <w:rsid w:val="00B822E7"/>
    <w:rsid w:val="00B84AAC"/>
    <w:rsid w:val="00B87012"/>
    <w:rsid w:val="00B879B1"/>
    <w:rsid w:val="00B90F54"/>
    <w:rsid w:val="00B91CC3"/>
    <w:rsid w:val="00B92A0C"/>
    <w:rsid w:val="00B93068"/>
    <w:rsid w:val="00B9536E"/>
    <w:rsid w:val="00B9560E"/>
    <w:rsid w:val="00BA1DA3"/>
    <w:rsid w:val="00BA413B"/>
    <w:rsid w:val="00BA52D9"/>
    <w:rsid w:val="00BA7096"/>
    <w:rsid w:val="00BA7462"/>
    <w:rsid w:val="00BA758C"/>
    <w:rsid w:val="00BB1452"/>
    <w:rsid w:val="00BB176D"/>
    <w:rsid w:val="00BB183E"/>
    <w:rsid w:val="00BB3B28"/>
    <w:rsid w:val="00BB7BCE"/>
    <w:rsid w:val="00BC46B3"/>
    <w:rsid w:val="00BC4CB4"/>
    <w:rsid w:val="00BC5E58"/>
    <w:rsid w:val="00BC5FC4"/>
    <w:rsid w:val="00BC74E9"/>
    <w:rsid w:val="00BD05FB"/>
    <w:rsid w:val="00BD41F8"/>
    <w:rsid w:val="00BD7EBA"/>
    <w:rsid w:val="00BE14E7"/>
    <w:rsid w:val="00BE1FF8"/>
    <w:rsid w:val="00BE47B0"/>
    <w:rsid w:val="00BE50CA"/>
    <w:rsid w:val="00BE618E"/>
    <w:rsid w:val="00BE6311"/>
    <w:rsid w:val="00BF1E50"/>
    <w:rsid w:val="00BF5205"/>
    <w:rsid w:val="00C001C2"/>
    <w:rsid w:val="00C0263F"/>
    <w:rsid w:val="00C031AD"/>
    <w:rsid w:val="00C03B44"/>
    <w:rsid w:val="00C060D3"/>
    <w:rsid w:val="00C10B00"/>
    <w:rsid w:val="00C13A85"/>
    <w:rsid w:val="00C14E41"/>
    <w:rsid w:val="00C20CF6"/>
    <w:rsid w:val="00C218A4"/>
    <w:rsid w:val="00C21A4B"/>
    <w:rsid w:val="00C23E4F"/>
    <w:rsid w:val="00C252A7"/>
    <w:rsid w:val="00C31A32"/>
    <w:rsid w:val="00C36D37"/>
    <w:rsid w:val="00C37C37"/>
    <w:rsid w:val="00C37E31"/>
    <w:rsid w:val="00C463DD"/>
    <w:rsid w:val="00C46D5B"/>
    <w:rsid w:val="00C519E2"/>
    <w:rsid w:val="00C5283C"/>
    <w:rsid w:val="00C537D5"/>
    <w:rsid w:val="00C539D8"/>
    <w:rsid w:val="00C53FAC"/>
    <w:rsid w:val="00C610EB"/>
    <w:rsid w:val="00C62F76"/>
    <w:rsid w:val="00C66D78"/>
    <w:rsid w:val="00C71A92"/>
    <w:rsid w:val="00C745C3"/>
    <w:rsid w:val="00C81212"/>
    <w:rsid w:val="00C81810"/>
    <w:rsid w:val="00C8235A"/>
    <w:rsid w:val="00C84FF1"/>
    <w:rsid w:val="00C86E64"/>
    <w:rsid w:val="00C90019"/>
    <w:rsid w:val="00C91180"/>
    <w:rsid w:val="00C93C11"/>
    <w:rsid w:val="00C94F7A"/>
    <w:rsid w:val="00C971F6"/>
    <w:rsid w:val="00CA049C"/>
    <w:rsid w:val="00CA272B"/>
    <w:rsid w:val="00CA381C"/>
    <w:rsid w:val="00CA3F9E"/>
    <w:rsid w:val="00CA74D3"/>
    <w:rsid w:val="00CB2158"/>
    <w:rsid w:val="00CB6380"/>
    <w:rsid w:val="00CB7364"/>
    <w:rsid w:val="00CC43C1"/>
    <w:rsid w:val="00CC4CA6"/>
    <w:rsid w:val="00CC5DB9"/>
    <w:rsid w:val="00CD0009"/>
    <w:rsid w:val="00CD30EE"/>
    <w:rsid w:val="00CD3225"/>
    <w:rsid w:val="00CD38FE"/>
    <w:rsid w:val="00CE0D77"/>
    <w:rsid w:val="00CE4083"/>
    <w:rsid w:val="00CE46BA"/>
    <w:rsid w:val="00CE4A8F"/>
    <w:rsid w:val="00CE4A94"/>
    <w:rsid w:val="00CE4B82"/>
    <w:rsid w:val="00CE74ED"/>
    <w:rsid w:val="00CE7626"/>
    <w:rsid w:val="00CE7F8D"/>
    <w:rsid w:val="00CF12F6"/>
    <w:rsid w:val="00CF4EB4"/>
    <w:rsid w:val="00CF5865"/>
    <w:rsid w:val="00CF6F32"/>
    <w:rsid w:val="00CF778D"/>
    <w:rsid w:val="00D01C20"/>
    <w:rsid w:val="00D04B74"/>
    <w:rsid w:val="00D05BE2"/>
    <w:rsid w:val="00D0631B"/>
    <w:rsid w:val="00D06C3A"/>
    <w:rsid w:val="00D124FE"/>
    <w:rsid w:val="00D15452"/>
    <w:rsid w:val="00D164BA"/>
    <w:rsid w:val="00D2031B"/>
    <w:rsid w:val="00D25E8C"/>
    <w:rsid w:val="00D25FE2"/>
    <w:rsid w:val="00D26B2C"/>
    <w:rsid w:val="00D27461"/>
    <w:rsid w:val="00D27E89"/>
    <w:rsid w:val="00D352FD"/>
    <w:rsid w:val="00D366A7"/>
    <w:rsid w:val="00D37E80"/>
    <w:rsid w:val="00D42C29"/>
    <w:rsid w:val="00D43252"/>
    <w:rsid w:val="00D46231"/>
    <w:rsid w:val="00D477C4"/>
    <w:rsid w:val="00D52CD5"/>
    <w:rsid w:val="00D5409C"/>
    <w:rsid w:val="00D558E3"/>
    <w:rsid w:val="00D55A6B"/>
    <w:rsid w:val="00D57C13"/>
    <w:rsid w:val="00D57FD9"/>
    <w:rsid w:val="00D610C1"/>
    <w:rsid w:val="00D657F6"/>
    <w:rsid w:val="00D658FA"/>
    <w:rsid w:val="00D679C6"/>
    <w:rsid w:val="00D7217B"/>
    <w:rsid w:val="00D730E3"/>
    <w:rsid w:val="00D753D8"/>
    <w:rsid w:val="00D83AF1"/>
    <w:rsid w:val="00D853A9"/>
    <w:rsid w:val="00D9274F"/>
    <w:rsid w:val="00D96248"/>
    <w:rsid w:val="00D96CC5"/>
    <w:rsid w:val="00D978C6"/>
    <w:rsid w:val="00D97B77"/>
    <w:rsid w:val="00DA0A3A"/>
    <w:rsid w:val="00DA1EB9"/>
    <w:rsid w:val="00DA6620"/>
    <w:rsid w:val="00DA67AD"/>
    <w:rsid w:val="00DA7F19"/>
    <w:rsid w:val="00DB0645"/>
    <w:rsid w:val="00DB108D"/>
    <w:rsid w:val="00DB1C61"/>
    <w:rsid w:val="00DB604E"/>
    <w:rsid w:val="00DB72BC"/>
    <w:rsid w:val="00DC487B"/>
    <w:rsid w:val="00DC5BF4"/>
    <w:rsid w:val="00DC5EF6"/>
    <w:rsid w:val="00DD42A0"/>
    <w:rsid w:val="00DD5DA2"/>
    <w:rsid w:val="00DD63AE"/>
    <w:rsid w:val="00DE11A6"/>
    <w:rsid w:val="00DE236F"/>
    <w:rsid w:val="00DE3ECB"/>
    <w:rsid w:val="00DE4785"/>
    <w:rsid w:val="00DE7267"/>
    <w:rsid w:val="00DF0A4D"/>
    <w:rsid w:val="00DF1EE9"/>
    <w:rsid w:val="00DF3039"/>
    <w:rsid w:val="00DF3A04"/>
    <w:rsid w:val="00DF4518"/>
    <w:rsid w:val="00DF6055"/>
    <w:rsid w:val="00E03DE5"/>
    <w:rsid w:val="00E04C0F"/>
    <w:rsid w:val="00E07C46"/>
    <w:rsid w:val="00E07D9D"/>
    <w:rsid w:val="00E10201"/>
    <w:rsid w:val="00E10F84"/>
    <w:rsid w:val="00E11659"/>
    <w:rsid w:val="00E12018"/>
    <w:rsid w:val="00E130AB"/>
    <w:rsid w:val="00E1679E"/>
    <w:rsid w:val="00E21C1B"/>
    <w:rsid w:val="00E239A0"/>
    <w:rsid w:val="00E26269"/>
    <w:rsid w:val="00E269BB"/>
    <w:rsid w:val="00E27E7C"/>
    <w:rsid w:val="00E308AF"/>
    <w:rsid w:val="00E34E58"/>
    <w:rsid w:val="00E36838"/>
    <w:rsid w:val="00E36C10"/>
    <w:rsid w:val="00E36EC1"/>
    <w:rsid w:val="00E40B76"/>
    <w:rsid w:val="00E412EA"/>
    <w:rsid w:val="00E4138E"/>
    <w:rsid w:val="00E42461"/>
    <w:rsid w:val="00E4443D"/>
    <w:rsid w:val="00E502D7"/>
    <w:rsid w:val="00E52EB0"/>
    <w:rsid w:val="00E53477"/>
    <w:rsid w:val="00E54352"/>
    <w:rsid w:val="00E54410"/>
    <w:rsid w:val="00E54645"/>
    <w:rsid w:val="00E54BD4"/>
    <w:rsid w:val="00E555F5"/>
    <w:rsid w:val="00E5644E"/>
    <w:rsid w:val="00E5691C"/>
    <w:rsid w:val="00E62068"/>
    <w:rsid w:val="00E631BA"/>
    <w:rsid w:val="00E63DE8"/>
    <w:rsid w:val="00E659B3"/>
    <w:rsid w:val="00E65A76"/>
    <w:rsid w:val="00E6613A"/>
    <w:rsid w:val="00E66E4F"/>
    <w:rsid w:val="00E7260F"/>
    <w:rsid w:val="00E730D8"/>
    <w:rsid w:val="00E74EC4"/>
    <w:rsid w:val="00E81230"/>
    <w:rsid w:val="00E851D2"/>
    <w:rsid w:val="00E8535A"/>
    <w:rsid w:val="00E864BE"/>
    <w:rsid w:val="00E87CAD"/>
    <w:rsid w:val="00E90424"/>
    <w:rsid w:val="00E90647"/>
    <w:rsid w:val="00E9352B"/>
    <w:rsid w:val="00E95438"/>
    <w:rsid w:val="00E96630"/>
    <w:rsid w:val="00E9731A"/>
    <w:rsid w:val="00EA0364"/>
    <w:rsid w:val="00EA064B"/>
    <w:rsid w:val="00EA2938"/>
    <w:rsid w:val="00EA48C4"/>
    <w:rsid w:val="00EA587E"/>
    <w:rsid w:val="00EA72F6"/>
    <w:rsid w:val="00EA772F"/>
    <w:rsid w:val="00EB08BA"/>
    <w:rsid w:val="00EB0CF2"/>
    <w:rsid w:val="00EB224B"/>
    <w:rsid w:val="00EB2AE3"/>
    <w:rsid w:val="00EB4C06"/>
    <w:rsid w:val="00EB51D5"/>
    <w:rsid w:val="00EB65EF"/>
    <w:rsid w:val="00EB6832"/>
    <w:rsid w:val="00EB71BA"/>
    <w:rsid w:val="00EB798F"/>
    <w:rsid w:val="00EC14E9"/>
    <w:rsid w:val="00EC271A"/>
    <w:rsid w:val="00EC2937"/>
    <w:rsid w:val="00EC4AA3"/>
    <w:rsid w:val="00EC755A"/>
    <w:rsid w:val="00ED066A"/>
    <w:rsid w:val="00ED0C83"/>
    <w:rsid w:val="00ED0F6B"/>
    <w:rsid w:val="00ED15C1"/>
    <w:rsid w:val="00ED1F13"/>
    <w:rsid w:val="00ED2AAC"/>
    <w:rsid w:val="00ED34CE"/>
    <w:rsid w:val="00ED3508"/>
    <w:rsid w:val="00ED3A92"/>
    <w:rsid w:val="00ED3F6F"/>
    <w:rsid w:val="00ED6586"/>
    <w:rsid w:val="00ED773C"/>
    <w:rsid w:val="00ED7A2A"/>
    <w:rsid w:val="00EE15B0"/>
    <w:rsid w:val="00EE4D59"/>
    <w:rsid w:val="00EE5FBF"/>
    <w:rsid w:val="00EE73C3"/>
    <w:rsid w:val="00EE73F9"/>
    <w:rsid w:val="00EF1407"/>
    <w:rsid w:val="00EF1D7F"/>
    <w:rsid w:val="00EF4AAC"/>
    <w:rsid w:val="00EF6478"/>
    <w:rsid w:val="00EF71D8"/>
    <w:rsid w:val="00F017EF"/>
    <w:rsid w:val="00F01C57"/>
    <w:rsid w:val="00F03E0A"/>
    <w:rsid w:val="00F03FA2"/>
    <w:rsid w:val="00F0400D"/>
    <w:rsid w:val="00F05283"/>
    <w:rsid w:val="00F07537"/>
    <w:rsid w:val="00F07619"/>
    <w:rsid w:val="00F07E12"/>
    <w:rsid w:val="00F1200D"/>
    <w:rsid w:val="00F12FE4"/>
    <w:rsid w:val="00F157D8"/>
    <w:rsid w:val="00F22B03"/>
    <w:rsid w:val="00F30469"/>
    <w:rsid w:val="00F30A8A"/>
    <w:rsid w:val="00F319C7"/>
    <w:rsid w:val="00F34267"/>
    <w:rsid w:val="00F34282"/>
    <w:rsid w:val="00F3574D"/>
    <w:rsid w:val="00F40295"/>
    <w:rsid w:val="00F40E75"/>
    <w:rsid w:val="00F412D3"/>
    <w:rsid w:val="00F4268E"/>
    <w:rsid w:val="00F444E3"/>
    <w:rsid w:val="00F4509A"/>
    <w:rsid w:val="00F5087E"/>
    <w:rsid w:val="00F51BAB"/>
    <w:rsid w:val="00F535BE"/>
    <w:rsid w:val="00F545B1"/>
    <w:rsid w:val="00F54674"/>
    <w:rsid w:val="00F54BAB"/>
    <w:rsid w:val="00F554A1"/>
    <w:rsid w:val="00F5723F"/>
    <w:rsid w:val="00F64C95"/>
    <w:rsid w:val="00F669F0"/>
    <w:rsid w:val="00F707B7"/>
    <w:rsid w:val="00F73D28"/>
    <w:rsid w:val="00F7542B"/>
    <w:rsid w:val="00F75E96"/>
    <w:rsid w:val="00F82AD7"/>
    <w:rsid w:val="00F86BE9"/>
    <w:rsid w:val="00FA00A0"/>
    <w:rsid w:val="00FA211A"/>
    <w:rsid w:val="00FA3FB7"/>
    <w:rsid w:val="00FA7EDD"/>
    <w:rsid w:val="00FB0359"/>
    <w:rsid w:val="00FB172A"/>
    <w:rsid w:val="00FB5A37"/>
    <w:rsid w:val="00FB7793"/>
    <w:rsid w:val="00FC18AA"/>
    <w:rsid w:val="00FC215C"/>
    <w:rsid w:val="00FC3D3C"/>
    <w:rsid w:val="00FC68B7"/>
    <w:rsid w:val="00FC7A90"/>
    <w:rsid w:val="00FD0F6C"/>
    <w:rsid w:val="00FD1698"/>
    <w:rsid w:val="00FD3C5D"/>
    <w:rsid w:val="00FD3E70"/>
    <w:rsid w:val="00FD5349"/>
    <w:rsid w:val="00FD6B2B"/>
    <w:rsid w:val="00FE3552"/>
    <w:rsid w:val="00FE3EEA"/>
    <w:rsid w:val="00FE54C1"/>
    <w:rsid w:val="00FE681E"/>
    <w:rsid w:val="00FF03BB"/>
    <w:rsid w:val="00FF071A"/>
    <w:rsid w:val="00FF3E35"/>
    <w:rsid w:val="00FF51FB"/>
    <w:rsid w:val="00FF6241"/>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F66B04"/>
  <w15:docId w15:val="{EE42D38A-3D78-49B4-A772-4D72FC96C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66F3"/>
    <w:pPr>
      <w:suppressAutoHyphens/>
      <w:spacing w:line="240" w:lineRule="atLeast"/>
    </w:pPr>
    <w:rPr>
      <w:lang w:val="en-GB"/>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uiPriority w:val="99"/>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uiPriority w:val="99"/>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uiPriority w:val="99"/>
    <w:qFormat/>
    <w:locked/>
    <w:rsid w:val="00E34E58"/>
    <w:rPr>
      <w:lang w:eastAsia="en-US"/>
    </w:rPr>
  </w:style>
  <w:style w:type="character" w:customStyle="1" w:styleId="FootnoteTextChar">
    <w:name w:val="Footnote Text Char"/>
    <w:aliases w:val="5_G Char"/>
    <w:link w:val="FootnoteText"/>
    <w:uiPriority w:val="99"/>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CE7626"/>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CE7626"/>
    <w:pPr>
      <w:keepNext/>
      <w:keepLines/>
      <w:tabs>
        <w:tab w:val="clear" w:pos="1418"/>
      </w:tabs>
      <w:jc w:val="center"/>
    </w:pPr>
    <w:rPr>
      <w:b/>
      <w:sz w:val="26"/>
      <w:szCs w:val="26"/>
    </w:rPr>
  </w:style>
  <w:style w:type="paragraph" w:customStyle="1" w:styleId="ManualHeading2">
    <w:name w:val="Manual Heading 2"/>
    <w:basedOn w:val="ManualBodyText"/>
    <w:next w:val="ManualBodyText"/>
    <w:rsid w:val="00CE7626"/>
    <w:pPr>
      <w:keepNext/>
      <w:keepLines/>
    </w:pPr>
    <w:rPr>
      <w:b/>
    </w:rPr>
  </w:style>
  <w:style w:type="paragraph" w:customStyle="1" w:styleId="ManualHeading3">
    <w:name w:val="Manual Heading 3"/>
    <w:basedOn w:val="ManualBodyText"/>
    <w:next w:val="ManualBodyText"/>
    <w:rsid w:val="00CE7626"/>
    <w:pPr>
      <w:keepNext/>
      <w:keepLines/>
    </w:pPr>
    <w:rPr>
      <w:b/>
    </w:rPr>
  </w:style>
  <w:style w:type="paragraph" w:customStyle="1" w:styleId="ManualHeading4">
    <w:name w:val="Manual Heading 4"/>
    <w:basedOn w:val="ManualBodyText"/>
    <w:next w:val="ManualBodyText"/>
    <w:rsid w:val="00CE7626"/>
    <w:pPr>
      <w:keepNext/>
      <w:keepLines/>
    </w:pPr>
  </w:style>
  <w:style w:type="paragraph" w:customStyle="1" w:styleId="ManualHeading5">
    <w:name w:val="Manual Heading 5"/>
    <w:basedOn w:val="ManualBodyText"/>
    <w:next w:val="ManualBodyText"/>
    <w:rsid w:val="00CE7626"/>
    <w:pPr>
      <w:keepNext/>
      <w:keepLines/>
    </w:pPr>
  </w:style>
  <w:style w:type="paragraph" w:customStyle="1" w:styleId="ManualHeading6">
    <w:name w:val="Manual Heading 6"/>
    <w:basedOn w:val="ManualBodyText"/>
    <w:next w:val="ManualBodyText"/>
    <w:rsid w:val="00CE7626"/>
    <w:pPr>
      <w:keepNext/>
      <w:keepLines/>
    </w:pPr>
  </w:style>
  <w:style w:type="paragraph" w:customStyle="1" w:styleId="ManualPartEN">
    <w:name w:val="Manual Part EN"/>
    <w:basedOn w:val="ManualHeading1"/>
    <w:next w:val="ManualHeading1"/>
    <w:rsid w:val="00CE7626"/>
    <w:rPr>
      <w:bCs/>
      <w:sz w:val="56"/>
      <w:szCs w:val="44"/>
    </w:rPr>
  </w:style>
  <w:style w:type="character" w:customStyle="1" w:styleId="HTMLPreformattedChar">
    <w:name w:val="HTML Preformatted Char"/>
    <w:link w:val="HTMLPreformatted"/>
    <w:uiPriority w:val="99"/>
    <w:rsid w:val="00CE7626"/>
    <w:rPr>
      <w:rFonts w:ascii="Courier New" w:hAnsi="Courier New" w:cs="Courier New"/>
      <w:lang w:eastAsia="en-US"/>
    </w:rPr>
  </w:style>
  <w:style w:type="character" w:customStyle="1" w:styleId="FooterChar">
    <w:name w:val="Footer Char"/>
    <w:aliases w:val="3_G Char"/>
    <w:link w:val="Footer"/>
    <w:uiPriority w:val="99"/>
    <w:rsid w:val="00CE7626"/>
    <w:rPr>
      <w:sz w:val="16"/>
      <w:lang w:eastAsia="en-US"/>
    </w:rPr>
  </w:style>
  <w:style w:type="character" w:customStyle="1" w:styleId="BodyTextIndentChar">
    <w:name w:val="Body Text Indent Char"/>
    <w:link w:val="BodyTextIndent"/>
    <w:semiHidden/>
    <w:rsid w:val="00CE7626"/>
    <w:rPr>
      <w:lang w:eastAsia="en-US"/>
    </w:rPr>
  </w:style>
  <w:style w:type="character" w:customStyle="1" w:styleId="BodyTextIndent2Char">
    <w:name w:val="Body Text Indent 2 Char"/>
    <w:link w:val="BodyTextIndent2"/>
    <w:semiHidden/>
    <w:rsid w:val="00CE7626"/>
    <w:rPr>
      <w:lang w:eastAsia="en-US"/>
    </w:rPr>
  </w:style>
  <w:style w:type="character" w:customStyle="1" w:styleId="BodyTextChar">
    <w:name w:val="Body Text Char"/>
    <w:link w:val="BodyText"/>
    <w:semiHidden/>
    <w:rsid w:val="00CE7626"/>
    <w:rPr>
      <w:lang w:eastAsia="en-US"/>
    </w:rPr>
  </w:style>
  <w:style w:type="character" w:customStyle="1" w:styleId="HeaderChar">
    <w:name w:val="Header Char"/>
    <w:aliases w:val="6_G Char"/>
    <w:link w:val="Header"/>
    <w:uiPriority w:val="99"/>
    <w:rsid w:val="00CE7626"/>
    <w:rPr>
      <w:b/>
      <w:sz w:val="18"/>
      <w:lang w:eastAsia="en-US"/>
    </w:rPr>
  </w:style>
  <w:style w:type="character" w:customStyle="1" w:styleId="BodyTextIndent3Char">
    <w:name w:val="Body Text Indent 3 Char"/>
    <w:link w:val="BodyTextIndent3"/>
    <w:semiHidden/>
    <w:rsid w:val="00CE7626"/>
    <w:rPr>
      <w:sz w:val="16"/>
      <w:szCs w:val="16"/>
      <w:lang w:eastAsia="en-US"/>
    </w:rPr>
  </w:style>
  <w:style w:type="character" w:customStyle="1" w:styleId="TitleChar">
    <w:name w:val="Title Char"/>
    <w:link w:val="Title"/>
    <w:rsid w:val="00CE7626"/>
    <w:rPr>
      <w:rFonts w:ascii="Arial" w:hAnsi="Arial" w:cs="Arial"/>
      <w:b/>
      <w:bCs/>
      <w:kern w:val="28"/>
      <w:sz w:val="32"/>
      <w:szCs w:val="32"/>
      <w:lang w:eastAsia="en-US"/>
    </w:rPr>
  </w:style>
  <w:style w:type="character" w:customStyle="1" w:styleId="Heading5Char">
    <w:name w:val="Heading 5 Char"/>
    <w:link w:val="Heading5"/>
    <w:rsid w:val="00CE7626"/>
    <w:rPr>
      <w:lang w:eastAsia="en-US"/>
    </w:rPr>
  </w:style>
  <w:style w:type="character" w:customStyle="1" w:styleId="EndnoteTextChar">
    <w:name w:val="Endnote Text Char"/>
    <w:aliases w:val="2_G Char"/>
    <w:link w:val="EndnoteText"/>
    <w:rsid w:val="00CE7626"/>
    <w:rPr>
      <w:sz w:val="18"/>
      <w:lang w:val="x-none" w:eastAsia="en-US"/>
    </w:rPr>
  </w:style>
  <w:style w:type="paragraph" w:customStyle="1" w:styleId="a">
    <w:name w:val="–"/>
    <w:semiHidden/>
    <w:rsid w:val="00CE7626"/>
    <w:pPr>
      <w:autoSpaceDE w:val="0"/>
      <w:autoSpaceDN w:val="0"/>
      <w:adjustRightInd w:val="0"/>
      <w:jc w:val="both"/>
    </w:pPr>
    <w:rPr>
      <w:rFonts w:ascii="Arial" w:hAnsi="Arial"/>
      <w:sz w:val="24"/>
      <w:szCs w:val="24"/>
    </w:rPr>
  </w:style>
  <w:style w:type="paragraph" w:customStyle="1" w:styleId="font5">
    <w:name w:val="font5"/>
    <w:basedOn w:val="Normal"/>
    <w:semiHidden/>
    <w:rsid w:val="00CE7626"/>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CE7626"/>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CE7626"/>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CE7626"/>
    <w:rPr>
      <w:lang w:eastAsia="en-US"/>
    </w:rPr>
  </w:style>
  <w:style w:type="character" w:customStyle="1" w:styleId="ManualBodyTextChar">
    <w:name w:val="Manual Body Text Char"/>
    <w:link w:val="ManualBodyText"/>
    <w:rsid w:val="00CE7626"/>
    <w:rPr>
      <w:sz w:val="22"/>
      <w:szCs w:val="22"/>
      <w:lang w:eastAsia="fr-FR"/>
    </w:rPr>
  </w:style>
  <w:style w:type="character" w:styleId="PlaceholderText">
    <w:name w:val="Placeholder Text"/>
    <w:uiPriority w:val="99"/>
    <w:semiHidden/>
    <w:rsid w:val="00CE7626"/>
    <w:rPr>
      <w:color w:val="808080"/>
    </w:rPr>
  </w:style>
  <w:style w:type="paragraph" w:customStyle="1" w:styleId="p1">
    <w:name w:val="p1"/>
    <w:basedOn w:val="Normal"/>
    <w:rsid w:val="00BB183E"/>
    <w:pPr>
      <w:suppressAutoHyphens w:val="0"/>
      <w:spacing w:line="240" w:lineRule="auto"/>
    </w:pPr>
    <w:rPr>
      <w:sz w:val="15"/>
      <w:szCs w:val="15"/>
      <w:lang w:val="en-US"/>
    </w:rPr>
  </w:style>
  <w:style w:type="character" w:customStyle="1" w:styleId="s1">
    <w:name w:val="s1"/>
    <w:basedOn w:val="DefaultParagraphFont"/>
    <w:rsid w:val="00BB183E"/>
    <w:rPr>
      <w:rFonts w:ascii="Times New Roman" w:hAnsi="Times New Roman" w:cs="Times New Roman" w:hint="default"/>
      <w:sz w:val="9"/>
      <w:szCs w:val="9"/>
    </w:rPr>
  </w:style>
  <w:style w:type="character" w:customStyle="1" w:styleId="apple-converted-space">
    <w:name w:val="apple-converted-space"/>
    <w:basedOn w:val="DefaultParagraphFont"/>
    <w:rsid w:val="00BB183E"/>
  </w:style>
  <w:style w:type="paragraph" w:styleId="Revision">
    <w:name w:val="Revision"/>
    <w:hidden/>
    <w:uiPriority w:val="99"/>
    <w:semiHidden/>
    <w:rsid w:val="008C1A0E"/>
    <w:rPr>
      <w:lang w:val="en-GB"/>
    </w:rPr>
  </w:style>
  <w:style w:type="character" w:customStyle="1" w:styleId="xapple-tab-span">
    <w:name w:val="xapple-tab-span"/>
    <w:basedOn w:val="DefaultParagraphFont"/>
    <w:rsid w:val="007C3FFE"/>
  </w:style>
  <w:style w:type="table" w:customStyle="1" w:styleId="Tabellrutnt1">
    <w:name w:val="Tabellrutnät1"/>
    <w:basedOn w:val="TableNormal"/>
    <w:uiPriority w:val="39"/>
    <w:rsid w:val="00001582"/>
    <w:pPr>
      <w:spacing w:line="256" w:lineRule="auto"/>
    </w:pPr>
    <w:rPr>
      <w:rFonts w:ascii="Arial" w:eastAsia="Garamond" w:hAnsi="Arial"/>
      <w:sz w:val="18"/>
      <w:szCs w:val="23"/>
      <w:lang w:val="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69650">
      <w:bodyDiv w:val="1"/>
      <w:marLeft w:val="0"/>
      <w:marRight w:val="0"/>
      <w:marTop w:val="0"/>
      <w:marBottom w:val="0"/>
      <w:divBdr>
        <w:top w:val="none" w:sz="0" w:space="0" w:color="auto"/>
        <w:left w:val="none" w:sz="0" w:space="0" w:color="auto"/>
        <w:bottom w:val="none" w:sz="0" w:space="0" w:color="auto"/>
        <w:right w:val="none" w:sz="0" w:space="0" w:color="auto"/>
      </w:divBdr>
    </w:div>
    <w:div w:id="97606648">
      <w:bodyDiv w:val="1"/>
      <w:marLeft w:val="0"/>
      <w:marRight w:val="0"/>
      <w:marTop w:val="0"/>
      <w:marBottom w:val="0"/>
      <w:divBdr>
        <w:top w:val="none" w:sz="0" w:space="0" w:color="auto"/>
        <w:left w:val="none" w:sz="0" w:space="0" w:color="auto"/>
        <w:bottom w:val="none" w:sz="0" w:space="0" w:color="auto"/>
        <w:right w:val="none" w:sz="0" w:space="0" w:color="auto"/>
      </w:divBdr>
    </w:div>
    <w:div w:id="119540262">
      <w:bodyDiv w:val="1"/>
      <w:marLeft w:val="0"/>
      <w:marRight w:val="0"/>
      <w:marTop w:val="0"/>
      <w:marBottom w:val="0"/>
      <w:divBdr>
        <w:top w:val="none" w:sz="0" w:space="0" w:color="auto"/>
        <w:left w:val="none" w:sz="0" w:space="0" w:color="auto"/>
        <w:bottom w:val="none" w:sz="0" w:space="0" w:color="auto"/>
        <w:right w:val="none" w:sz="0" w:space="0" w:color="auto"/>
      </w:divBdr>
    </w:div>
    <w:div w:id="124659690">
      <w:bodyDiv w:val="1"/>
      <w:marLeft w:val="0"/>
      <w:marRight w:val="0"/>
      <w:marTop w:val="0"/>
      <w:marBottom w:val="0"/>
      <w:divBdr>
        <w:top w:val="none" w:sz="0" w:space="0" w:color="auto"/>
        <w:left w:val="none" w:sz="0" w:space="0" w:color="auto"/>
        <w:bottom w:val="none" w:sz="0" w:space="0" w:color="auto"/>
        <w:right w:val="none" w:sz="0" w:space="0" w:color="auto"/>
      </w:divBdr>
    </w:div>
    <w:div w:id="204147640">
      <w:bodyDiv w:val="1"/>
      <w:marLeft w:val="0"/>
      <w:marRight w:val="0"/>
      <w:marTop w:val="0"/>
      <w:marBottom w:val="0"/>
      <w:divBdr>
        <w:top w:val="none" w:sz="0" w:space="0" w:color="auto"/>
        <w:left w:val="none" w:sz="0" w:space="0" w:color="auto"/>
        <w:bottom w:val="none" w:sz="0" w:space="0" w:color="auto"/>
        <w:right w:val="none" w:sz="0" w:space="0" w:color="auto"/>
      </w:divBdr>
    </w:div>
    <w:div w:id="285043823">
      <w:bodyDiv w:val="1"/>
      <w:marLeft w:val="0"/>
      <w:marRight w:val="0"/>
      <w:marTop w:val="0"/>
      <w:marBottom w:val="0"/>
      <w:divBdr>
        <w:top w:val="none" w:sz="0" w:space="0" w:color="auto"/>
        <w:left w:val="none" w:sz="0" w:space="0" w:color="auto"/>
        <w:bottom w:val="none" w:sz="0" w:space="0" w:color="auto"/>
        <w:right w:val="none" w:sz="0" w:space="0" w:color="auto"/>
      </w:divBdr>
    </w:div>
    <w:div w:id="296450101">
      <w:bodyDiv w:val="1"/>
      <w:marLeft w:val="0"/>
      <w:marRight w:val="0"/>
      <w:marTop w:val="0"/>
      <w:marBottom w:val="0"/>
      <w:divBdr>
        <w:top w:val="none" w:sz="0" w:space="0" w:color="auto"/>
        <w:left w:val="none" w:sz="0" w:space="0" w:color="auto"/>
        <w:bottom w:val="none" w:sz="0" w:space="0" w:color="auto"/>
        <w:right w:val="none" w:sz="0" w:space="0" w:color="auto"/>
      </w:divBdr>
    </w:div>
    <w:div w:id="331492111">
      <w:bodyDiv w:val="1"/>
      <w:marLeft w:val="0"/>
      <w:marRight w:val="0"/>
      <w:marTop w:val="0"/>
      <w:marBottom w:val="0"/>
      <w:divBdr>
        <w:top w:val="none" w:sz="0" w:space="0" w:color="auto"/>
        <w:left w:val="none" w:sz="0" w:space="0" w:color="auto"/>
        <w:bottom w:val="none" w:sz="0" w:space="0" w:color="auto"/>
        <w:right w:val="none" w:sz="0" w:space="0" w:color="auto"/>
      </w:divBdr>
    </w:div>
    <w:div w:id="376783722">
      <w:bodyDiv w:val="1"/>
      <w:marLeft w:val="0"/>
      <w:marRight w:val="0"/>
      <w:marTop w:val="0"/>
      <w:marBottom w:val="0"/>
      <w:divBdr>
        <w:top w:val="none" w:sz="0" w:space="0" w:color="auto"/>
        <w:left w:val="none" w:sz="0" w:space="0" w:color="auto"/>
        <w:bottom w:val="none" w:sz="0" w:space="0" w:color="auto"/>
        <w:right w:val="none" w:sz="0" w:space="0" w:color="auto"/>
      </w:divBdr>
    </w:div>
    <w:div w:id="544678366">
      <w:bodyDiv w:val="1"/>
      <w:marLeft w:val="0"/>
      <w:marRight w:val="0"/>
      <w:marTop w:val="0"/>
      <w:marBottom w:val="0"/>
      <w:divBdr>
        <w:top w:val="none" w:sz="0" w:space="0" w:color="auto"/>
        <w:left w:val="none" w:sz="0" w:space="0" w:color="auto"/>
        <w:bottom w:val="none" w:sz="0" w:space="0" w:color="auto"/>
        <w:right w:val="none" w:sz="0" w:space="0" w:color="auto"/>
      </w:divBdr>
    </w:div>
    <w:div w:id="659315019">
      <w:bodyDiv w:val="1"/>
      <w:marLeft w:val="0"/>
      <w:marRight w:val="0"/>
      <w:marTop w:val="0"/>
      <w:marBottom w:val="0"/>
      <w:divBdr>
        <w:top w:val="none" w:sz="0" w:space="0" w:color="auto"/>
        <w:left w:val="none" w:sz="0" w:space="0" w:color="auto"/>
        <w:bottom w:val="none" w:sz="0" w:space="0" w:color="auto"/>
        <w:right w:val="none" w:sz="0" w:space="0" w:color="auto"/>
      </w:divBdr>
    </w:div>
    <w:div w:id="684787884">
      <w:bodyDiv w:val="1"/>
      <w:marLeft w:val="0"/>
      <w:marRight w:val="0"/>
      <w:marTop w:val="0"/>
      <w:marBottom w:val="0"/>
      <w:divBdr>
        <w:top w:val="none" w:sz="0" w:space="0" w:color="auto"/>
        <w:left w:val="none" w:sz="0" w:space="0" w:color="auto"/>
        <w:bottom w:val="none" w:sz="0" w:space="0" w:color="auto"/>
        <w:right w:val="none" w:sz="0" w:space="0" w:color="auto"/>
      </w:divBdr>
    </w:div>
    <w:div w:id="698436777">
      <w:bodyDiv w:val="1"/>
      <w:marLeft w:val="0"/>
      <w:marRight w:val="0"/>
      <w:marTop w:val="0"/>
      <w:marBottom w:val="0"/>
      <w:divBdr>
        <w:top w:val="none" w:sz="0" w:space="0" w:color="auto"/>
        <w:left w:val="none" w:sz="0" w:space="0" w:color="auto"/>
        <w:bottom w:val="none" w:sz="0" w:space="0" w:color="auto"/>
        <w:right w:val="none" w:sz="0" w:space="0" w:color="auto"/>
      </w:divBdr>
    </w:div>
    <w:div w:id="719522225">
      <w:bodyDiv w:val="1"/>
      <w:marLeft w:val="0"/>
      <w:marRight w:val="0"/>
      <w:marTop w:val="0"/>
      <w:marBottom w:val="0"/>
      <w:divBdr>
        <w:top w:val="none" w:sz="0" w:space="0" w:color="auto"/>
        <w:left w:val="none" w:sz="0" w:space="0" w:color="auto"/>
        <w:bottom w:val="none" w:sz="0" w:space="0" w:color="auto"/>
        <w:right w:val="none" w:sz="0" w:space="0" w:color="auto"/>
      </w:divBdr>
    </w:div>
    <w:div w:id="736904757">
      <w:bodyDiv w:val="1"/>
      <w:marLeft w:val="0"/>
      <w:marRight w:val="0"/>
      <w:marTop w:val="0"/>
      <w:marBottom w:val="0"/>
      <w:divBdr>
        <w:top w:val="none" w:sz="0" w:space="0" w:color="auto"/>
        <w:left w:val="none" w:sz="0" w:space="0" w:color="auto"/>
        <w:bottom w:val="none" w:sz="0" w:space="0" w:color="auto"/>
        <w:right w:val="none" w:sz="0" w:space="0" w:color="auto"/>
      </w:divBdr>
      <w:divsChild>
        <w:div w:id="1222206940">
          <w:marLeft w:val="0"/>
          <w:marRight w:val="0"/>
          <w:marTop w:val="0"/>
          <w:marBottom w:val="0"/>
          <w:divBdr>
            <w:top w:val="none" w:sz="0" w:space="0" w:color="auto"/>
            <w:left w:val="none" w:sz="0" w:space="0" w:color="auto"/>
            <w:bottom w:val="none" w:sz="0" w:space="0" w:color="auto"/>
            <w:right w:val="none" w:sz="0" w:space="0" w:color="auto"/>
          </w:divBdr>
        </w:div>
        <w:div w:id="1345784708">
          <w:marLeft w:val="0"/>
          <w:marRight w:val="0"/>
          <w:marTop w:val="0"/>
          <w:marBottom w:val="0"/>
          <w:divBdr>
            <w:top w:val="none" w:sz="0" w:space="0" w:color="auto"/>
            <w:left w:val="none" w:sz="0" w:space="0" w:color="auto"/>
            <w:bottom w:val="none" w:sz="0" w:space="0" w:color="auto"/>
            <w:right w:val="none" w:sz="0" w:space="0" w:color="auto"/>
          </w:divBdr>
        </w:div>
        <w:div w:id="1671253006">
          <w:marLeft w:val="0"/>
          <w:marRight w:val="0"/>
          <w:marTop w:val="0"/>
          <w:marBottom w:val="0"/>
          <w:divBdr>
            <w:top w:val="none" w:sz="0" w:space="0" w:color="auto"/>
            <w:left w:val="none" w:sz="0" w:space="0" w:color="auto"/>
            <w:bottom w:val="none" w:sz="0" w:space="0" w:color="auto"/>
            <w:right w:val="none" w:sz="0" w:space="0" w:color="auto"/>
          </w:divBdr>
        </w:div>
        <w:div w:id="1479375662">
          <w:marLeft w:val="0"/>
          <w:marRight w:val="0"/>
          <w:marTop w:val="0"/>
          <w:marBottom w:val="0"/>
          <w:divBdr>
            <w:top w:val="none" w:sz="0" w:space="0" w:color="auto"/>
            <w:left w:val="none" w:sz="0" w:space="0" w:color="auto"/>
            <w:bottom w:val="none" w:sz="0" w:space="0" w:color="auto"/>
            <w:right w:val="none" w:sz="0" w:space="0" w:color="auto"/>
          </w:divBdr>
        </w:div>
        <w:div w:id="1032074588">
          <w:marLeft w:val="0"/>
          <w:marRight w:val="0"/>
          <w:marTop w:val="0"/>
          <w:marBottom w:val="0"/>
          <w:divBdr>
            <w:top w:val="none" w:sz="0" w:space="0" w:color="auto"/>
            <w:left w:val="none" w:sz="0" w:space="0" w:color="auto"/>
            <w:bottom w:val="none" w:sz="0" w:space="0" w:color="auto"/>
            <w:right w:val="none" w:sz="0" w:space="0" w:color="auto"/>
          </w:divBdr>
        </w:div>
      </w:divsChild>
    </w:div>
    <w:div w:id="933980335">
      <w:bodyDiv w:val="1"/>
      <w:marLeft w:val="0"/>
      <w:marRight w:val="0"/>
      <w:marTop w:val="0"/>
      <w:marBottom w:val="0"/>
      <w:divBdr>
        <w:top w:val="none" w:sz="0" w:space="0" w:color="auto"/>
        <w:left w:val="none" w:sz="0" w:space="0" w:color="auto"/>
        <w:bottom w:val="none" w:sz="0" w:space="0" w:color="auto"/>
        <w:right w:val="none" w:sz="0" w:space="0" w:color="auto"/>
      </w:divBdr>
    </w:div>
    <w:div w:id="1005403268">
      <w:bodyDiv w:val="1"/>
      <w:marLeft w:val="0"/>
      <w:marRight w:val="0"/>
      <w:marTop w:val="0"/>
      <w:marBottom w:val="0"/>
      <w:divBdr>
        <w:top w:val="none" w:sz="0" w:space="0" w:color="auto"/>
        <w:left w:val="none" w:sz="0" w:space="0" w:color="auto"/>
        <w:bottom w:val="none" w:sz="0" w:space="0" w:color="auto"/>
        <w:right w:val="none" w:sz="0" w:space="0" w:color="auto"/>
      </w:divBdr>
    </w:div>
    <w:div w:id="1164710557">
      <w:bodyDiv w:val="1"/>
      <w:marLeft w:val="0"/>
      <w:marRight w:val="0"/>
      <w:marTop w:val="0"/>
      <w:marBottom w:val="0"/>
      <w:divBdr>
        <w:top w:val="none" w:sz="0" w:space="0" w:color="auto"/>
        <w:left w:val="none" w:sz="0" w:space="0" w:color="auto"/>
        <w:bottom w:val="none" w:sz="0" w:space="0" w:color="auto"/>
        <w:right w:val="none" w:sz="0" w:space="0" w:color="auto"/>
      </w:divBdr>
    </w:div>
    <w:div w:id="1207719102">
      <w:bodyDiv w:val="1"/>
      <w:marLeft w:val="0"/>
      <w:marRight w:val="0"/>
      <w:marTop w:val="0"/>
      <w:marBottom w:val="0"/>
      <w:divBdr>
        <w:top w:val="none" w:sz="0" w:space="0" w:color="auto"/>
        <w:left w:val="none" w:sz="0" w:space="0" w:color="auto"/>
        <w:bottom w:val="none" w:sz="0" w:space="0" w:color="auto"/>
        <w:right w:val="none" w:sz="0" w:space="0" w:color="auto"/>
      </w:divBdr>
    </w:div>
    <w:div w:id="1414006323">
      <w:bodyDiv w:val="1"/>
      <w:marLeft w:val="0"/>
      <w:marRight w:val="0"/>
      <w:marTop w:val="0"/>
      <w:marBottom w:val="0"/>
      <w:divBdr>
        <w:top w:val="none" w:sz="0" w:space="0" w:color="auto"/>
        <w:left w:val="none" w:sz="0" w:space="0" w:color="auto"/>
        <w:bottom w:val="none" w:sz="0" w:space="0" w:color="auto"/>
        <w:right w:val="none" w:sz="0" w:space="0" w:color="auto"/>
      </w:divBdr>
    </w:div>
    <w:div w:id="1421488237">
      <w:bodyDiv w:val="1"/>
      <w:marLeft w:val="0"/>
      <w:marRight w:val="0"/>
      <w:marTop w:val="0"/>
      <w:marBottom w:val="0"/>
      <w:divBdr>
        <w:top w:val="none" w:sz="0" w:space="0" w:color="auto"/>
        <w:left w:val="none" w:sz="0" w:space="0" w:color="auto"/>
        <w:bottom w:val="none" w:sz="0" w:space="0" w:color="auto"/>
        <w:right w:val="none" w:sz="0" w:space="0" w:color="auto"/>
      </w:divBdr>
    </w:div>
    <w:div w:id="1425103111">
      <w:bodyDiv w:val="1"/>
      <w:marLeft w:val="0"/>
      <w:marRight w:val="0"/>
      <w:marTop w:val="0"/>
      <w:marBottom w:val="0"/>
      <w:divBdr>
        <w:top w:val="none" w:sz="0" w:space="0" w:color="auto"/>
        <w:left w:val="none" w:sz="0" w:space="0" w:color="auto"/>
        <w:bottom w:val="none" w:sz="0" w:space="0" w:color="auto"/>
        <w:right w:val="none" w:sz="0" w:space="0" w:color="auto"/>
      </w:divBdr>
    </w:div>
    <w:div w:id="1498418724">
      <w:bodyDiv w:val="1"/>
      <w:marLeft w:val="0"/>
      <w:marRight w:val="0"/>
      <w:marTop w:val="0"/>
      <w:marBottom w:val="0"/>
      <w:divBdr>
        <w:top w:val="none" w:sz="0" w:space="0" w:color="auto"/>
        <w:left w:val="none" w:sz="0" w:space="0" w:color="auto"/>
        <w:bottom w:val="none" w:sz="0" w:space="0" w:color="auto"/>
        <w:right w:val="none" w:sz="0" w:space="0" w:color="auto"/>
      </w:divBdr>
      <w:divsChild>
        <w:div w:id="896428198">
          <w:marLeft w:val="0"/>
          <w:marRight w:val="0"/>
          <w:marTop w:val="0"/>
          <w:marBottom w:val="0"/>
          <w:divBdr>
            <w:top w:val="none" w:sz="0" w:space="0" w:color="auto"/>
            <w:left w:val="none" w:sz="0" w:space="0" w:color="auto"/>
            <w:bottom w:val="none" w:sz="0" w:space="0" w:color="auto"/>
            <w:right w:val="none" w:sz="0" w:space="0" w:color="auto"/>
          </w:divBdr>
          <w:divsChild>
            <w:div w:id="1607694085">
              <w:marLeft w:val="0"/>
              <w:marRight w:val="0"/>
              <w:marTop w:val="0"/>
              <w:marBottom w:val="0"/>
              <w:divBdr>
                <w:top w:val="none" w:sz="0" w:space="0" w:color="auto"/>
                <w:left w:val="none" w:sz="0" w:space="0" w:color="auto"/>
                <w:bottom w:val="none" w:sz="0" w:space="0" w:color="auto"/>
                <w:right w:val="none" w:sz="0" w:space="0" w:color="auto"/>
              </w:divBdr>
              <w:divsChild>
                <w:div w:id="155905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651018">
      <w:bodyDiv w:val="1"/>
      <w:marLeft w:val="0"/>
      <w:marRight w:val="0"/>
      <w:marTop w:val="0"/>
      <w:marBottom w:val="0"/>
      <w:divBdr>
        <w:top w:val="none" w:sz="0" w:space="0" w:color="auto"/>
        <w:left w:val="none" w:sz="0" w:space="0" w:color="auto"/>
        <w:bottom w:val="none" w:sz="0" w:space="0" w:color="auto"/>
        <w:right w:val="none" w:sz="0" w:space="0" w:color="auto"/>
      </w:divBdr>
      <w:divsChild>
        <w:div w:id="157771414">
          <w:marLeft w:val="0"/>
          <w:marRight w:val="0"/>
          <w:marTop w:val="0"/>
          <w:marBottom w:val="0"/>
          <w:divBdr>
            <w:top w:val="none" w:sz="0" w:space="0" w:color="auto"/>
            <w:left w:val="none" w:sz="0" w:space="0" w:color="auto"/>
            <w:bottom w:val="none" w:sz="0" w:space="0" w:color="auto"/>
            <w:right w:val="none" w:sz="0" w:space="0" w:color="auto"/>
          </w:divBdr>
          <w:divsChild>
            <w:div w:id="368191181">
              <w:marLeft w:val="0"/>
              <w:marRight w:val="0"/>
              <w:marTop w:val="0"/>
              <w:marBottom w:val="0"/>
              <w:divBdr>
                <w:top w:val="none" w:sz="0" w:space="0" w:color="auto"/>
                <w:left w:val="none" w:sz="0" w:space="0" w:color="auto"/>
                <w:bottom w:val="none" w:sz="0" w:space="0" w:color="auto"/>
                <w:right w:val="none" w:sz="0" w:space="0" w:color="auto"/>
              </w:divBdr>
            </w:div>
          </w:divsChild>
        </w:div>
        <w:div w:id="1762986641">
          <w:marLeft w:val="0"/>
          <w:marRight w:val="0"/>
          <w:marTop w:val="0"/>
          <w:marBottom w:val="0"/>
          <w:divBdr>
            <w:top w:val="none" w:sz="0" w:space="0" w:color="auto"/>
            <w:left w:val="none" w:sz="0" w:space="0" w:color="auto"/>
            <w:bottom w:val="none" w:sz="0" w:space="0" w:color="auto"/>
            <w:right w:val="none" w:sz="0" w:space="0" w:color="auto"/>
          </w:divBdr>
          <w:divsChild>
            <w:div w:id="576284478">
              <w:marLeft w:val="0"/>
              <w:marRight w:val="0"/>
              <w:marTop w:val="0"/>
              <w:marBottom w:val="0"/>
              <w:divBdr>
                <w:top w:val="none" w:sz="0" w:space="0" w:color="auto"/>
                <w:left w:val="none" w:sz="0" w:space="0" w:color="auto"/>
                <w:bottom w:val="none" w:sz="0" w:space="0" w:color="auto"/>
                <w:right w:val="none" w:sz="0" w:space="0" w:color="auto"/>
              </w:divBdr>
            </w:div>
          </w:divsChild>
        </w:div>
        <w:div w:id="2113891076">
          <w:marLeft w:val="0"/>
          <w:marRight w:val="0"/>
          <w:marTop w:val="0"/>
          <w:marBottom w:val="0"/>
          <w:divBdr>
            <w:top w:val="none" w:sz="0" w:space="0" w:color="auto"/>
            <w:left w:val="none" w:sz="0" w:space="0" w:color="auto"/>
            <w:bottom w:val="none" w:sz="0" w:space="0" w:color="auto"/>
            <w:right w:val="none" w:sz="0" w:space="0" w:color="auto"/>
          </w:divBdr>
          <w:divsChild>
            <w:div w:id="1965960452">
              <w:marLeft w:val="0"/>
              <w:marRight w:val="0"/>
              <w:marTop w:val="0"/>
              <w:marBottom w:val="0"/>
              <w:divBdr>
                <w:top w:val="none" w:sz="0" w:space="0" w:color="auto"/>
                <w:left w:val="none" w:sz="0" w:space="0" w:color="auto"/>
                <w:bottom w:val="none" w:sz="0" w:space="0" w:color="auto"/>
                <w:right w:val="none" w:sz="0" w:space="0" w:color="auto"/>
              </w:divBdr>
            </w:div>
          </w:divsChild>
        </w:div>
        <w:div w:id="1383603835">
          <w:marLeft w:val="0"/>
          <w:marRight w:val="0"/>
          <w:marTop w:val="0"/>
          <w:marBottom w:val="0"/>
          <w:divBdr>
            <w:top w:val="none" w:sz="0" w:space="0" w:color="auto"/>
            <w:left w:val="none" w:sz="0" w:space="0" w:color="auto"/>
            <w:bottom w:val="none" w:sz="0" w:space="0" w:color="auto"/>
            <w:right w:val="none" w:sz="0" w:space="0" w:color="auto"/>
          </w:divBdr>
          <w:divsChild>
            <w:div w:id="256405931">
              <w:marLeft w:val="0"/>
              <w:marRight w:val="0"/>
              <w:marTop w:val="0"/>
              <w:marBottom w:val="0"/>
              <w:divBdr>
                <w:top w:val="none" w:sz="0" w:space="0" w:color="auto"/>
                <w:left w:val="none" w:sz="0" w:space="0" w:color="auto"/>
                <w:bottom w:val="none" w:sz="0" w:space="0" w:color="auto"/>
                <w:right w:val="none" w:sz="0" w:space="0" w:color="auto"/>
              </w:divBdr>
            </w:div>
          </w:divsChild>
        </w:div>
        <w:div w:id="1905214321">
          <w:marLeft w:val="0"/>
          <w:marRight w:val="0"/>
          <w:marTop w:val="0"/>
          <w:marBottom w:val="0"/>
          <w:divBdr>
            <w:top w:val="none" w:sz="0" w:space="0" w:color="auto"/>
            <w:left w:val="none" w:sz="0" w:space="0" w:color="auto"/>
            <w:bottom w:val="none" w:sz="0" w:space="0" w:color="auto"/>
            <w:right w:val="none" w:sz="0" w:space="0" w:color="auto"/>
          </w:divBdr>
          <w:divsChild>
            <w:div w:id="2024284545">
              <w:marLeft w:val="0"/>
              <w:marRight w:val="0"/>
              <w:marTop w:val="0"/>
              <w:marBottom w:val="0"/>
              <w:divBdr>
                <w:top w:val="none" w:sz="0" w:space="0" w:color="auto"/>
                <w:left w:val="none" w:sz="0" w:space="0" w:color="auto"/>
                <w:bottom w:val="none" w:sz="0" w:space="0" w:color="auto"/>
                <w:right w:val="none" w:sz="0" w:space="0" w:color="auto"/>
              </w:divBdr>
            </w:div>
          </w:divsChild>
        </w:div>
        <w:div w:id="1777168378">
          <w:marLeft w:val="0"/>
          <w:marRight w:val="0"/>
          <w:marTop w:val="0"/>
          <w:marBottom w:val="0"/>
          <w:divBdr>
            <w:top w:val="none" w:sz="0" w:space="0" w:color="auto"/>
            <w:left w:val="none" w:sz="0" w:space="0" w:color="auto"/>
            <w:bottom w:val="none" w:sz="0" w:space="0" w:color="auto"/>
            <w:right w:val="none" w:sz="0" w:space="0" w:color="auto"/>
          </w:divBdr>
          <w:divsChild>
            <w:div w:id="1378116441">
              <w:marLeft w:val="0"/>
              <w:marRight w:val="0"/>
              <w:marTop w:val="0"/>
              <w:marBottom w:val="0"/>
              <w:divBdr>
                <w:top w:val="none" w:sz="0" w:space="0" w:color="auto"/>
                <w:left w:val="none" w:sz="0" w:space="0" w:color="auto"/>
                <w:bottom w:val="none" w:sz="0" w:space="0" w:color="auto"/>
                <w:right w:val="none" w:sz="0" w:space="0" w:color="auto"/>
              </w:divBdr>
            </w:div>
          </w:divsChild>
        </w:div>
        <w:div w:id="704788492">
          <w:marLeft w:val="0"/>
          <w:marRight w:val="0"/>
          <w:marTop w:val="0"/>
          <w:marBottom w:val="0"/>
          <w:divBdr>
            <w:top w:val="none" w:sz="0" w:space="0" w:color="auto"/>
            <w:left w:val="none" w:sz="0" w:space="0" w:color="auto"/>
            <w:bottom w:val="none" w:sz="0" w:space="0" w:color="auto"/>
            <w:right w:val="none" w:sz="0" w:space="0" w:color="auto"/>
          </w:divBdr>
          <w:divsChild>
            <w:div w:id="2093115727">
              <w:marLeft w:val="0"/>
              <w:marRight w:val="0"/>
              <w:marTop w:val="0"/>
              <w:marBottom w:val="0"/>
              <w:divBdr>
                <w:top w:val="none" w:sz="0" w:space="0" w:color="auto"/>
                <w:left w:val="none" w:sz="0" w:space="0" w:color="auto"/>
                <w:bottom w:val="none" w:sz="0" w:space="0" w:color="auto"/>
                <w:right w:val="none" w:sz="0" w:space="0" w:color="auto"/>
              </w:divBdr>
            </w:div>
          </w:divsChild>
        </w:div>
        <w:div w:id="700202159">
          <w:marLeft w:val="0"/>
          <w:marRight w:val="0"/>
          <w:marTop w:val="0"/>
          <w:marBottom w:val="0"/>
          <w:divBdr>
            <w:top w:val="none" w:sz="0" w:space="0" w:color="auto"/>
            <w:left w:val="none" w:sz="0" w:space="0" w:color="auto"/>
            <w:bottom w:val="none" w:sz="0" w:space="0" w:color="auto"/>
            <w:right w:val="none" w:sz="0" w:space="0" w:color="auto"/>
          </w:divBdr>
          <w:divsChild>
            <w:div w:id="1265844576">
              <w:marLeft w:val="0"/>
              <w:marRight w:val="0"/>
              <w:marTop w:val="0"/>
              <w:marBottom w:val="0"/>
              <w:divBdr>
                <w:top w:val="none" w:sz="0" w:space="0" w:color="auto"/>
                <w:left w:val="none" w:sz="0" w:space="0" w:color="auto"/>
                <w:bottom w:val="none" w:sz="0" w:space="0" w:color="auto"/>
                <w:right w:val="none" w:sz="0" w:space="0" w:color="auto"/>
              </w:divBdr>
            </w:div>
          </w:divsChild>
        </w:div>
        <w:div w:id="67653693">
          <w:marLeft w:val="0"/>
          <w:marRight w:val="0"/>
          <w:marTop w:val="0"/>
          <w:marBottom w:val="0"/>
          <w:divBdr>
            <w:top w:val="none" w:sz="0" w:space="0" w:color="auto"/>
            <w:left w:val="none" w:sz="0" w:space="0" w:color="auto"/>
            <w:bottom w:val="none" w:sz="0" w:space="0" w:color="auto"/>
            <w:right w:val="none" w:sz="0" w:space="0" w:color="auto"/>
          </w:divBdr>
          <w:divsChild>
            <w:div w:id="30902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573231">
      <w:bodyDiv w:val="1"/>
      <w:marLeft w:val="0"/>
      <w:marRight w:val="0"/>
      <w:marTop w:val="0"/>
      <w:marBottom w:val="0"/>
      <w:divBdr>
        <w:top w:val="none" w:sz="0" w:space="0" w:color="auto"/>
        <w:left w:val="none" w:sz="0" w:space="0" w:color="auto"/>
        <w:bottom w:val="none" w:sz="0" w:space="0" w:color="auto"/>
        <w:right w:val="none" w:sz="0" w:space="0" w:color="auto"/>
      </w:divBdr>
    </w:div>
    <w:div w:id="1729255354">
      <w:bodyDiv w:val="1"/>
      <w:marLeft w:val="0"/>
      <w:marRight w:val="0"/>
      <w:marTop w:val="0"/>
      <w:marBottom w:val="0"/>
      <w:divBdr>
        <w:top w:val="none" w:sz="0" w:space="0" w:color="auto"/>
        <w:left w:val="none" w:sz="0" w:space="0" w:color="auto"/>
        <w:bottom w:val="none" w:sz="0" w:space="0" w:color="auto"/>
        <w:right w:val="none" w:sz="0" w:space="0" w:color="auto"/>
      </w:divBdr>
    </w:div>
    <w:div w:id="212326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0291F-F6B0-4360-B0E2-719EA2E63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49</TotalTime>
  <Pages>9</Pages>
  <Words>3646</Words>
  <Characters>20788</Characters>
  <Application>Microsoft Office Word</Application>
  <DocSecurity>0</DocSecurity>
  <Lines>173</Lines>
  <Paragraphs>48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United Nations</vt:lpstr>
      <vt:lpstr>United Nations</vt:lpstr>
    </vt:vector>
  </TitlesOfParts>
  <Company>CSD</Company>
  <LinksUpToDate>false</LinksUpToDate>
  <CharactersWithSpaces>24386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rfoster</dc:creator>
  <cp:keywords/>
  <dc:description/>
  <cp:lastModifiedBy>Laurence Berthet</cp:lastModifiedBy>
  <cp:revision>10</cp:revision>
  <cp:lastPrinted>2020-06-14T14:42:00Z</cp:lastPrinted>
  <dcterms:created xsi:type="dcterms:W3CDTF">2020-09-03T16:22:00Z</dcterms:created>
  <dcterms:modified xsi:type="dcterms:W3CDTF">2020-09-13T07:13:00Z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