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6144"/>
      </w:tblGrid>
      <w:tr w:rsidR="003003A7" w:rsidRPr="00302A3D" w14:paraId="2F635E2B" w14:textId="77777777" w:rsidTr="000216CC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D9D754" w14:textId="77777777" w:rsidR="003003A7" w:rsidRPr="000B4919" w:rsidRDefault="003003A7" w:rsidP="003003A7">
            <w:pPr>
              <w:spacing w:after="80" w:line="340" w:lineRule="exact"/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B268031" w14:textId="77777777" w:rsidR="003003A7" w:rsidRPr="000B4919" w:rsidRDefault="003003A7" w:rsidP="003003A7">
            <w:pPr>
              <w:spacing w:after="80" w:line="340" w:lineRule="exact"/>
              <w:rPr>
                <w:sz w:val="28"/>
                <w:szCs w:val="28"/>
              </w:rPr>
            </w:pP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F10A700" w14:textId="578F333B" w:rsidR="003003A7" w:rsidRDefault="003003A7" w:rsidP="003003A7">
            <w:pPr>
              <w:jc w:val="right"/>
              <w:rPr>
                <w:b/>
                <w:sz w:val="40"/>
                <w:szCs w:val="40"/>
                <w:lang w:val="fr-FR"/>
              </w:rPr>
            </w:pPr>
            <w:r w:rsidRPr="00302A3D">
              <w:rPr>
                <w:b/>
                <w:sz w:val="40"/>
                <w:szCs w:val="40"/>
                <w:lang w:val="fr-FR"/>
              </w:rPr>
              <w:t>UN/SCE</w:t>
            </w:r>
            <w:r w:rsidR="009E7EDE">
              <w:rPr>
                <w:b/>
                <w:sz w:val="40"/>
                <w:szCs w:val="40"/>
                <w:lang w:val="fr-FR"/>
              </w:rPr>
              <w:t>TDG</w:t>
            </w:r>
            <w:r w:rsidRPr="00302A3D">
              <w:rPr>
                <w:b/>
                <w:sz w:val="40"/>
                <w:szCs w:val="40"/>
                <w:lang w:val="fr-FR"/>
              </w:rPr>
              <w:t>/</w:t>
            </w:r>
            <w:r w:rsidR="009E7EDE">
              <w:rPr>
                <w:b/>
                <w:sz w:val="40"/>
                <w:szCs w:val="40"/>
                <w:lang w:val="fr-FR"/>
              </w:rPr>
              <w:t>57</w:t>
            </w:r>
            <w:r w:rsidRPr="00302A3D">
              <w:rPr>
                <w:b/>
                <w:sz w:val="40"/>
                <w:szCs w:val="40"/>
                <w:lang w:val="fr-FR"/>
              </w:rPr>
              <w:t>/INF.</w:t>
            </w:r>
            <w:r w:rsidR="00DA7F19">
              <w:rPr>
                <w:b/>
                <w:sz w:val="40"/>
                <w:szCs w:val="40"/>
                <w:lang w:val="fr-FR"/>
              </w:rPr>
              <w:t>1</w:t>
            </w:r>
            <w:r w:rsidR="009E7EDE">
              <w:rPr>
                <w:b/>
                <w:sz w:val="40"/>
                <w:szCs w:val="40"/>
                <w:lang w:val="fr-FR"/>
              </w:rPr>
              <w:t>5</w:t>
            </w:r>
          </w:p>
          <w:p w14:paraId="6A44E22F" w14:textId="4C1F95B4" w:rsidR="009E7EDE" w:rsidRPr="00302A3D" w:rsidRDefault="009E7EDE" w:rsidP="003003A7">
            <w:pPr>
              <w:jc w:val="right"/>
              <w:rPr>
                <w:b/>
                <w:sz w:val="40"/>
                <w:szCs w:val="40"/>
                <w:lang w:val="fr-FR"/>
              </w:rPr>
            </w:pPr>
            <w:r>
              <w:rPr>
                <w:b/>
                <w:sz w:val="40"/>
                <w:szCs w:val="40"/>
                <w:lang w:val="fr-FR"/>
              </w:rPr>
              <w:t>UN/SCEGHS/39/INF.10</w:t>
            </w:r>
          </w:p>
          <w:p w14:paraId="2CE3849E" w14:textId="77777777" w:rsidR="003003A7" w:rsidRPr="00302A3D" w:rsidRDefault="003003A7" w:rsidP="003003A7">
            <w:pPr>
              <w:jc w:val="right"/>
              <w:rPr>
                <w:lang w:val="fr-FR"/>
              </w:rPr>
            </w:pPr>
          </w:p>
        </w:tc>
      </w:tr>
    </w:tbl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52"/>
        <w:gridCol w:w="4993"/>
      </w:tblGrid>
      <w:tr w:rsidR="0039115F" w:rsidRPr="00961216" w14:paraId="45A25DD4" w14:textId="77777777" w:rsidTr="00360D5D">
        <w:tc>
          <w:tcPr>
            <w:tcW w:w="9645" w:type="dxa"/>
            <w:gridSpan w:val="2"/>
            <w:tcMar>
              <w:top w:w="142" w:type="dxa"/>
              <w:left w:w="108" w:type="dxa"/>
              <w:bottom w:w="142" w:type="dxa"/>
              <w:right w:w="108" w:type="dxa"/>
            </w:tcMar>
          </w:tcPr>
          <w:p w14:paraId="15CBC71D" w14:textId="7F4D50F0" w:rsidR="0039115F" w:rsidRPr="00961216" w:rsidRDefault="0039115F" w:rsidP="00360D5D">
            <w:pPr>
              <w:tabs>
                <w:tab w:val="right" w:pos="9214"/>
              </w:tabs>
            </w:pPr>
            <w:r w:rsidRPr="00961216">
              <w:rPr>
                <w:b/>
                <w:sz w:val="24"/>
                <w:szCs w:val="24"/>
              </w:rPr>
              <w:t>Committee of Experts on the Transport of Dangerous Goods</w:t>
            </w:r>
            <w:r w:rsidRPr="00961216">
              <w:rPr>
                <w:b/>
                <w:sz w:val="24"/>
                <w:szCs w:val="24"/>
              </w:rPr>
              <w:tab/>
            </w:r>
            <w:r w:rsidRPr="00961216">
              <w:rPr>
                <w:b/>
                <w:sz w:val="24"/>
                <w:szCs w:val="24"/>
              </w:rPr>
              <w:br/>
              <w:t>and on the Globally Harmonized System of Classification</w:t>
            </w:r>
            <w:r w:rsidRPr="00961216">
              <w:rPr>
                <w:b/>
                <w:sz w:val="24"/>
                <w:szCs w:val="24"/>
              </w:rPr>
              <w:br/>
              <w:t>and Labelling of Chemicals</w:t>
            </w:r>
            <w:r w:rsidRPr="00961216">
              <w:rPr>
                <w:b/>
              </w:rPr>
              <w:tab/>
            </w:r>
            <w:r>
              <w:rPr>
                <w:b/>
              </w:rPr>
              <w:t>29 June</w:t>
            </w:r>
            <w:r w:rsidRPr="002566CA">
              <w:rPr>
                <w:b/>
              </w:rPr>
              <w:t xml:space="preserve"> 2020</w:t>
            </w:r>
          </w:p>
        </w:tc>
      </w:tr>
      <w:tr w:rsidR="0039115F" w:rsidRPr="00961216" w14:paraId="0DECC91D" w14:textId="77777777" w:rsidTr="00360D5D">
        <w:tc>
          <w:tcPr>
            <w:tcW w:w="4652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00F673FF" w14:textId="77777777" w:rsidR="0039115F" w:rsidRPr="00961216" w:rsidRDefault="0039115F" w:rsidP="00360D5D">
            <w:pPr>
              <w:spacing w:before="120"/>
              <w:rPr>
                <w:b/>
              </w:rPr>
            </w:pPr>
            <w:r w:rsidRPr="00961216">
              <w:rPr>
                <w:b/>
              </w:rPr>
              <w:t xml:space="preserve">Sub-Committee of Experts on the </w:t>
            </w:r>
            <w:r w:rsidRPr="00961216">
              <w:rPr>
                <w:b/>
              </w:rPr>
              <w:br/>
              <w:t xml:space="preserve">Transport of Dangerous Goods </w:t>
            </w:r>
          </w:p>
        </w:tc>
        <w:tc>
          <w:tcPr>
            <w:tcW w:w="4993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09CCB949" w14:textId="77777777" w:rsidR="0039115F" w:rsidRPr="00961216" w:rsidRDefault="0039115F" w:rsidP="00360D5D">
            <w:pPr>
              <w:spacing w:before="120"/>
              <w:rPr>
                <w:b/>
              </w:rPr>
            </w:pPr>
            <w:r w:rsidRPr="00961216">
              <w:rPr>
                <w:b/>
              </w:rPr>
              <w:t>Sub-Committee of Experts on the Globally Harmonized System of Classification and Labelling of Chemicals</w:t>
            </w:r>
          </w:p>
        </w:tc>
      </w:tr>
      <w:tr w:rsidR="0039115F" w:rsidRPr="00961216" w14:paraId="5787C3D9" w14:textId="77777777" w:rsidTr="00360D5D">
        <w:tc>
          <w:tcPr>
            <w:tcW w:w="4652" w:type="dxa"/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4FEC273A" w14:textId="77777777" w:rsidR="0039115F" w:rsidRPr="00961216" w:rsidRDefault="0039115F" w:rsidP="00360D5D">
            <w:pPr>
              <w:spacing w:before="120"/>
              <w:ind w:left="34" w:hanging="34"/>
              <w:rPr>
                <w:b/>
              </w:rPr>
            </w:pPr>
            <w:r w:rsidRPr="00961216">
              <w:rPr>
                <w:b/>
              </w:rPr>
              <w:t>Fifty-seventh session</w:t>
            </w:r>
          </w:p>
        </w:tc>
        <w:tc>
          <w:tcPr>
            <w:tcW w:w="4993" w:type="dxa"/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31A9BB6B" w14:textId="77777777" w:rsidR="0039115F" w:rsidRPr="00961216" w:rsidRDefault="0039115F" w:rsidP="00360D5D">
            <w:pPr>
              <w:spacing w:before="120"/>
              <w:ind w:left="34" w:hanging="34"/>
              <w:rPr>
                <w:b/>
              </w:rPr>
            </w:pPr>
            <w:r w:rsidRPr="00961216">
              <w:rPr>
                <w:b/>
              </w:rPr>
              <w:t xml:space="preserve">Thirty-ninth session </w:t>
            </w:r>
          </w:p>
        </w:tc>
      </w:tr>
      <w:tr w:rsidR="0039115F" w:rsidRPr="00961216" w14:paraId="34779490" w14:textId="77777777" w:rsidTr="00360D5D">
        <w:tc>
          <w:tcPr>
            <w:tcW w:w="4652" w:type="dxa"/>
            <w:tcMar>
              <w:top w:w="28" w:type="dxa"/>
              <w:left w:w="108" w:type="dxa"/>
              <w:bottom w:w="0" w:type="dxa"/>
              <w:right w:w="108" w:type="dxa"/>
            </w:tcMar>
          </w:tcPr>
          <w:p w14:paraId="0E713CB8" w14:textId="77777777" w:rsidR="0039115F" w:rsidRPr="007E1BE6" w:rsidRDefault="0039115F" w:rsidP="0039115F">
            <w:r w:rsidRPr="007E1BE6">
              <w:t>Geneva, 29 June-8 July 2020</w:t>
            </w:r>
          </w:p>
          <w:p w14:paraId="2D0683FC" w14:textId="77777777" w:rsidR="007E1BE6" w:rsidRDefault="007E1BE6" w:rsidP="007E1BE6">
            <w:pPr>
              <w:ind w:right="57"/>
              <w:jc w:val="both"/>
            </w:pPr>
            <w:r>
              <w:t>Item 10 (a) of the provisional agenda</w:t>
            </w:r>
          </w:p>
          <w:p w14:paraId="26868EA5" w14:textId="6E021656" w:rsidR="0039115F" w:rsidRPr="0039115F" w:rsidRDefault="007E1BE6" w:rsidP="007E1BE6">
            <w:pPr>
              <w:rPr>
                <w:b/>
                <w:bCs/>
                <w:highlight w:val="yellow"/>
              </w:rPr>
            </w:pPr>
            <w:r>
              <w:rPr>
                <w:b/>
              </w:rPr>
              <w:t xml:space="preserve">Issues relating to the Globally Harmonized System </w:t>
            </w:r>
            <w:r>
              <w:rPr>
                <w:b/>
              </w:rPr>
              <w:br/>
              <w:t xml:space="preserve">of Classification and Labelling of Chemicals: </w:t>
            </w:r>
            <w:r>
              <w:rPr>
                <w:b/>
              </w:rPr>
              <w:br/>
              <w:t>review of Chapter 2.1</w:t>
            </w:r>
          </w:p>
        </w:tc>
        <w:tc>
          <w:tcPr>
            <w:tcW w:w="4993" w:type="dxa"/>
            <w:tcMar>
              <w:top w:w="28" w:type="dxa"/>
              <w:left w:w="108" w:type="dxa"/>
              <w:bottom w:w="0" w:type="dxa"/>
              <w:right w:w="108" w:type="dxa"/>
            </w:tcMar>
          </w:tcPr>
          <w:p w14:paraId="131B1B06" w14:textId="77777777" w:rsidR="0039115F" w:rsidRPr="009E7EDE" w:rsidRDefault="0039115F" w:rsidP="0039115F">
            <w:r w:rsidRPr="009E7EDE">
              <w:t>Geneva, 8-10 July 2020</w:t>
            </w:r>
          </w:p>
          <w:p w14:paraId="11E868CF" w14:textId="159EECD8" w:rsidR="0039115F" w:rsidRPr="0039115F" w:rsidRDefault="0039115F" w:rsidP="0039115F">
            <w:pPr>
              <w:rPr>
                <w:highlight w:val="yellow"/>
              </w:rPr>
            </w:pPr>
            <w:r w:rsidRPr="009E7EDE">
              <w:t xml:space="preserve">Item </w:t>
            </w:r>
            <w:r w:rsidR="009E7EDE" w:rsidRPr="009E7EDE">
              <w:t>2 (b)</w:t>
            </w:r>
            <w:r w:rsidRPr="009E7EDE">
              <w:t xml:space="preserve"> of the provisional agenda</w:t>
            </w:r>
          </w:p>
          <w:p w14:paraId="1C098672" w14:textId="6296EDA5" w:rsidR="0039115F" w:rsidRPr="009E7EDE" w:rsidRDefault="009E7EDE" w:rsidP="0039115F">
            <w:pPr>
              <w:rPr>
                <w:b/>
                <w:bCs/>
              </w:rPr>
            </w:pPr>
            <w:r w:rsidRPr="009E7EDE">
              <w:rPr>
                <w:b/>
                <w:bCs/>
              </w:rPr>
              <w:t xml:space="preserve">Classification criteria and related hazard communication: </w:t>
            </w:r>
            <w:r>
              <w:rPr>
                <w:b/>
                <w:bCs/>
              </w:rPr>
              <w:t>r</w:t>
            </w:r>
            <w:r w:rsidRPr="009E7EDE">
              <w:rPr>
                <w:b/>
                <w:bCs/>
              </w:rPr>
              <w:t>eview of Chapter 2.1</w:t>
            </w:r>
          </w:p>
        </w:tc>
      </w:tr>
    </w:tbl>
    <w:p w14:paraId="18A450CA" w14:textId="3F57A17F" w:rsidR="006B4518" w:rsidRPr="006B4518" w:rsidRDefault="006B4518" w:rsidP="009E7EDE">
      <w:pPr>
        <w:pStyle w:val="HChG"/>
        <w:spacing w:before="240" w:after="120"/>
      </w:pPr>
      <w:r w:rsidRPr="006B4518">
        <w:tab/>
      </w:r>
      <w:r w:rsidRPr="006B4518">
        <w:tab/>
      </w:r>
      <w:r w:rsidR="00445C9D" w:rsidRPr="006B4518">
        <w:t>GHS Chapter 2.1</w:t>
      </w:r>
      <w:r w:rsidR="00445C9D">
        <w:rPr>
          <w:lang w:val="en-US"/>
        </w:rPr>
        <w:t xml:space="preserve">: Revised </w:t>
      </w:r>
      <w:r w:rsidR="00DA7F19">
        <w:rPr>
          <w:lang w:val="en-US"/>
        </w:rPr>
        <w:t>e</w:t>
      </w:r>
      <w:r w:rsidR="00445C9D">
        <w:rPr>
          <w:lang w:val="en-US"/>
        </w:rPr>
        <w:t xml:space="preserve">xclusion and </w:t>
      </w:r>
      <w:r w:rsidR="00DA7F19">
        <w:rPr>
          <w:lang w:val="en-US"/>
        </w:rPr>
        <w:t>e</w:t>
      </w:r>
      <w:r w:rsidR="00445C9D">
        <w:rPr>
          <w:lang w:val="en-US"/>
        </w:rPr>
        <w:t xml:space="preserve">xemption </w:t>
      </w:r>
      <w:r w:rsidR="00DA7F19">
        <w:rPr>
          <w:lang w:val="en-US"/>
        </w:rPr>
        <w:t>c</w:t>
      </w:r>
      <w:r w:rsidR="00445C9D">
        <w:rPr>
          <w:lang w:val="en-US"/>
        </w:rPr>
        <w:t xml:space="preserve">riteria for </w:t>
      </w:r>
      <w:r w:rsidR="00DA7F19">
        <w:rPr>
          <w:lang w:val="en-US"/>
        </w:rPr>
        <w:t>e</w:t>
      </w:r>
      <w:r w:rsidR="00445C9D">
        <w:rPr>
          <w:lang w:val="en-US"/>
        </w:rPr>
        <w:t>xplosive</w:t>
      </w:r>
      <w:r w:rsidR="00DA7F19">
        <w:rPr>
          <w:lang w:val="en-US"/>
        </w:rPr>
        <w:t xml:space="preserve"> </w:t>
      </w:r>
      <w:r w:rsidR="00445C9D">
        <w:rPr>
          <w:lang w:val="en-US"/>
        </w:rPr>
        <w:t>-</w:t>
      </w:r>
      <w:r w:rsidR="00DA7F19">
        <w:rPr>
          <w:lang w:val="en-US"/>
        </w:rPr>
        <w:t xml:space="preserve"> c</w:t>
      </w:r>
      <w:r w:rsidR="00445C9D">
        <w:rPr>
          <w:lang w:val="en-US"/>
        </w:rPr>
        <w:t xml:space="preserve">ontaining </w:t>
      </w:r>
      <w:r w:rsidR="00DA7F19">
        <w:rPr>
          <w:lang w:val="en-US"/>
        </w:rPr>
        <w:t>a</w:t>
      </w:r>
      <w:r w:rsidR="00445C9D">
        <w:rPr>
          <w:lang w:val="en-US"/>
        </w:rPr>
        <w:t xml:space="preserve">rticles </w:t>
      </w:r>
      <w:r w:rsidR="00DA7F19">
        <w:rPr>
          <w:lang w:val="en-US"/>
        </w:rPr>
        <w:t>n</w:t>
      </w:r>
      <w:r w:rsidR="00445C9D">
        <w:rPr>
          <w:lang w:val="en-US"/>
        </w:rPr>
        <w:t xml:space="preserve">ot </w:t>
      </w:r>
      <w:r w:rsidR="00DA7F19">
        <w:rPr>
          <w:lang w:val="en-US"/>
        </w:rPr>
        <w:t>a</w:t>
      </w:r>
      <w:r w:rsidR="00445C9D">
        <w:rPr>
          <w:lang w:val="en-US"/>
        </w:rPr>
        <w:t>ssigned to Class 1</w:t>
      </w:r>
    </w:p>
    <w:p w14:paraId="72BC1D89" w14:textId="77777777" w:rsidR="00055FF2" w:rsidRPr="00DD63AE" w:rsidRDefault="006B4518" w:rsidP="00DA7F19">
      <w:pPr>
        <w:pStyle w:val="H1G"/>
        <w:rPr>
          <w:lang w:val="en-US"/>
        </w:rPr>
      </w:pPr>
      <w:r w:rsidRPr="006B4518">
        <w:tab/>
      </w:r>
      <w:r w:rsidRPr="006B4518">
        <w:tab/>
        <w:t xml:space="preserve">Transmitted by </w:t>
      </w:r>
      <w:r w:rsidR="00055FF2" w:rsidRPr="00055FF2">
        <w:t>the expert from the United States of America, the Institute of Makers of Explosives (IME) and Sporting Arms &amp; Ammunition Manufacturers' Institute (SAAMI)</w:t>
      </w:r>
    </w:p>
    <w:p w14:paraId="35C60DE7" w14:textId="77777777" w:rsidR="00BB183E" w:rsidRPr="00800875" w:rsidRDefault="00BB183E" w:rsidP="00BB183E">
      <w:pPr>
        <w:pStyle w:val="HChG"/>
        <w:ind w:left="2268"/>
        <w:rPr>
          <w:sz w:val="22"/>
          <w:lang w:val="en-US"/>
        </w:rPr>
      </w:pPr>
      <w:r>
        <w:t>Introduction</w:t>
      </w:r>
    </w:p>
    <w:p w14:paraId="0A101796" w14:textId="480F2A8F" w:rsidR="009C61B6" w:rsidRPr="00E269BB" w:rsidRDefault="00DA7F19" w:rsidP="002A76D3">
      <w:pPr>
        <w:pStyle w:val="SingleTxtG"/>
        <w:numPr>
          <w:ilvl w:val="0"/>
          <w:numId w:val="18"/>
        </w:numPr>
        <w:ind w:left="1134" w:firstLine="0"/>
      </w:pPr>
      <w:r>
        <w:rPr>
          <w:lang w:val="en-US"/>
        </w:rPr>
        <w:t>D</w:t>
      </w:r>
      <w:r w:rsidR="009C61B6">
        <w:rPr>
          <w:lang w:val="en-US"/>
        </w:rPr>
        <w:t xml:space="preserve">ocument </w:t>
      </w:r>
      <w:r w:rsidR="009C61B6" w:rsidRPr="009C61B6">
        <w:rPr>
          <w:lang w:val="en-US"/>
        </w:rPr>
        <w:t>ST/SG/AC.10/C.3/2020/20−ST/SG/AC.10/C.4/2020/5</w:t>
      </w:r>
      <w:r w:rsidR="009C61B6">
        <w:rPr>
          <w:lang w:val="en-US"/>
        </w:rPr>
        <w:t xml:space="preserve"> </w:t>
      </w:r>
      <w:r w:rsidR="00ED3A92">
        <w:rPr>
          <w:lang w:val="en-US"/>
        </w:rPr>
        <w:t xml:space="preserve">noted that </w:t>
      </w:r>
      <w:r w:rsidR="009C61B6">
        <w:rPr>
          <w:lang w:val="en-US"/>
        </w:rPr>
        <w:t xml:space="preserve">some members of the Informal Correspondence group (ICG) expressed a need to confirm if the </w:t>
      </w:r>
      <w:r w:rsidR="00E269BB">
        <w:rPr>
          <w:lang w:val="en-US"/>
        </w:rPr>
        <w:t xml:space="preserve">proposed </w:t>
      </w:r>
      <w:r w:rsidR="00445C9D">
        <w:rPr>
          <w:lang w:val="en-US"/>
        </w:rPr>
        <w:t xml:space="preserve">exclusion </w:t>
      </w:r>
      <w:r w:rsidR="005603DA">
        <w:rPr>
          <w:lang w:val="en-US"/>
        </w:rPr>
        <w:t xml:space="preserve">in paragraph 2.1.1.2.2 (d) </w:t>
      </w:r>
      <w:r w:rsidR="00445C9D">
        <w:rPr>
          <w:lang w:val="en-US"/>
        </w:rPr>
        <w:t xml:space="preserve">would function </w:t>
      </w:r>
      <w:r w:rsidR="00ED3A92">
        <w:rPr>
          <w:lang w:val="en-US"/>
        </w:rPr>
        <w:t xml:space="preserve">as intended </w:t>
      </w:r>
      <w:r w:rsidR="009C61B6">
        <w:rPr>
          <w:lang w:val="en-US"/>
        </w:rPr>
        <w:t xml:space="preserve">for </w:t>
      </w:r>
      <w:r w:rsidR="00445C9D">
        <w:rPr>
          <w:lang w:val="en-US"/>
        </w:rPr>
        <w:t xml:space="preserve">explosive-containing </w:t>
      </w:r>
      <w:r w:rsidR="009C61B6">
        <w:rPr>
          <w:lang w:val="en-US"/>
        </w:rPr>
        <w:t xml:space="preserve">articles excluded from Class 1 </w:t>
      </w:r>
      <w:r w:rsidR="00445C9D">
        <w:rPr>
          <w:lang w:val="en-US"/>
        </w:rPr>
        <w:t>for transport</w:t>
      </w:r>
      <w:r w:rsidR="009C61B6">
        <w:rPr>
          <w:lang w:val="en-US"/>
        </w:rPr>
        <w:t xml:space="preserve"> </w:t>
      </w:r>
      <w:r w:rsidR="007944A3">
        <w:rPr>
          <w:lang w:val="en-US"/>
        </w:rPr>
        <w:t xml:space="preserve">(see </w:t>
      </w:r>
      <w:r w:rsidR="00E269BB">
        <w:rPr>
          <w:lang w:val="en-US"/>
        </w:rPr>
        <w:t xml:space="preserve">paragraph 32 </w:t>
      </w:r>
      <w:r w:rsidR="007944A3">
        <w:rPr>
          <w:lang w:val="en-US"/>
        </w:rPr>
        <w:t>in</w:t>
      </w:r>
      <w:r w:rsidR="00E269BB">
        <w:rPr>
          <w:lang w:val="en-US"/>
        </w:rPr>
        <w:t xml:space="preserve"> formal paper 5</w:t>
      </w:r>
      <w:r w:rsidR="007944A3">
        <w:rPr>
          <w:lang w:val="en-US"/>
        </w:rPr>
        <w:t xml:space="preserve">). </w:t>
      </w:r>
      <w:r w:rsidR="005603DA">
        <w:rPr>
          <w:lang w:val="en-US"/>
        </w:rPr>
        <w:t xml:space="preserve">While the underlying issue was validated with examples which would be beneficial to address, authorities may take </w:t>
      </w:r>
      <w:r w:rsidR="00ED3A92">
        <w:rPr>
          <w:lang w:val="en-US"/>
        </w:rPr>
        <w:t>different</w:t>
      </w:r>
      <w:r w:rsidR="005603DA">
        <w:rPr>
          <w:lang w:val="en-US"/>
        </w:rPr>
        <w:t xml:space="preserve"> approaches. Consensus was not achieved, </w:t>
      </w:r>
      <w:r w:rsidR="00724964">
        <w:rPr>
          <w:lang w:val="en-US"/>
        </w:rPr>
        <w:t xml:space="preserve">and </w:t>
      </w:r>
      <w:r w:rsidR="003240F3">
        <w:rPr>
          <w:lang w:val="en-US"/>
        </w:rPr>
        <w:t xml:space="preserve">some members </w:t>
      </w:r>
      <w:r w:rsidR="00B75CA5">
        <w:rPr>
          <w:lang w:val="en-US"/>
        </w:rPr>
        <w:t xml:space="preserve">have </w:t>
      </w:r>
      <w:r w:rsidR="003240F3">
        <w:rPr>
          <w:lang w:val="en-US"/>
        </w:rPr>
        <w:t>considered a compromise to</w:t>
      </w:r>
      <w:r w:rsidR="005603DA">
        <w:rPr>
          <w:lang w:val="en-US"/>
        </w:rPr>
        <w:t xml:space="preserve"> convert the paragraph into a note. </w:t>
      </w:r>
      <w:r w:rsidR="007944A3">
        <w:rPr>
          <w:lang w:val="en-US"/>
        </w:rPr>
        <w:t>This paper from the U</w:t>
      </w:r>
      <w:r>
        <w:rPr>
          <w:lang w:val="en-US"/>
        </w:rPr>
        <w:t>nited States of America</w:t>
      </w:r>
      <w:r w:rsidR="007944A3">
        <w:rPr>
          <w:lang w:val="en-US"/>
        </w:rPr>
        <w:t xml:space="preserve"> </w:t>
      </w:r>
      <w:r w:rsidR="00EA587E">
        <w:rPr>
          <w:lang w:val="en-US"/>
        </w:rPr>
        <w:t>Task F</w:t>
      </w:r>
      <w:r w:rsidR="007944A3">
        <w:rPr>
          <w:lang w:val="en-US"/>
        </w:rPr>
        <w:t xml:space="preserve">orce </w:t>
      </w:r>
      <w:r w:rsidR="00EA587E">
        <w:rPr>
          <w:lang w:val="en-US"/>
        </w:rPr>
        <w:t xml:space="preserve">(USTF) </w:t>
      </w:r>
      <w:r w:rsidR="007944A3">
        <w:rPr>
          <w:lang w:val="en-US"/>
        </w:rPr>
        <w:t xml:space="preserve">provides our thoughts </w:t>
      </w:r>
      <w:r w:rsidR="00F7542B">
        <w:rPr>
          <w:lang w:val="en-US"/>
        </w:rPr>
        <w:t>o</w:t>
      </w:r>
      <w:r w:rsidR="007944A3">
        <w:rPr>
          <w:lang w:val="en-US"/>
        </w:rPr>
        <w:t>n this issue and propose</w:t>
      </w:r>
      <w:r w:rsidR="00F7542B">
        <w:rPr>
          <w:lang w:val="en-US"/>
        </w:rPr>
        <w:t xml:space="preserve">s </w:t>
      </w:r>
      <w:r w:rsidR="003240F3">
        <w:rPr>
          <w:lang w:val="en-US"/>
        </w:rPr>
        <w:t>a modified approach</w:t>
      </w:r>
      <w:r w:rsidR="007944A3">
        <w:rPr>
          <w:lang w:val="en-US"/>
        </w:rPr>
        <w:t xml:space="preserve">. </w:t>
      </w:r>
    </w:p>
    <w:p w14:paraId="26657F9B" w14:textId="77777777" w:rsidR="00E269BB" w:rsidRPr="009C61B6" w:rsidRDefault="00E269BB" w:rsidP="00E269BB">
      <w:pPr>
        <w:pStyle w:val="HChG"/>
        <w:ind w:left="2268"/>
      </w:pPr>
      <w:r w:rsidRPr="00E269BB">
        <w:t>Discussion</w:t>
      </w:r>
    </w:p>
    <w:p w14:paraId="1EDD13EF" w14:textId="1D4C95B4" w:rsidR="00EB08BA" w:rsidRDefault="00800875" w:rsidP="002A76D3">
      <w:pPr>
        <w:pStyle w:val="SingleTxtG"/>
        <w:numPr>
          <w:ilvl w:val="0"/>
          <w:numId w:val="18"/>
        </w:numPr>
        <w:ind w:left="1134" w:firstLine="0"/>
        <w:rPr>
          <w:lang w:val="en-US"/>
        </w:rPr>
      </w:pPr>
      <w:r>
        <w:rPr>
          <w:lang w:val="en-US"/>
        </w:rPr>
        <w:t xml:space="preserve">The USTF notes that the </w:t>
      </w:r>
      <w:r w:rsidR="00EA587E">
        <w:rPr>
          <w:lang w:val="en-US"/>
        </w:rPr>
        <w:t xml:space="preserve">proposed </w:t>
      </w:r>
      <w:r>
        <w:rPr>
          <w:lang w:val="en-US"/>
        </w:rPr>
        <w:t xml:space="preserve">exclusion </w:t>
      </w:r>
      <w:r w:rsidR="00B75CA5">
        <w:rPr>
          <w:lang w:val="en-US"/>
        </w:rPr>
        <w:t xml:space="preserve">for certain </w:t>
      </w:r>
      <w:r>
        <w:rPr>
          <w:lang w:val="en-US"/>
        </w:rPr>
        <w:t xml:space="preserve">articles containing explosives that </w:t>
      </w:r>
      <w:r w:rsidR="00B75CA5">
        <w:rPr>
          <w:lang w:val="en-US"/>
        </w:rPr>
        <w:t>exit</w:t>
      </w:r>
      <w:r>
        <w:rPr>
          <w:lang w:val="en-US"/>
        </w:rPr>
        <w:t xml:space="preserve"> Class 1, under </w:t>
      </w:r>
      <w:r w:rsidR="00B75CA5">
        <w:rPr>
          <w:lang w:val="en-US"/>
        </w:rPr>
        <w:t xml:space="preserve">specified </w:t>
      </w:r>
      <w:r>
        <w:rPr>
          <w:lang w:val="en-US"/>
        </w:rPr>
        <w:t xml:space="preserve">conditions, is </w:t>
      </w:r>
      <w:r w:rsidR="00B75CA5">
        <w:rPr>
          <w:lang w:val="en-US"/>
        </w:rPr>
        <w:t xml:space="preserve">useful </w:t>
      </w:r>
      <w:r>
        <w:rPr>
          <w:lang w:val="en-US"/>
        </w:rPr>
        <w:t xml:space="preserve">in order to align the GHS class of Explosives with Class </w:t>
      </w:r>
      <w:r w:rsidR="005B07CF">
        <w:rPr>
          <w:lang w:val="en-US"/>
        </w:rPr>
        <w:t xml:space="preserve">1 </w:t>
      </w:r>
      <w:r>
        <w:rPr>
          <w:lang w:val="en-US"/>
        </w:rPr>
        <w:t xml:space="preserve">of the Model Regulations. Not only is </w:t>
      </w:r>
      <w:r w:rsidR="00EA587E">
        <w:rPr>
          <w:lang w:val="en-US"/>
        </w:rPr>
        <w:t xml:space="preserve">that alignment </w:t>
      </w:r>
      <w:r>
        <w:rPr>
          <w:lang w:val="en-US"/>
        </w:rPr>
        <w:t>one of the fundamental principles stipulated for the work on the Chapter 2.1 – it also avoids conflicting classifications and label</w:t>
      </w:r>
      <w:r w:rsidR="00EA587E">
        <w:rPr>
          <w:lang w:val="en-US"/>
        </w:rPr>
        <w:t>ing requirement</w:t>
      </w:r>
      <w:r>
        <w:rPr>
          <w:lang w:val="en-US"/>
        </w:rPr>
        <w:t>s from the two sets of rules.</w:t>
      </w:r>
      <w:r w:rsidR="00E269BB">
        <w:rPr>
          <w:lang w:val="en-US"/>
        </w:rPr>
        <w:t xml:space="preserve"> The goal of the GHS is to promote </w:t>
      </w:r>
      <w:r w:rsidR="00EA587E">
        <w:rPr>
          <w:lang w:val="en-US"/>
        </w:rPr>
        <w:t xml:space="preserve">the </w:t>
      </w:r>
      <w:r w:rsidR="00E269BB">
        <w:rPr>
          <w:lang w:val="en-US"/>
        </w:rPr>
        <w:t xml:space="preserve">harmonization of hazard </w:t>
      </w:r>
      <w:r w:rsidR="00EA587E">
        <w:rPr>
          <w:lang w:val="en-US"/>
        </w:rPr>
        <w:t xml:space="preserve">communication </w:t>
      </w:r>
      <w:r w:rsidR="00E269BB">
        <w:rPr>
          <w:lang w:val="en-US"/>
        </w:rPr>
        <w:t xml:space="preserve">on a global basis and as such it is imperative that the Sub-committee reach agreement on a modification of the current </w:t>
      </w:r>
      <w:r w:rsidR="00EA587E">
        <w:rPr>
          <w:lang w:val="en-US"/>
        </w:rPr>
        <w:t xml:space="preserve">proposed 2.1.1.2.2(d) </w:t>
      </w:r>
      <w:r w:rsidR="00E269BB">
        <w:rPr>
          <w:lang w:val="en-US"/>
        </w:rPr>
        <w:t xml:space="preserve">to ensure appropriate application of GHS principles in regulations that are aligned with the GHS.  </w:t>
      </w:r>
    </w:p>
    <w:p w14:paraId="22527B43" w14:textId="33502C03" w:rsidR="00CE7F8D" w:rsidRDefault="00E269BB" w:rsidP="002A76D3">
      <w:pPr>
        <w:pStyle w:val="SingleTxtG"/>
        <w:numPr>
          <w:ilvl w:val="0"/>
          <w:numId w:val="18"/>
        </w:numPr>
        <w:ind w:left="1134" w:firstLine="0"/>
        <w:rPr>
          <w:lang w:val="en-US"/>
        </w:rPr>
      </w:pPr>
      <w:r>
        <w:rPr>
          <w:lang w:val="en-US"/>
        </w:rPr>
        <w:t xml:space="preserve">The USTF believe </w:t>
      </w:r>
      <w:r w:rsidR="00475CD0">
        <w:rPr>
          <w:lang w:val="en-US"/>
        </w:rPr>
        <w:t xml:space="preserve">the exemption as </w:t>
      </w:r>
      <w:r w:rsidR="00EA587E">
        <w:rPr>
          <w:lang w:val="en-US"/>
        </w:rPr>
        <w:t xml:space="preserve">proposed </w:t>
      </w:r>
      <w:r w:rsidR="00475CD0">
        <w:rPr>
          <w:lang w:val="en-US"/>
        </w:rPr>
        <w:t xml:space="preserve">may have been too broad. Still, </w:t>
      </w:r>
      <w:r>
        <w:rPr>
          <w:lang w:val="en-US"/>
        </w:rPr>
        <w:t xml:space="preserve">it </w:t>
      </w:r>
      <w:r w:rsidR="00EA587E">
        <w:rPr>
          <w:lang w:val="en-US"/>
        </w:rPr>
        <w:t xml:space="preserve">would </w:t>
      </w:r>
      <w:r>
        <w:rPr>
          <w:lang w:val="en-US"/>
        </w:rPr>
        <w:t xml:space="preserve">be a significant missed opportunity to simply move </w:t>
      </w:r>
      <w:r w:rsidR="004434E1">
        <w:rPr>
          <w:lang w:val="en-US"/>
        </w:rPr>
        <w:t>this criterion</w:t>
      </w:r>
      <w:r>
        <w:rPr>
          <w:lang w:val="en-US"/>
        </w:rPr>
        <w:t xml:space="preserve"> into a note or to make this a competent authority decision. </w:t>
      </w:r>
      <w:r w:rsidR="009A2A69">
        <w:rPr>
          <w:lang w:val="en-US"/>
        </w:rPr>
        <w:t>A subset of ex</w:t>
      </w:r>
      <w:r w:rsidR="00475CD0">
        <w:rPr>
          <w:lang w:val="en-US"/>
        </w:rPr>
        <w:t xml:space="preserve">plosives </w:t>
      </w:r>
      <w:r w:rsidR="009A2A69">
        <w:rPr>
          <w:lang w:val="en-US"/>
        </w:rPr>
        <w:t xml:space="preserve">exiting Class 1 </w:t>
      </w:r>
      <w:r w:rsidR="00475CD0">
        <w:rPr>
          <w:lang w:val="en-US"/>
        </w:rPr>
        <w:t xml:space="preserve">should still be completely </w:t>
      </w:r>
      <w:r w:rsidR="00EA587E">
        <w:rPr>
          <w:lang w:val="en-US"/>
        </w:rPr>
        <w:t>excluded from the class of explosives</w:t>
      </w:r>
      <w:r w:rsidR="00475CD0">
        <w:rPr>
          <w:lang w:val="en-US"/>
        </w:rPr>
        <w:t xml:space="preserve">, as we believe is the </w:t>
      </w:r>
      <w:r w:rsidR="006C57FD">
        <w:rPr>
          <w:lang w:val="en-US"/>
        </w:rPr>
        <w:t xml:space="preserve">current </w:t>
      </w:r>
      <w:r w:rsidR="00475CD0">
        <w:rPr>
          <w:lang w:val="en-US"/>
        </w:rPr>
        <w:t xml:space="preserve">practice </w:t>
      </w:r>
      <w:r w:rsidR="00475CD0">
        <w:rPr>
          <w:lang w:val="en-US"/>
        </w:rPr>
        <w:lastRenderedPageBreak/>
        <w:t xml:space="preserve">globally, e.g., </w:t>
      </w:r>
      <w:r w:rsidR="00077A9B">
        <w:rPr>
          <w:lang w:val="en-US"/>
        </w:rPr>
        <w:t xml:space="preserve">for </w:t>
      </w:r>
      <w:r w:rsidR="00475CD0">
        <w:rPr>
          <w:lang w:val="en-US"/>
        </w:rPr>
        <w:t>matches. Others</w:t>
      </w:r>
      <w:r w:rsidR="00077A9B">
        <w:rPr>
          <w:lang w:val="en-US"/>
        </w:rPr>
        <w:t>,</w:t>
      </w:r>
      <w:r w:rsidR="00475CD0">
        <w:rPr>
          <w:lang w:val="en-US"/>
        </w:rPr>
        <w:t xml:space="preserve"> on a case by case basis</w:t>
      </w:r>
      <w:r w:rsidR="00077A9B">
        <w:rPr>
          <w:lang w:val="en-US"/>
        </w:rPr>
        <w:t>,</w:t>
      </w:r>
      <w:r w:rsidR="00475CD0">
        <w:rPr>
          <w:lang w:val="en-US"/>
        </w:rPr>
        <w:t xml:space="preserve"> may be exempted by a competent authority </w:t>
      </w:r>
      <w:proofErr w:type="gramStart"/>
      <w:r w:rsidR="00475CD0">
        <w:rPr>
          <w:lang w:val="en-US"/>
        </w:rPr>
        <w:t>on the basis of</w:t>
      </w:r>
      <w:proofErr w:type="gramEnd"/>
      <w:r w:rsidR="00475CD0">
        <w:rPr>
          <w:lang w:val="en-US"/>
        </w:rPr>
        <w:t xml:space="preserve"> equivalency to the </w:t>
      </w:r>
      <w:r w:rsidR="007D722E" w:rsidRPr="007D722E">
        <w:rPr>
          <w:lang w:val="en-US"/>
        </w:rPr>
        <w:t>exclusion</w:t>
      </w:r>
      <w:r w:rsidR="00475CD0">
        <w:rPr>
          <w:lang w:val="en-US"/>
        </w:rPr>
        <w:t xml:space="preserve"> criteria in GHS 2.1.1.2.1(b)</w:t>
      </w:r>
      <w:r w:rsidR="007D722E">
        <w:rPr>
          <w:lang w:val="en-US"/>
        </w:rPr>
        <w:t xml:space="preserve"> (hereafter, “exclusion criteria”)</w:t>
      </w:r>
      <w:r w:rsidR="00475CD0">
        <w:rPr>
          <w:lang w:val="en-US"/>
        </w:rPr>
        <w:t xml:space="preserve">. </w:t>
      </w:r>
      <w:r w:rsidR="00790689">
        <w:rPr>
          <w:lang w:val="en-US"/>
        </w:rPr>
        <w:t xml:space="preserve">Finally, </w:t>
      </w:r>
      <w:r w:rsidR="006C57FD">
        <w:rPr>
          <w:lang w:val="en-US"/>
        </w:rPr>
        <w:t xml:space="preserve">the </w:t>
      </w:r>
      <w:r w:rsidR="00B75CA5">
        <w:rPr>
          <w:lang w:val="en-US"/>
        </w:rPr>
        <w:t>remaining</w:t>
      </w:r>
      <w:r w:rsidR="00790689">
        <w:rPr>
          <w:lang w:val="en-US"/>
        </w:rPr>
        <w:t xml:space="preserve"> explosives </w:t>
      </w:r>
      <w:r w:rsidR="00B75CA5">
        <w:rPr>
          <w:lang w:val="en-US"/>
        </w:rPr>
        <w:t xml:space="preserve">outside of Class 1 </w:t>
      </w:r>
      <w:r w:rsidR="00790689">
        <w:rPr>
          <w:lang w:val="en-US"/>
        </w:rPr>
        <w:t xml:space="preserve">may still enjoy consensus </w:t>
      </w:r>
      <w:r w:rsidR="002A2A95">
        <w:rPr>
          <w:lang w:val="en-US"/>
        </w:rPr>
        <w:t>for</w:t>
      </w:r>
      <w:r w:rsidR="00790689">
        <w:rPr>
          <w:lang w:val="en-US"/>
        </w:rPr>
        <w:t xml:space="preserve"> an exemption </w:t>
      </w:r>
      <w:r w:rsidR="002A2A95">
        <w:rPr>
          <w:lang w:val="en-US"/>
        </w:rPr>
        <w:t>from</w:t>
      </w:r>
      <w:r w:rsidR="00790689">
        <w:rPr>
          <w:lang w:val="en-US"/>
        </w:rPr>
        <w:t xml:space="preserve"> </w:t>
      </w:r>
      <w:proofErr w:type="gramStart"/>
      <w:r w:rsidR="00790689">
        <w:rPr>
          <w:lang w:val="en-US"/>
        </w:rPr>
        <w:t>label</w:t>
      </w:r>
      <w:r w:rsidR="00DA7F19">
        <w:rPr>
          <w:lang w:val="en-US"/>
        </w:rPr>
        <w:t>l</w:t>
      </w:r>
      <w:r w:rsidR="00790689">
        <w:rPr>
          <w:lang w:val="en-US"/>
        </w:rPr>
        <w:t>ing, and</w:t>
      </w:r>
      <w:proofErr w:type="gramEnd"/>
      <w:r w:rsidR="00790689">
        <w:rPr>
          <w:lang w:val="en-US"/>
        </w:rPr>
        <w:t xml:space="preserve"> would benefit from a harmonized approach in this regard. </w:t>
      </w:r>
      <w:r w:rsidR="00475CD0">
        <w:rPr>
          <w:lang w:val="en-US"/>
        </w:rPr>
        <w:t xml:space="preserve"> </w:t>
      </w:r>
    </w:p>
    <w:p w14:paraId="514F7F19" w14:textId="70E62ADA" w:rsidR="00EB08BA" w:rsidRPr="00EB08BA" w:rsidRDefault="00EB08BA" w:rsidP="00EB08BA">
      <w:pPr>
        <w:pStyle w:val="HChG"/>
        <w:ind w:left="2268"/>
        <w:rPr>
          <w:lang w:val="en-US"/>
        </w:rPr>
      </w:pPr>
      <w:r>
        <w:rPr>
          <w:lang w:val="en-US"/>
        </w:rPr>
        <w:t>Explosive</w:t>
      </w:r>
      <w:r w:rsidR="00090F8D">
        <w:rPr>
          <w:lang w:val="en-US"/>
        </w:rPr>
        <w:t xml:space="preserve"> </w:t>
      </w:r>
      <w:r w:rsidR="00DA7F19">
        <w:rPr>
          <w:lang w:val="en-US"/>
        </w:rPr>
        <w:t>a</w:t>
      </w:r>
      <w:r w:rsidR="00090F8D">
        <w:rPr>
          <w:lang w:val="en-US"/>
        </w:rPr>
        <w:t>rticles</w:t>
      </w:r>
      <w:r>
        <w:rPr>
          <w:lang w:val="en-US"/>
        </w:rPr>
        <w:t xml:space="preserve"> </w:t>
      </w:r>
      <w:r w:rsidR="00DA7F19">
        <w:rPr>
          <w:lang w:val="en-US"/>
        </w:rPr>
        <w:t>d</w:t>
      </w:r>
      <w:r>
        <w:rPr>
          <w:lang w:val="en-US"/>
        </w:rPr>
        <w:t xml:space="preserve">esigned </w:t>
      </w:r>
      <w:r w:rsidR="00DA7F19">
        <w:rPr>
          <w:lang w:val="en-US"/>
        </w:rPr>
        <w:t>f</w:t>
      </w:r>
      <w:r>
        <w:rPr>
          <w:lang w:val="en-US"/>
        </w:rPr>
        <w:t xml:space="preserve">or </w:t>
      </w:r>
      <w:r w:rsidR="00DA7F19">
        <w:rPr>
          <w:lang w:val="en-US"/>
        </w:rPr>
        <w:t>i</w:t>
      </w:r>
      <w:r>
        <w:rPr>
          <w:lang w:val="en-US"/>
        </w:rPr>
        <w:t xml:space="preserve">nitiation </w:t>
      </w:r>
      <w:r w:rsidR="00DA7F19">
        <w:rPr>
          <w:lang w:val="en-US"/>
        </w:rPr>
        <w:t>i</w:t>
      </w:r>
      <w:r>
        <w:rPr>
          <w:lang w:val="en-US"/>
        </w:rPr>
        <w:t xml:space="preserve">n </w:t>
      </w:r>
      <w:r w:rsidR="00DA7F19">
        <w:rPr>
          <w:lang w:val="en-US"/>
        </w:rPr>
        <w:t>e</w:t>
      </w:r>
      <w:r>
        <w:rPr>
          <w:lang w:val="en-US"/>
        </w:rPr>
        <w:t>quipment</w:t>
      </w:r>
    </w:p>
    <w:p w14:paraId="71CBC00A" w14:textId="77777777" w:rsidR="003240F3" w:rsidRDefault="00E21C1B" w:rsidP="00A865E5">
      <w:pPr>
        <w:pStyle w:val="SingleTxtG"/>
        <w:numPr>
          <w:ilvl w:val="0"/>
          <w:numId w:val="18"/>
        </w:numPr>
        <w:ind w:left="1134" w:firstLine="0"/>
        <w:rPr>
          <w:lang w:val="en-US"/>
        </w:rPr>
      </w:pPr>
      <w:r w:rsidRPr="00A865E5">
        <w:rPr>
          <w:lang w:val="en-US"/>
        </w:rPr>
        <w:t xml:space="preserve">Some explosive articles </w:t>
      </w:r>
      <w:r w:rsidR="00EB08BA">
        <w:rPr>
          <w:lang w:val="en-US"/>
        </w:rPr>
        <w:t xml:space="preserve">exit Class 1 </w:t>
      </w:r>
      <w:r w:rsidR="007D722E">
        <w:rPr>
          <w:lang w:val="en-US"/>
        </w:rPr>
        <w:t>once they are</w:t>
      </w:r>
      <w:r w:rsidRPr="00A865E5">
        <w:rPr>
          <w:lang w:val="en-US"/>
        </w:rPr>
        <w:t xml:space="preserve"> installed in larger complex devices that exhibit no explosive reaction when the explosive article is actuated. However, </w:t>
      </w:r>
      <w:r w:rsidR="00EB08BA">
        <w:rPr>
          <w:lang w:val="en-US"/>
        </w:rPr>
        <w:t xml:space="preserve">before or after the </w:t>
      </w:r>
      <w:r w:rsidR="002A2A95">
        <w:rPr>
          <w:lang w:val="en-US"/>
        </w:rPr>
        <w:t>useful</w:t>
      </w:r>
      <w:r w:rsidR="00EB08BA">
        <w:rPr>
          <w:lang w:val="en-US"/>
        </w:rPr>
        <w:t xml:space="preserve"> service</w:t>
      </w:r>
      <w:r w:rsidR="002A2A95">
        <w:rPr>
          <w:lang w:val="en-US"/>
        </w:rPr>
        <w:t xml:space="preserve"> life</w:t>
      </w:r>
      <w:r w:rsidRPr="00A865E5">
        <w:rPr>
          <w:lang w:val="en-US"/>
        </w:rPr>
        <w:t xml:space="preserve">, </w:t>
      </w:r>
      <w:r w:rsidR="00EB08BA">
        <w:rPr>
          <w:lang w:val="en-US"/>
        </w:rPr>
        <w:t xml:space="preserve">e.g., before installation or </w:t>
      </w:r>
      <w:r w:rsidR="002A2A95">
        <w:rPr>
          <w:lang w:val="en-US"/>
        </w:rPr>
        <w:t>after</w:t>
      </w:r>
      <w:r w:rsidR="00EB08BA">
        <w:rPr>
          <w:lang w:val="en-US"/>
        </w:rPr>
        <w:t xml:space="preserve"> decommissioning, these</w:t>
      </w:r>
      <w:r w:rsidR="00191F73">
        <w:rPr>
          <w:lang w:val="en-US"/>
        </w:rPr>
        <w:t xml:space="preserve"> </w:t>
      </w:r>
      <w:r w:rsidRPr="00A865E5">
        <w:rPr>
          <w:lang w:val="en-US"/>
        </w:rPr>
        <w:t xml:space="preserve">explosive articles may exhibit properties </w:t>
      </w:r>
      <w:r w:rsidR="00A865E5" w:rsidRPr="00A865E5">
        <w:rPr>
          <w:lang w:val="en-US"/>
        </w:rPr>
        <w:t xml:space="preserve">exceeding the </w:t>
      </w:r>
      <w:r w:rsidR="009D1F7D" w:rsidRPr="009D1F7D">
        <w:rPr>
          <w:lang w:val="en-US"/>
        </w:rPr>
        <w:t>exclusion</w:t>
      </w:r>
      <w:r w:rsidR="00A865E5" w:rsidRPr="00A865E5">
        <w:rPr>
          <w:lang w:val="en-US"/>
        </w:rPr>
        <w:t xml:space="preserve"> criteria in </w:t>
      </w:r>
      <w:r w:rsidR="00A865E5" w:rsidRPr="00BA7096">
        <w:rPr>
          <w:lang w:val="en-US"/>
        </w:rPr>
        <w:t>GHS 2.1.1.2.1(b)</w:t>
      </w:r>
      <w:r w:rsidR="00EB08BA">
        <w:rPr>
          <w:lang w:val="en-US"/>
        </w:rPr>
        <w:t xml:space="preserve">. </w:t>
      </w:r>
      <w:r w:rsidR="00632EAA">
        <w:rPr>
          <w:lang w:val="en-US"/>
        </w:rPr>
        <w:t>Handling or storing</w:t>
      </w:r>
      <w:r w:rsidR="003240F3">
        <w:rPr>
          <w:lang w:val="en-US"/>
        </w:rPr>
        <w:t xml:space="preserve"> as if they are not explosives could be dangerous.</w:t>
      </w:r>
    </w:p>
    <w:p w14:paraId="3093374B" w14:textId="77777777" w:rsidR="00A865E5" w:rsidRDefault="00A865E5" w:rsidP="00A865E5">
      <w:pPr>
        <w:pStyle w:val="SingleTxtG"/>
        <w:numPr>
          <w:ilvl w:val="0"/>
          <w:numId w:val="18"/>
        </w:numPr>
        <w:ind w:left="1134" w:firstLine="0"/>
        <w:rPr>
          <w:lang w:val="en-US"/>
        </w:rPr>
      </w:pPr>
      <w:r w:rsidRPr="00A865E5">
        <w:rPr>
          <w:lang w:val="en-US"/>
        </w:rPr>
        <w:t>The USTF desire a way to oversee explosives safety when the explosives are taken out of use</w:t>
      </w:r>
      <w:r w:rsidR="00191F73">
        <w:rPr>
          <w:lang w:val="en-US"/>
        </w:rPr>
        <w:t xml:space="preserve"> (</w:t>
      </w:r>
      <w:r w:rsidR="002A2A95">
        <w:rPr>
          <w:lang w:val="en-US"/>
        </w:rPr>
        <w:t xml:space="preserve">i.e., “use” </w:t>
      </w:r>
      <w:r w:rsidR="00191F73">
        <w:rPr>
          <w:lang w:val="en-US"/>
        </w:rPr>
        <w:t xml:space="preserve">in the context of proposed section </w:t>
      </w:r>
      <w:r w:rsidR="00191F73">
        <w:t>2.1.1.3.4</w:t>
      </w:r>
      <w:r w:rsidR="00191F73">
        <w:rPr>
          <w:lang w:val="en-US"/>
        </w:rPr>
        <w:t>)</w:t>
      </w:r>
      <w:r w:rsidRPr="00A865E5">
        <w:rPr>
          <w:lang w:val="en-US"/>
        </w:rPr>
        <w:t xml:space="preserve">, for example de-installation, unless they are </w:t>
      </w:r>
      <w:r w:rsidR="00632EAA">
        <w:rPr>
          <w:lang w:val="en-US"/>
        </w:rPr>
        <w:t xml:space="preserve">promptly </w:t>
      </w:r>
      <w:r w:rsidRPr="00A865E5">
        <w:rPr>
          <w:lang w:val="en-US"/>
        </w:rPr>
        <w:t xml:space="preserve">put back into the transport configuration.  </w:t>
      </w:r>
      <w:r w:rsidR="002A2A95">
        <w:rPr>
          <w:lang w:val="en-US"/>
        </w:rPr>
        <w:t xml:space="preserve">In this scenario it is unhelpful for the classification, explosive or otherwise, to be ambiguous. </w:t>
      </w:r>
      <w:r w:rsidRPr="00A865E5">
        <w:rPr>
          <w:lang w:val="en-US"/>
        </w:rPr>
        <w:t xml:space="preserve">The text in 2.1.1.2.2(d) was developed with the specific intent to address a concern of the US regarding the number of categories that would be needed in the chapter.  In our opinion, </w:t>
      </w:r>
      <w:r w:rsidR="002A2A95">
        <w:rPr>
          <w:lang w:val="en-US"/>
        </w:rPr>
        <w:t xml:space="preserve">provisions replacing </w:t>
      </w:r>
      <w:r w:rsidRPr="00A865E5">
        <w:rPr>
          <w:lang w:val="en-US"/>
        </w:rPr>
        <w:t>2.1.1.2.2(d)</w:t>
      </w:r>
      <w:r w:rsidR="002A2A95">
        <w:rPr>
          <w:lang w:val="en-US"/>
        </w:rPr>
        <w:t xml:space="preserve"> are</w:t>
      </w:r>
      <w:r w:rsidRPr="00A865E5">
        <w:rPr>
          <w:lang w:val="en-US"/>
        </w:rPr>
        <w:t xml:space="preserve"> essential to reaching consensus on the revised Chapter 2.1 in this biennium. </w:t>
      </w:r>
    </w:p>
    <w:p w14:paraId="1ABD153C" w14:textId="7BE9A092" w:rsidR="00EB08BA" w:rsidRPr="00822FCE" w:rsidRDefault="00EB08BA" w:rsidP="00EB08BA">
      <w:pPr>
        <w:pStyle w:val="SingleTxtG"/>
        <w:numPr>
          <w:ilvl w:val="0"/>
          <w:numId w:val="18"/>
        </w:numPr>
        <w:ind w:left="1134" w:firstLine="0"/>
        <w:rPr>
          <w:lang w:val="en-US"/>
        </w:rPr>
      </w:pPr>
      <w:r w:rsidRPr="00822FCE">
        <w:rPr>
          <w:lang w:val="en-US"/>
        </w:rPr>
        <w:t xml:space="preserve">Here are some examples of goods in classes 2, </w:t>
      </w:r>
      <w:r w:rsidR="00D853A9">
        <w:rPr>
          <w:lang w:val="en-US"/>
        </w:rPr>
        <w:t>3</w:t>
      </w:r>
      <w:r w:rsidR="00D853A9" w:rsidRPr="00822FCE">
        <w:rPr>
          <w:lang w:val="en-US"/>
        </w:rPr>
        <w:t xml:space="preserve"> </w:t>
      </w:r>
      <w:r w:rsidRPr="00822FCE">
        <w:rPr>
          <w:lang w:val="en-US"/>
        </w:rPr>
        <w:t>and 9</w:t>
      </w:r>
      <w:r>
        <w:rPr>
          <w:lang w:val="en-US"/>
        </w:rPr>
        <w:t xml:space="preserve"> that were considered</w:t>
      </w:r>
      <w:r w:rsidRPr="00822FCE">
        <w:rPr>
          <w:lang w:val="en-US"/>
        </w:rPr>
        <w:t>:</w:t>
      </w:r>
    </w:p>
    <w:p w14:paraId="62E4623B" w14:textId="77777777" w:rsidR="00EB08BA" w:rsidRDefault="00EB08BA" w:rsidP="00DA7F19">
      <w:pPr>
        <w:pStyle w:val="SingleTxtG"/>
        <w:numPr>
          <w:ilvl w:val="0"/>
          <w:numId w:val="29"/>
        </w:numPr>
        <w:ind w:left="1701" w:firstLine="0"/>
      </w:pPr>
      <w:r w:rsidRPr="00822FCE">
        <w:rPr>
          <w:lang w:val="en-US"/>
        </w:rPr>
        <w:t xml:space="preserve">UN 1044, FIRE EXTINGUISHERS, (Division 2.2 Gas) which utilize SP 225 to have a 3.2g </w:t>
      </w:r>
      <w:r>
        <w:rPr>
          <w:lang w:val="en-US"/>
        </w:rPr>
        <w:t>net explosive mass</w:t>
      </w:r>
      <w:r w:rsidRPr="00822FCE">
        <w:rPr>
          <w:lang w:val="en-US"/>
        </w:rPr>
        <w:t xml:space="preserve"> power device cartridge installed</w:t>
      </w:r>
      <w:r w:rsidR="003A5FED">
        <w:rPr>
          <w:lang w:val="en-US"/>
        </w:rPr>
        <w:t xml:space="preserve">. When </w:t>
      </w:r>
      <w:r w:rsidR="0037522C">
        <w:rPr>
          <w:lang w:val="en-US"/>
        </w:rPr>
        <w:t xml:space="preserve">not installed, </w:t>
      </w:r>
      <w:r w:rsidR="003311D1">
        <w:rPr>
          <w:lang w:val="en-US"/>
        </w:rPr>
        <w:t xml:space="preserve">the cartridge is transported </w:t>
      </w:r>
      <w:r w:rsidR="0037522C">
        <w:rPr>
          <w:lang w:val="en-US"/>
        </w:rPr>
        <w:t>as 1.4C or 1.</w:t>
      </w:r>
      <w:proofErr w:type="gramStart"/>
      <w:r w:rsidR="0037522C">
        <w:rPr>
          <w:lang w:val="en-US"/>
        </w:rPr>
        <w:t>4S, and</w:t>
      </w:r>
      <w:proofErr w:type="gramEnd"/>
      <w:r w:rsidR="0037522C">
        <w:rPr>
          <w:lang w:val="en-US"/>
        </w:rPr>
        <w:t xml:space="preserve"> </w:t>
      </w:r>
      <w:r w:rsidR="00687AF0">
        <w:rPr>
          <w:lang w:val="en-US"/>
        </w:rPr>
        <w:t xml:space="preserve">classified </w:t>
      </w:r>
      <w:r w:rsidR="0037522C">
        <w:rPr>
          <w:lang w:val="en-US"/>
        </w:rPr>
        <w:t xml:space="preserve">as </w:t>
      </w:r>
      <w:r w:rsidR="003A5FED">
        <w:rPr>
          <w:lang w:val="en-US"/>
        </w:rPr>
        <w:t>Sub-Category 2B or 2C</w:t>
      </w:r>
      <w:r w:rsidR="0037522C">
        <w:rPr>
          <w:lang w:val="en-US"/>
        </w:rPr>
        <w:t xml:space="preserve"> in the proposed system</w:t>
      </w:r>
      <w:r w:rsidR="00687AF0">
        <w:rPr>
          <w:lang w:val="en-US"/>
        </w:rPr>
        <w:t xml:space="preserve">. Once installed on a fire extinguisher, for transport the entire assembly of explosive and gas is classified only as a gas </w:t>
      </w:r>
      <w:proofErr w:type="gramStart"/>
      <w:r w:rsidR="00687AF0">
        <w:rPr>
          <w:lang w:val="en-US"/>
        </w:rPr>
        <w:t>on the basis of</w:t>
      </w:r>
      <w:proofErr w:type="gramEnd"/>
      <w:r w:rsidR="00687AF0">
        <w:rPr>
          <w:lang w:val="en-US"/>
        </w:rPr>
        <w:t xml:space="preserve"> the special provision and is not evaluated using the exclusion criteria</w:t>
      </w:r>
      <w:r w:rsidR="003311D1">
        <w:rPr>
          <w:lang w:val="en-US"/>
        </w:rPr>
        <w:t xml:space="preserve">.  </w:t>
      </w:r>
      <w:r w:rsidRPr="00822FCE">
        <w:rPr>
          <w:lang w:val="en-US"/>
        </w:rPr>
        <w:t xml:space="preserve"> </w:t>
      </w:r>
      <w:r w:rsidR="00687AF0">
        <w:rPr>
          <w:lang w:val="en-US"/>
        </w:rPr>
        <w:t>When</w:t>
      </w:r>
      <w:r w:rsidR="00687AF0" w:rsidRPr="00822FCE">
        <w:rPr>
          <w:lang w:val="en-US"/>
        </w:rPr>
        <w:t xml:space="preserve"> </w:t>
      </w:r>
      <w:r w:rsidRPr="00822FCE">
        <w:rPr>
          <w:lang w:val="en-US"/>
        </w:rPr>
        <w:t xml:space="preserve">the fire extinguisher is </w:t>
      </w:r>
      <w:r w:rsidR="00687AF0">
        <w:rPr>
          <w:lang w:val="en-US"/>
        </w:rPr>
        <w:t xml:space="preserve">later </w:t>
      </w:r>
      <w:r w:rsidRPr="00822FCE">
        <w:rPr>
          <w:lang w:val="en-US"/>
        </w:rPr>
        <w:t xml:space="preserve">decommissioned and disassembled, and </w:t>
      </w:r>
      <w:r w:rsidR="00687AF0">
        <w:rPr>
          <w:lang w:val="en-US"/>
        </w:rPr>
        <w:t xml:space="preserve">if </w:t>
      </w:r>
      <w:r w:rsidRPr="00822FCE">
        <w:rPr>
          <w:lang w:val="en-US"/>
        </w:rPr>
        <w:t xml:space="preserve">the </w:t>
      </w:r>
      <w:r w:rsidR="00687AF0">
        <w:rPr>
          <w:lang w:val="en-US"/>
        </w:rPr>
        <w:t>cartridge is then</w:t>
      </w:r>
      <w:r w:rsidRPr="00822FCE">
        <w:rPr>
          <w:lang w:val="en-US"/>
        </w:rPr>
        <w:t xml:space="preserve"> </w:t>
      </w:r>
      <w:r w:rsidR="003A5FED">
        <w:rPr>
          <w:lang w:val="en-US"/>
        </w:rPr>
        <w:t xml:space="preserve">transported alone, it would </w:t>
      </w:r>
      <w:r w:rsidR="003311D1">
        <w:rPr>
          <w:lang w:val="en-US"/>
        </w:rPr>
        <w:t xml:space="preserve">no longer meet the requirement of SP225 and must be </w:t>
      </w:r>
      <w:r w:rsidR="00A6730E">
        <w:rPr>
          <w:lang w:val="en-US"/>
        </w:rPr>
        <w:t xml:space="preserve">transported </w:t>
      </w:r>
      <w:r w:rsidR="00377CC7" w:rsidRPr="00687AF0">
        <w:rPr>
          <w:lang w:val="en-US"/>
        </w:rPr>
        <w:t>as 1.4C or 1.4S</w:t>
      </w:r>
      <w:r w:rsidR="00377CC7">
        <w:rPr>
          <w:lang w:val="en-US"/>
        </w:rPr>
        <w:t xml:space="preserve"> in</w:t>
      </w:r>
      <w:r w:rsidR="003A5FED">
        <w:rPr>
          <w:lang w:val="en-US"/>
        </w:rPr>
        <w:t xml:space="preserve"> Class 1. </w:t>
      </w:r>
      <w:r w:rsidR="00A6730E">
        <w:rPr>
          <w:lang w:val="en-US"/>
        </w:rPr>
        <w:t>In terms of</w:t>
      </w:r>
      <w:r w:rsidR="003651D0">
        <w:rPr>
          <w:lang w:val="en-US"/>
        </w:rPr>
        <w:t xml:space="preserve"> GHS, when </w:t>
      </w:r>
      <w:r w:rsidRPr="00822FCE">
        <w:rPr>
          <w:lang w:val="en-US"/>
        </w:rPr>
        <w:t xml:space="preserve">cartridges are taken out of “use” </w:t>
      </w:r>
      <w:r w:rsidR="00687AF0">
        <w:rPr>
          <w:lang w:val="en-US"/>
        </w:rPr>
        <w:t>and removed from the fire extinguisher</w:t>
      </w:r>
      <w:r w:rsidRPr="00822FCE">
        <w:rPr>
          <w:lang w:val="en-US"/>
        </w:rPr>
        <w:t xml:space="preserve">, </w:t>
      </w:r>
      <w:r w:rsidR="00BE6311">
        <w:rPr>
          <w:lang w:val="en-US"/>
        </w:rPr>
        <w:t xml:space="preserve">authorities may </w:t>
      </w:r>
      <w:r w:rsidR="00687AF0">
        <w:rPr>
          <w:lang w:val="en-US"/>
        </w:rPr>
        <w:t xml:space="preserve">then </w:t>
      </w:r>
      <w:r w:rsidR="00BE6311">
        <w:rPr>
          <w:lang w:val="en-US"/>
        </w:rPr>
        <w:t>wish to</w:t>
      </w:r>
      <w:r w:rsidRPr="00822FCE">
        <w:rPr>
          <w:lang w:val="en-US"/>
        </w:rPr>
        <w:t xml:space="preserve"> control</w:t>
      </w:r>
      <w:r w:rsidR="00BE6311">
        <w:rPr>
          <w:lang w:val="en-US"/>
        </w:rPr>
        <w:t xml:space="preserve"> </w:t>
      </w:r>
      <w:r w:rsidR="00687AF0">
        <w:rPr>
          <w:lang w:val="en-US"/>
        </w:rPr>
        <w:t xml:space="preserve">the explosive properties </w:t>
      </w:r>
      <w:r w:rsidR="00BE6311">
        <w:rPr>
          <w:lang w:val="en-US"/>
        </w:rPr>
        <w:t>in storage.</w:t>
      </w:r>
      <w:r w:rsidRPr="00822FCE">
        <w:rPr>
          <w:lang w:val="en-US"/>
        </w:rPr>
        <w:t xml:space="preserve"> </w:t>
      </w:r>
      <w:r w:rsidR="003E5F65">
        <w:rPr>
          <w:lang w:val="en-US"/>
        </w:rPr>
        <w:t xml:space="preserve">It is normal for storage controls to vary with the classification. </w:t>
      </w:r>
      <w:r w:rsidRPr="00822FCE">
        <w:rPr>
          <w:lang w:val="en-US"/>
        </w:rPr>
        <w:t xml:space="preserve">The uninstalled power device cartridges should be </w:t>
      </w:r>
      <w:r w:rsidR="003651D0">
        <w:rPr>
          <w:lang w:val="en-US"/>
        </w:rPr>
        <w:t>in a configuration for storage that is not Category 1 unless they are in an explosives</w:t>
      </w:r>
      <w:r w:rsidR="003E5F65">
        <w:rPr>
          <w:lang w:val="en-US"/>
        </w:rPr>
        <w:t>-permitted</w:t>
      </w:r>
      <w:r w:rsidR="003651D0">
        <w:rPr>
          <w:lang w:val="en-US"/>
        </w:rPr>
        <w:t xml:space="preserve"> facility</w:t>
      </w:r>
      <w:r w:rsidRPr="00822FCE">
        <w:rPr>
          <w:lang w:val="en-US"/>
        </w:rPr>
        <w:t xml:space="preserve">. </w:t>
      </w:r>
      <w:r w:rsidR="00A6730E">
        <w:rPr>
          <w:lang w:val="en-US"/>
        </w:rPr>
        <w:t>According to the proposed system, i</w:t>
      </w:r>
      <w:r w:rsidRPr="00822FCE">
        <w:rPr>
          <w:lang w:val="en-US"/>
        </w:rPr>
        <w:t xml:space="preserve">f </w:t>
      </w:r>
      <w:r w:rsidR="003E5F65">
        <w:rPr>
          <w:lang w:val="en-US"/>
        </w:rPr>
        <w:t xml:space="preserve">the cartridges </w:t>
      </w:r>
      <w:r w:rsidRPr="00822FCE">
        <w:rPr>
          <w:lang w:val="en-US"/>
        </w:rPr>
        <w:t>are not repacked</w:t>
      </w:r>
      <w:r w:rsidR="003651D0">
        <w:rPr>
          <w:lang w:val="en-US"/>
        </w:rPr>
        <w:t xml:space="preserve"> in the transport configuration</w:t>
      </w:r>
      <w:r w:rsidRPr="00822FCE">
        <w:rPr>
          <w:lang w:val="en-US"/>
        </w:rPr>
        <w:t xml:space="preserve">, then they are a Cat 1 explosive, </w:t>
      </w:r>
      <w:r w:rsidR="003651D0">
        <w:rPr>
          <w:lang w:val="en-US"/>
        </w:rPr>
        <w:t>unless</w:t>
      </w:r>
      <w:r w:rsidRPr="00822FCE">
        <w:rPr>
          <w:lang w:val="en-US"/>
        </w:rPr>
        <w:t xml:space="preserve"> they are packaging independent or placed in a primary packaging, </w:t>
      </w:r>
      <w:r w:rsidR="003651D0">
        <w:rPr>
          <w:lang w:val="en-US"/>
        </w:rPr>
        <w:t>in which case they</w:t>
      </w:r>
      <w:r w:rsidRPr="00822FCE">
        <w:rPr>
          <w:lang w:val="en-US"/>
        </w:rPr>
        <w:t xml:space="preserve"> are a Category 2 explosive. </w:t>
      </w:r>
      <w:r w:rsidR="003E5F65">
        <w:rPr>
          <w:lang w:val="en-US"/>
        </w:rPr>
        <w:t xml:space="preserve">This </w:t>
      </w:r>
      <w:proofErr w:type="spellStart"/>
      <w:r w:rsidR="003E5F65">
        <w:rPr>
          <w:lang w:val="en-US"/>
        </w:rPr>
        <w:t>incentiv</w:t>
      </w:r>
      <w:r w:rsidR="00EC4AA3">
        <w:rPr>
          <w:lang w:val="en-US"/>
        </w:rPr>
        <w:t>ises</w:t>
      </w:r>
      <w:proofErr w:type="spellEnd"/>
      <w:r w:rsidR="003E5F65">
        <w:rPr>
          <w:lang w:val="en-US"/>
        </w:rPr>
        <w:t xml:space="preserve"> keep</w:t>
      </w:r>
      <w:r w:rsidR="00EC4AA3">
        <w:rPr>
          <w:lang w:val="en-US"/>
        </w:rPr>
        <w:t>ing</w:t>
      </w:r>
      <w:r w:rsidR="003E5F65">
        <w:rPr>
          <w:lang w:val="en-US"/>
        </w:rPr>
        <w:t xml:space="preserve"> the cartridge safely packaged to accurately reflect the classification or</w:t>
      </w:r>
      <w:r w:rsidR="00B71B78">
        <w:rPr>
          <w:lang w:val="en-US"/>
        </w:rPr>
        <w:t>i</w:t>
      </w:r>
      <w:r w:rsidR="003E5F65">
        <w:rPr>
          <w:lang w:val="en-US"/>
        </w:rPr>
        <w:t>ginally assigned.</w:t>
      </w:r>
    </w:p>
    <w:p w14:paraId="6E995D8D" w14:textId="77777777" w:rsidR="00EB08BA" w:rsidRDefault="00EB08BA" w:rsidP="00DA7F19">
      <w:pPr>
        <w:pStyle w:val="SingleTxtG"/>
        <w:numPr>
          <w:ilvl w:val="0"/>
          <w:numId w:val="29"/>
        </w:numPr>
        <w:ind w:left="1701" w:firstLine="0"/>
      </w:pPr>
      <w:r w:rsidRPr="00822FCE">
        <w:rPr>
          <w:lang w:val="en-US"/>
        </w:rPr>
        <w:t xml:space="preserve">UN 3268, SAFETY DEVICES (Class 9). </w:t>
      </w:r>
      <w:r w:rsidR="00B13914">
        <w:rPr>
          <w:lang w:val="en-US"/>
        </w:rPr>
        <w:t xml:space="preserve">When in their transport configuration, all articles in this category must meet criteria </w:t>
      </w:r>
      <w:r w:rsidR="00EC4AA3">
        <w:rPr>
          <w:lang w:val="en-US"/>
        </w:rPr>
        <w:t xml:space="preserve">in a special provision, equivalent to those </w:t>
      </w:r>
      <w:r w:rsidR="00B13914">
        <w:rPr>
          <w:lang w:val="en-US"/>
        </w:rPr>
        <w:t xml:space="preserve">for Subcategory 2C.  When removed from the transport configuration they may present an array of hazards, such as </w:t>
      </w:r>
      <w:r w:rsidR="00EC4AA3">
        <w:rPr>
          <w:lang w:val="en-US"/>
        </w:rPr>
        <w:t>metal projectiles. O</w:t>
      </w:r>
      <w:r w:rsidR="00B13914">
        <w:rPr>
          <w:lang w:val="en-US"/>
        </w:rPr>
        <w:t>nce installed in an automobile or component (e.g., doors or steering columns) they are fully deregulated</w:t>
      </w:r>
      <w:r w:rsidRPr="00822FCE">
        <w:rPr>
          <w:lang w:val="en-US"/>
        </w:rPr>
        <w:t xml:space="preserve">. Safety data sheets will be created at the time of manufacture for the explosive components. Upon configuration as Class 9, the </w:t>
      </w:r>
      <w:r w:rsidR="00202673">
        <w:rPr>
          <w:lang w:val="en-US"/>
        </w:rPr>
        <w:t xml:space="preserve">intention of the proposed </w:t>
      </w:r>
      <w:r w:rsidRPr="00822FCE">
        <w:rPr>
          <w:lang w:val="en-US"/>
        </w:rPr>
        <w:t xml:space="preserve">exemption in (d) </w:t>
      </w:r>
      <w:r w:rsidR="00202673">
        <w:rPr>
          <w:lang w:val="en-US"/>
        </w:rPr>
        <w:t xml:space="preserve">was to </w:t>
      </w:r>
      <w:r w:rsidRPr="00822FCE">
        <w:rPr>
          <w:lang w:val="en-US"/>
        </w:rPr>
        <w:t xml:space="preserve">remove them from GHS </w:t>
      </w:r>
      <w:proofErr w:type="gramStart"/>
      <w:r w:rsidRPr="00822FCE">
        <w:rPr>
          <w:lang w:val="en-US"/>
        </w:rPr>
        <w:t>as long as</w:t>
      </w:r>
      <w:proofErr w:type="gramEnd"/>
      <w:r w:rsidRPr="00822FCE">
        <w:rPr>
          <w:lang w:val="en-US"/>
        </w:rPr>
        <w:t xml:space="preserve"> they </w:t>
      </w:r>
      <w:r w:rsidR="00202673">
        <w:rPr>
          <w:lang w:val="en-US"/>
        </w:rPr>
        <w:t>were</w:t>
      </w:r>
      <w:r w:rsidRPr="00822FCE">
        <w:rPr>
          <w:lang w:val="en-US"/>
        </w:rPr>
        <w:t xml:space="preserve"> in the transport packaging</w:t>
      </w:r>
      <w:r w:rsidR="00202673">
        <w:rPr>
          <w:lang w:val="en-US"/>
        </w:rPr>
        <w:t xml:space="preserve"> or in “use” per 2.1.1.3.4</w:t>
      </w:r>
      <w:r w:rsidRPr="00822FCE">
        <w:rPr>
          <w:lang w:val="en-US"/>
        </w:rPr>
        <w:t xml:space="preserve">. Upon arrival at an automotive manufacturer the air bags or </w:t>
      </w:r>
      <w:r w:rsidR="00202673">
        <w:rPr>
          <w:lang w:val="en-US"/>
        </w:rPr>
        <w:t>pyro-mechanical</w:t>
      </w:r>
      <w:r w:rsidRPr="00822FCE">
        <w:rPr>
          <w:lang w:val="en-US"/>
        </w:rPr>
        <w:t xml:space="preserve"> </w:t>
      </w:r>
      <w:r w:rsidR="00202673">
        <w:rPr>
          <w:lang w:val="en-US"/>
        </w:rPr>
        <w:t xml:space="preserve">safety </w:t>
      </w:r>
      <w:r w:rsidRPr="00822FCE">
        <w:rPr>
          <w:lang w:val="en-US"/>
        </w:rPr>
        <w:t>devices are placed into storage</w:t>
      </w:r>
      <w:r w:rsidR="00257DD7">
        <w:rPr>
          <w:lang w:val="en-US"/>
        </w:rPr>
        <w:t xml:space="preserve">, usually in its </w:t>
      </w:r>
      <w:r w:rsidR="00257DD7">
        <w:rPr>
          <w:lang w:val="en-US"/>
        </w:rPr>
        <w:lastRenderedPageBreak/>
        <w:t>transport packaging</w:t>
      </w:r>
      <w:r w:rsidRPr="00822FCE">
        <w:rPr>
          <w:lang w:val="en-US"/>
        </w:rPr>
        <w:t xml:space="preserve">. In what we call “use”, </w:t>
      </w:r>
      <w:r w:rsidR="00202673">
        <w:rPr>
          <w:lang w:val="en-US"/>
        </w:rPr>
        <w:t>the safety devices</w:t>
      </w:r>
      <w:r w:rsidRPr="00822FCE">
        <w:rPr>
          <w:lang w:val="en-US"/>
        </w:rPr>
        <w:t xml:space="preserve"> are </w:t>
      </w:r>
      <w:r w:rsidR="00202673">
        <w:rPr>
          <w:lang w:val="en-US"/>
        </w:rPr>
        <w:t xml:space="preserve">later </w:t>
      </w:r>
      <w:r w:rsidRPr="00822FCE">
        <w:rPr>
          <w:lang w:val="en-US"/>
        </w:rPr>
        <w:t xml:space="preserve">unpackaged and placed into manufacturing and installed into automobiles or components before they leave the automotive manufacturer. Once in the automobile or component, the air bag </w:t>
      </w:r>
      <w:proofErr w:type="gramStart"/>
      <w:r w:rsidRPr="00822FCE">
        <w:rPr>
          <w:lang w:val="en-US"/>
        </w:rPr>
        <w:t xml:space="preserve">is </w:t>
      </w:r>
      <w:r w:rsidR="002F3957">
        <w:rPr>
          <w:lang w:val="en-US"/>
        </w:rPr>
        <w:t>considered to be</w:t>
      </w:r>
      <w:proofErr w:type="gramEnd"/>
      <w:r w:rsidR="002F3957">
        <w:rPr>
          <w:lang w:val="en-US"/>
        </w:rPr>
        <w:t xml:space="preserve"> </w:t>
      </w:r>
      <w:r w:rsidRPr="00822FCE">
        <w:rPr>
          <w:lang w:val="en-US"/>
        </w:rPr>
        <w:t>installed and in use</w:t>
      </w:r>
      <w:r w:rsidR="002F3957">
        <w:rPr>
          <w:lang w:val="en-US"/>
        </w:rPr>
        <w:t>. At that point, a transport</w:t>
      </w:r>
      <w:r w:rsidRPr="00822FCE">
        <w:rPr>
          <w:lang w:val="en-US"/>
        </w:rPr>
        <w:t xml:space="preserve"> special provision </w:t>
      </w:r>
      <w:r w:rsidR="002F3957">
        <w:rPr>
          <w:lang w:val="en-US"/>
        </w:rPr>
        <w:t xml:space="preserve">then </w:t>
      </w:r>
      <w:r w:rsidR="00257DD7">
        <w:rPr>
          <w:lang w:val="en-US"/>
        </w:rPr>
        <w:t>exempts</w:t>
      </w:r>
      <w:r w:rsidR="00257DD7" w:rsidRPr="00822FCE">
        <w:rPr>
          <w:lang w:val="en-US"/>
        </w:rPr>
        <w:t xml:space="preserve"> </w:t>
      </w:r>
      <w:r w:rsidRPr="00822FCE">
        <w:rPr>
          <w:lang w:val="en-US"/>
        </w:rPr>
        <w:t xml:space="preserve">it from TDG requirements, and GHS </w:t>
      </w:r>
      <w:r w:rsidR="002F3957">
        <w:rPr>
          <w:lang w:val="en-US"/>
        </w:rPr>
        <w:t xml:space="preserve">would </w:t>
      </w:r>
      <w:r w:rsidRPr="00822FCE">
        <w:rPr>
          <w:lang w:val="en-US"/>
        </w:rPr>
        <w:t>exempt it per paragraph (d)</w:t>
      </w:r>
      <w:r w:rsidR="003651D0">
        <w:rPr>
          <w:lang w:val="en-US"/>
        </w:rPr>
        <w:t xml:space="preserve"> as drafted</w:t>
      </w:r>
      <w:r w:rsidRPr="00822FCE">
        <w:rPr>
          <w:lang w:val="en-US"/>
        </w:rPr>
        <w:t xml:space="preserve">. </w:t>
      </w:r>
      <w:r w:rsidR="002F3957">
        <w:rPr>
          <w:lang w:val="en-US"/>
        </w:rPr>
        <w:t>Then, a</w:t>
      </w:r>
      <w:r w:rsidRPr="00822FCE">
        <w:rPr>
          <w:lang w:val="en-US"/>
        </w:rPr>
        <w:t>fter a period of years or decades</w:t>
      </w:r>
      <w:r w:rsidR="002F3957">
        <w:rPr>
          <w:lang w:val="en-US"/>
        </w:rPr>
        <w:t>,</w:t>
      </w:r>
      <w:r w:rsidRPr="00822FCE">
        <w:rPr>
          <w:lang w:val="en-US"/>
        </w:rPr>
        <w:t xml:space="preserve"> the automobile is decommissioned. Dangerous goods are removed</w:t>
      </w:r>
      <w:r w:rsidR="003651D0">
        <w:rPr>
          <w:lang w:val="en-US"/>
        </w:rPr>
        <w:t xml:space="preserve">, </w:t>
      </w:r>
      <w:r w:rsidRPr="00822FCE">
        <w:rPr>
          <w:lang w:val="en-US"/>
        </w:rPr>
        <w:t>e.g., oil</w:t>
      </w:r>
      <w:r w:rsidR="003651D0">
        <w:rPr>
          <w:lang w:val="en-US"/>
        </w:rPr>
        <w:t xml:space="preserve"> or</w:t>
      </w:r>
      <w:r w:rsidRPr="00822FCE">
        <w:rPr>
          <w:lang w:val="en-US"/>
        </w:rPr>
        <w:t xml:space="preserve"> </w:t>
      </w:r>
      <w:r w:rsidR="002F3957">
        <w:rPr>
          <w:lang w:val="en-US"/>
        </w:rPr>
        <w:t>safety devices</w:t>
      </w:r>
      <w:r w:rsidR="003651D0">
        <w:rPr>
          <w:lang w:val="en-US"/>
        </w:rPr>
        <w:t>,</w:t>
      </w:r>
      <w:r w:rsidRPr="00822FCE">
        <w:rPr>
          <w:lang w:val="en-US"/>
        </w:rPr>
        <w:t xml:space="preserve"> by a facility that </w:t>
      </w:r>
      <w:r w:rsidR="003651D0">
        <w:rPr>
          <w:lang w:val="en-US"/>
        </w:rPr>
        <w:t>may not be</w:t>
      </w:r>
      <w:r w:rsidRPr="00822FCE">
        <w:rPr>
          <w:lang w:val="en-US"/>
        </w:rPr>
        <w:t xml:space="preserve"> license</w:t>
      </w:r>
      <w:r w:rsidR="003651D0">
        <w:rPr>
          <w:lang w:val="en-US"/>
        </w:rPr>
        <w:t>d/</w:t>
      </w:r>
      <w:r w:rsidRPr="00822FCE">
        <w:rPr>
          <w:lang w:val="en-US"/>
        </w:rPr>
        <w:t xml:space="preserve">permitted for explosives work. Like fire extinguisher actuators, the uninstalled air bags should be repacked in transport packaging, e.g., for </w:t>
      </w:r>
      <w:r w:rsidR="003651D0">
        <w:rPr>
          <w:lang w:val="en-US"/>
        </w:rPr>
        <w:t xml:space="preserve">storage or </w:t>
      </w:r>
      <w:r w:rsidRPr="00822FCE">
        <w:rPr>
          <w:lang w:val="en-US"/>
        </w:rPr>
        <w:t>shipment to a recycling or disposal facility licensed/permitted to work with explosives. If they are not repacked, then they are either a Cat</w:t>
      </w:r>
      <w:r w:rsidR="002F3957">
        <w:rPr>
          <w:lang w:val="en-US"/>
        </w:rPr>
        <w:t>egory</w:t>
      </w:r>
      <w:r w:rsidRPr="00822FCE">
        <w:rPr>
          <w:lang w:val="en-US"/>
        </w:rPr>
        <w:t xml:space="preserve"> 1 explosive, or if they are packaging independent or in a primary packaging, they are a Category 2 explosive.  </w:t>
      </w:r>
      <w:r w:rsidR="00AA6AEB">
        <w:rPr>
          <w:lang w:val="en-US"/>
        </w:rPr>
        <w:t>W</w:t>
      </w:r>
      <w:r w:rsidRPr="00822FCE">
        <w:rPr>
          <w:lang w:val="en-US"/>
        </w:rPr>
        <w:t xml:space="preserve">orkplace safety </w:t>
      </w:r>
      <w:r w:rsidR="00AA6AEB">
        <w:rPr>
          <w:lang w:val="en-US"/>
        </w:rPr>
        <w:t xml:space="preserve">authorities </w:t>
      </w:r>
      <w:r w:rsidR="003651D0">
        <w:rPr>
          <w:lang w:val="en-US"/>
        </w:rPr>
        <w:t>need</w:t>
      </w:r>
      <w:r w:rsidRPr="00822FCE">
        <w:rPr>
          <w:lang w:val="en-US"/>
        </w:rPr>
        <w:t xml:space="preserve"> </w:t>
      </w:r>
      <w:r w:rsidR="00AA6AEB">
        <w:rPr>
          <w:lang w:val="en-US"/>
        </w:rPr>
        <w:t>clear jurisdiction</w:t>
      </w:r>
      <w:r w:rsidRPr="00822FCE">
        <w:rPr>
          <w:lang w:val="en-US"/>
        </w:rPr>
        <w:t xml:space="preserve"> in the workplace for disassembly of </w:t>
      </w:r>
      <w:r w:rsidR="00E53477">
        <w:rPr>
          <w:lang w:val="en-US"/>
        </w:rPr>
        <w:t>safety</w:t>
      </w:r>
      <w:r w:rsidRPr="00822FCE">
        <w:rPr>
          <w:lang w:val="en-US"/>
        </w:rPr>
        <w:t xml:space="preserve"> devices from automobiles. Our understanding is that </w:t>
      </w:r>
      <w:r w:rsidR="00E53477">
        <w:rPr>
          <w:lang w:val="en-US"/>
        </w:rPr>
        <w:t>unambiguously addressing this issue</w:t>
      </w:r>
      <w:r w:rsidRPr="00822FCE">
        <w:rPr>
          <w:lang w:val="en-US"/>
        </w:rPr>
        <w:t xml:space="preserve"> </w:t>
      </w:r>
      <w:r w:rsidR="003651D0">
        <w:rPr>
          <w:lang w:val="en-US"/>
        </w:rPr>
        <w:t>may</w:t>
      </w:r>
      <w:r w:rsidRPr="00822FCE">
        <w:rPr>
          <w:lang w:val="en-US"/>
        </w:rPr>
        <w:t xml:space="preserve"> </w:t>
      </w:r>
      <w:proofErr w:type="gramStart"/>
      <w:r w:rsidR="00E53477">
        <w:rPr>
          <w:lang w:val="en-US"/>
        </w:rPr>
        <w:t xml:space="preserve">actually </w:t>
      </w:r>
      <w:r w:rsidRPr="00822FCE">
        <w:rPr>
          <w:lang w:val="en-US"/>
        </w:rPr>
        <w:t>provide</w:t>
      </w:r>
      <w:proofErr w:type="gramEnd"/>
      <w:r w:rsidRPr="00822FCE">
        <w:rPr>
          <w:lang w:val="en-US"/>
        </w:rPr>
        <w:t xml:space="preserve"> some relief </w:t>
      </w:r>
      <w:r w:rsidR="003651D0">
        <w:rPr>
          <w:lang w:val="en-US"/>
        </w:rPr>
        <w:t>from designation as an explosive in related regulations</w:t>
      </w:r>
      <w:r w:rsidR="00E53477">
        <w:rPr>
          <w:lang w:val="en-US"/>
        </w:rPr>
        <w:t>, while providing for increased safety</w:t>
      </w:r>
      <w:r w:rsidRPr="00822FCE">
        <w:rPr>
          <w:lang w:val="en-US"/>
        </w:rPr>
        <w:t>.</w:t>
      </w:r>
    </w:p>
    <w:p w14:paraId="0CA6EE8D" w14:textId="77777777" w:rsidR="00EB08BA" w:rsidRPr="00822FCE" w:rsidRDefault="00EB08BA" w:rsidP="00DA7F19">
      <w:pPr>
        <w:pStyle w:val="SingleTxtG"/>
        <w:numPr>
          <w:ilvl w:val="0"/>
          <w:numId w:val="29"/>
        </w:numPr>
        <w:ind w:left="1701" w:firstLine="0"/>
      </w:pPr>
      <w:r w:rsidRPr="00822FCE">
        <w:rPr>
          <w:lang w:val="en-US"/>
        </w:rPr>
        <w:t xml:space="preserve">UN 2990 - LIFE SAVING APPLIANCES, SELF-INFLATING (Class 9). The explosive </w:t>
      </w:r>
      <w:r w:rsidR="00923AA2">
        <w:rPr>
          <w:lang w:val="en-US"/>
        </w:rPr>
        <w:t xml:space="preserve">component </w:t>
      </w:r>
      <w:r w:rsidRPr="00822FCE">
        <w:rPr>
          <w:lang w:val="en-US"/>
        </w:rPr>
        <w:t xml:space="preserve">is installed in the larger device and the </w:t>
      </w:r>
      <w:r w:rsidR="00931D1B">
        <w:rPr>
          <w:lang w:val="en-US"/>
        </w:rPr>
        <w:t>complex</w:t>
      </w:r>
      <w:r w:rsidRPr="00822FCE">
        <w:rPr>
          <w:lang w:val="en-US"/>
        </w:rPr>
        <w:t xml:space="preserve"> is Class 9</w:t>
      </w:r>
      <w:r w:rsidR="00931D1B">
        <w:rPr>
          <w:lang w:val="en-US"/>
        </w:rPr>
        <w:t xml:space="preserve"> for transport</w:t>
      </w:r>
      <w:r w:rsidRPr="00822FCE">
        <w:rPr>
          <w:lang w:val="en-US"/>
        </w:rPr>
        <w:t xml:space="preserve">. </w:t>
      </w:r>
      <w:proofErr w:type="gramStart"/>
      <w:r w:rsidRPr="00822FCE">
        <w:rPr>
          <w:lang w:val="en-US"/>
        </w:rPr>
        <w:t>As long as</w:t>
      </w:r>
      <w:proofErr w:type="gramEnd"/>
      <w:r w:rsidRPr="00822FCE">
        <w:rPr>
          <w:lang w:val="en-US"/>
        </w:rPr>
        <w:t xml:space="preserve"> the explosive stays installed </w:t>
      </w:r>
      <w:r w:rsidR="00BA52D9">
        <w:rPr>
          <w:lang w:val="en-US"/>
        </w:rPr>
        <w:t xml:space="preserve">in </w:t>
      </w:r>
      <w:r w:rsidRPr="00822FCE">
        <w:rPr>
          <w:lang w:val="en-US"/>
        </w:rPr>
        <w:t xml:space="preserve">the overall device </w:t>
      </w:r>
      <w:r w:rsidR="00BA52D9">
        <w:rPr>
          <w:lang w:val="en-US"/>
        </w:rPr>
        <w:t xml:space="preserve">it </w:t>
      </w:r>
      <w:r w:rsidRPr="00822FCE">
        <w:rPr>
          <w:lang w:val="en-US"/>
        </w:rPr>
        <w:t xml:space="preserve">does not need to be packaged. If the overall device is decommissioned and the explosive components removed, the explosive components should be treated as having explosive hazards, </w:t>
      </w:r>
      <w:proofErr w:type="gramStart"/>
      <w:r w:rsidRPr="00822FCE">
        <w:rPr>
          <w:lang w:val="en-US"/>
        </w:rPr>
        <w:t>similar to</w:t>
      </w:r>
      <w:proofErr w:type="gramEnd"/>
      <w:r w:rsidRPr="00822FCE">
        <w:rPr>
          <w:lang w:val="en-US"/>
        </w:rPr>
        <w:t xml:space="preserve"> UN 1044 and UN 3268.</w:t>
      </w:r>
    </w:p>
    <w:p w14:paraId="7B1A424E" w14:textId="77777777" w:rsidR="00EB08BA" w:rsidRPr="00052256" w:rsidRDefault="00EB08BA" w:rsidP="00DA7F19">
      <w:pPr>
        <w:pStyle w:val="SingleTxtG"/>
        <w:numPr>
          <w:ilvl w:val="0"/>
          <w:numId w:val="29"/>
        </w:numPr>
        <w:ind w:left="1701" w:firstLine="0"/>
        <w:rPr>
          <w:lang w:val="en-US"/>
        </w:rPr>
      </w:pPr>
      <w:r w:rsidRPr="00822FCE">
        <w:rPr>
          <w:lang w:val="en-US"/>
        </w:rPr>
        <w:t xml:space="preserve">UN 3072 LIFE SAVING </w:t>
      </w:r>
      <w:r w:rsidR="003F772A">
        <w:rPr>
          <w:lang w:val="en-US"/>
        </w:rPr>
        <w:t>APPLIANCES</w:t>
      </w:r>
      <w:r w:rsidR="003F772A" w:rsidRPr="00822FCE">
        <w:rPr>
          <w:lang w:val="en-US"/>
        </w:rPr>
        <w:t xml:space="preserve"> </w:t>
      </w:r>
      <w:r w:rsidRPr="00822FCE">
        <w:rPr>
          <w:lang w:val="en-US"/>
        </w:rPr>
        <w:t xml:space="preserve">NOT SELF-INFLATING (Class 9). This includes explosive signal flares. </w:t>
      </w:r>
      <w:r w:rsidR="00931D1B">
        <w:rPr>
          <w:lang w:val="en-US"/>
        </w:rPr>
        <w:t xml:space="preserve">The intent of the </w:t>
      </w:r>
      <w:r w:rsidR="005B1BA3">
        <w:rPr>
          <w:lang w:val="en-US"/>
        </w:rPr>
        <w:t xml:space="preserve">proposed </w:t>
      </w:r>
      <w:r w:rsidRPr="00822FCE">
        <w:rPr>
          <w:lang w:val="en-US"/>
        </w:rPr>
        <w:t xml:space="preserve">exemption in (d) applies </w:t>
      </w:r>
      <w:proofErr w:type="gramStart"/>
      <w:r w:rsidRPr="00822FCE">
        <w:rPr>
          <w:lang w:val="en-US"/>
        </w:rPr>
        <w:t>as long as</w:t>
      </w:r>
      <w:proofErr w:type="gramEnd"/>
      <w:r w:rsidRPr="00822FCE">
        <w:rPr>
          <w:lang w:val="en-US"/>
        </w:rPr>
        <w:t xml:space="preserve"> they are packaged</w:t>
      </w:r>
      <w:r w:rsidR="005B1BA3">
        <w:rPr>
          <w:lang w:val="en-US"/>
        </w:rPr>
        <w:t xml:space="preserve"> or </w:t>
      </w:r>
      <w:r w:rsidRPr="00822FCE">
        <w:rPr>
          <w:lang w:val="en-US"/>
        </w:rPr>
        <w:t>the amounts necessary for use are</w:t>
      </w:r>
      <w:r w:rsidR="005B1BA3">
        <w:rPr>
          <w:lang w:val="en-US"/>
        </w:rPr>
        <w:t xml:space="preserve"> </w:t>
      </w:r>
      <w:r w:rsidRPr="00822FCE">
        <w:rPr>
          <w:lang w:val="en-US"/>
        </w:rPr>
        <w:t>unpack</w:t>
      </w:r>
      <w:r w:rsidR="005B1BA3">
        <w:rPr>
          <w:lang w:val="en-US"/>
        </w:rPr>
        <w:t>a</w:t>
      </w:r>
      <w:r w:rsidRPr="00822FCE">
        <w:rPr>
          <w:lang w:val="en-US"/>
        </w:rPr>
        <w:t>ged</w:t>
      </w:r>
      <w:r w:rsidR="005B1BA3">
        <w:rPr>
          <w:lang w:val="en-US"/>
        </w:rPr>
        <w:t xml:space="preserve"> and installed in the device </w:t>
      </w:r>
      <w:r w:rsidR="005B1BA3" w:rsidRPr="00822FCE">
        <w:rPr>
          <w:lang w:val="en-US"/>
        </w:rPr>
        <w:t>(</w:t>
      </w:r>
      <w:r w:rsidR="005B1BA3">
        <w:rPr>
          <w:lang w:val="en-US"/>
        </w:rPr>
        <w:t>see paragraph 2.1.1.3.4</w:t>
      </w:r>
      <w:r w:rsidR="005B1BA3" w:rsidRPr="00822FCE">
        <w:rPr>
          <w:lang w:val="en-US"/>
        </w:rPr>
        <w:t>)</w:t>
      </w:r>
      <w:r w:rsidR="005B1BA3">
        <w:rPr>
          <w:lang w:val="en-US"/>
        </w:rPr>
        <w:t>.</w:t>
      </w:r>
    </w:p>
    <w:p w14:paraId="396E952F" w14:textId="7E121C12" w:rsidR="00AA6307" w:rsidRPr="00052256" w:rsidRDefault="00052256" w:rsidP="00DA7F19">
      <w:pPr>
        <w:pStyle w:val="SingleTxtG"/>
        <w:numPr>
          <w:ilvl w:val="0"/>
          <w:numId w:val="29"/>
        </w:numPr>
        <w:ind w:left="1701" w:firstLine="0"/>
        <w:rPr>
          <w:lang w:val="en-US"/>
        </w:rPr>
      </w:pPr>
      <w:r w:rsidRPr="00052256">
        <w:rPr>
          <w:lang w:val="en-US"/>
        </w:rPr>
        <w:t>UN</w:t>
      </w:r>
      <w:r>
        <w:rPr>
          <w:lang w:val="en-US"/>
        </w:rPr>
        <w:t xml:space="preserve"> 1863 </w:t>
      </w:r>
      <w:r w:rsidRPr="00052256">
        <w:rPr>
          <w:lang w:val="en-US"/>
        </w:rPr>
        <w:t xml:space="preserve">FUEL, AVIATION, TURBINE ENGINE </w:t>
      </w:r>
      <w:r>
        <w:rPr>
          <w:lang w:val="en-US"/>
        </w:rPr>
        <w:t>(</w:t>
      </w:r>
      <w:r w:rsidRPr="00052256">
        <w:rPr>
          <w:lang w:val="en-US"/>
        </w:rPr>
        <w:t>Class 3</w:t>
      </w:r>
      <w:r>
        <w:rPr>
          <w:lang w:val="en-US"/>
        </w:rPr>
        <w:t>). This classification has been assigned to a</w:t>
      </w:r>
      <w:r w:rsidR="00AA6307">
        <w:rPr>
          <w:lang w:val="en-US"/>
        </w:rPr>
        <w:t xml:space="preserve"> complex device classified by a competent authority to the most appropriate UN number</w:t>
      </w:r>
      <w:r>
        <w:rPr>
          <w:lang w:val="en-US"/>
        </w:rPr>
        <w:t xml:space="preserve">. </w:t>
      </w:r>
      <w:r w:rsidRPr="00052256">
        <w:rPr>
          <w:lang w:val="en-US"/>
        </w:rPr>
        <w:t>This explosive article contains over a dozen individual explosive elements, the largest of which is an engine start cartridge that produces gases to start the turbine blade(s) of a jet engine spinning.  Approximately 40 gallons (approx. 270 pounds) of jet fuel is also contained in this explosive article. </w:t>
      </w:r>
      <w:r>
        <w:rPr>
          <w:lang w:val="en-US"/>
        </w:rPr>
        <w:t>The explosives are deemed to have</w:t>
      </w:r>
      <w:r w:rsidR="00AA6307">
        <w:rPr>
          <w:lang w:val="en-US"/>
        </w:rPr>
        <w:t xml:space="preserve"> low hazard reactions equivalent to 1.4S</w:t>
      </w:r>
      <w:r w:rsidR="007959DD">
        <w:rPr>
          <w:lang w:val="en-US"/>
        </w:rPr>
        <w:t>,</w:t>
      </w:r>
      <w:r w:rsidR="00AA6307">
        <w:rPr>
          <w:lang w:val="en-US"/>
        </w:rPr>
        <w:t xml:space="preserve"> and </w:t>
      </w:r>
      <w:r w:rsidR="007959DD">
        <w:rPr>
          <w:lang w:val="en-US"/>
        </w:rPr>
        <w:t>to be of a</w:t>
      </w:r>
      <w:r w:rsidR="00AA6307">
        <w:rPr>
          <w:lang w:val="en-US"/>
        </w:rPr>
        <w:t xml:space="preserve"> low</w:t>
      </w:r>
      <w:r w:rsidR="00742129">
        <w:rPr>
          <w:lang w:val="en-US"/>
        </w:rPr>
        <w:t>er</w:t>
      </w:r>
      <w:r w:rsidR="00AA6307">
        <w:rPr>
          <w:lang w:val="en-US"/>
        </w:rPr>
        <w:t xml:space="preserve"> magnitude compared to </w:t>
      </w:r>
      <w:r w:rsidR="00742129">
        <w:rPr>
          <w:lang w:val="en-US"/>
        </w:rPr>
        <w:t>the hazard presented</w:t>
      </w:r>
      <w:r w:rsidR="00AA6307">
        <w:rPr>
          <w:lang w:val="en-US"/>
        </w:rPr>
        <w:t xml:space="preserve"> </w:t>
      </w:r>
      <w:r w:rsidR="00742129">
        <w:rPr>
          <w:lang w:val="en-US"/>
        </w:rPr>
        <w:t xml:space="preserve">by </w:t>
      </w:r>
      <w:r w:rsidR="00AA6307">
        <w:rPr>
          <w:lang w:val="en-US"/>
        </w:rPr>
        <w:t>at least one of the other dangerous goods components.</w:t>
      </w:r>
    </w:p>
    <w:p w14:paraId="625E06D0" w14:textId="1853D417" w:rsidR="00052256" w:rsidRPr="00052256" w:rsidRDefault="00052256" w:rsidP="00DA7F19">
      <w:pPr>
        <w:pStyle w:val="SingleTxtG"/>
        <w:numPr>
          <w:ilvl w:val="0"/>
          <w:numId w:val="29"/>
        </w:numPr>
        <w:ind w:left="1701" w:firstLine="0"/>
        <w:rPr>
          <w:lang w:val="en-US"/>
        </w:rPr>
      </w:pPr>
      <w:r w:rsidRPr="00052256">
        <w:rPr>
          <w:lang w:val="en-US"/>
        </w:rPr>
        <w:t xml:space="preserve">UN1956, </w:t>
      </w:r>
      <w:r w:rsidR="007959DD" w:rsidRPr="00052256">
        <w:rPr>
          <w:lang w:val="en-US"/>
        </w:rPr>
        <w:t>COMPRESSED GAS, N.O.S.</w:t>
      </w:r>
      <w:r w:rsidRPr="00052256">
        <w:rPr>
          <w:lang w:val="en-US"/>
        </w:rPr>
        <w:t xml:space="preserve"> </w:t>
      </w:r>
      <w:r w:rsidR="007959DD">
        <w:rPr>
          <w:lang w:val="en-US"/>
        </w:rPr>
        <w:t>(Division</w:t>
      </w:r>
      <w:r w:rsidRPr="00052256">
        <w:rPr>
          <w:lang w:val="en-US"/>
        </w:rPr>
        <w:t xml:space="preserve"> 2.2</w:t>
      </w:r>
      <w:r w:rsidR="007959DD">
        <w:rPr>
          <w:lang w:val="en-US"/>
        </w:rPr>
        <w:t>).</w:t>
      </w:r>
      <w:r w:rsidRPr="00052256">
        <w:rPr>
          <w:lang w:val="en-US"/>
        </w:rPr>
        <w:t xml:space="preserve"> </w:t>
      </w:r>
      <w:r w:rsidR="00742129">
        <w:rPr>
          <w:lang w:val="en-US"/>
        </w:rPr>
        <w:t xml:space="preserve">This classification has been assigned to a complex device classified by a competent authority to the most appropriate UN number.  </w:t>
      </w:r>
      <w:r w:rsidRPr="00052256">
        <w:rPr>
          <w:lang w:val="en-US"/>
        </w:rPr>
        <w:t xml:space="preserve">This explosive article contains two gas bottles. Each gas bottle has an explosive actuator on it.  This item also contains a thermal battery with a </w:t>
      </w:r>
      <w:r w:rsidR="00AD564C">
        <w:rPr>
          <w:lang w:val="en-US"/>
        </w:rPr>
        <w:t>protective feature</w:t>
      </w:r>
      <w:r w:rsidRPr="00052256">
        <w:rPr>
          <w:lang w:val="en-US"/>
        </w:rPr>
        <w:t>. </w:t>
      </w:r>
      <w:r w:rsidR="007959DD">
        <w:rPr>
          <w:lang w:val="en-US"/>
        </w:rPr>
        <w:t>The explosives are deemed to have low hazard reactions equivalent to 1.4S, and to be of a low</w:t>
      </w:r>
      <w:r w:rsidR="00742129">
        <w:rPr>
          <w:lang w:val="en-US"/>
        </w:rPr>
        <w:t>er</w:t>
      </w:r>
      <w:r w:rsidR="007959DD">
        <w:rPr>
          <w:lang w:val="en-US"/>
        </w:rPr>
        <w:t xml:space="preserve"> magnitude compared to </w:t>
      </w:r>
      <w:r w:rsidR="001467C3">
        <w:rPr>
          <w:lang w:val="en-US"/>
        </w:rPr>
        <w:t xml:space="preserve">the hazard presented by </w:t>
      </w:r>
      <w:r w:rsidR="007959DD">
        <w:rPr>
          <w:lang w:val="en-US"/>
        </w:rPr>
        <w:t>at least one of the other dangerous goods components.</w:t>
      </w:r>
    </w:p>
    <w:p w14:paraId="22E7EA4A" w14:textId="204F20FA" w:rsidR="00EB08BA" w:rsidRDefault="00EB08BA" w:rsidP="00EB08BA">
      <w:pPr>
        <w:pStyle w:val="SingleTxtG"/>
        <w:numPr>
          <w:ilvl w:val="0"/>
          <w:numId w:val="18"/>
        </w:numPr>
        <w:ind w:left="1134" w:firstLine="0"/>
        <w:rPr>
          <w:lang w:val="en-US"/>
        </w:rPr>
      </w:pPr>
      <w:r>
        <w:rPr>
          <w:lang w:val="en-US"/>
        </w:rPr>
        <w:t>I</w:t>
      </w:r>
      <w:r w:rsidR="005B1BA3">
        <w:rPr>
          <w:lang w:val="en-US"/>
        </w:rPr>
        <w:t xml:space="preserve">n lieu of the proposed 2.1.1.2.2(d), </w:t>
      </w:r>
      <w:r>
        <w:rPr>
          <w:lang w:val="en-US"/>
        </w:rPr>
        <w:t xml:space="preserve">an SDS would be helpful to alert workers to these hazards. </w:t>
      </w:r>
      <w:r w:rsidR="0054641F">
        <w:rPr>
          <w:lang w:val="en-US"/>
        </w:rPr>
        <w:t>O</w:t>
      </w:r>
      <w:r>
        <w:rPr>
          <w:lang w:val="en-US"/>
        </w:rPr>
        <w:t xml:space="preserve">n the other hand, </w:t>
      </w:r>
      <w:r w:rsidR="00E53477">
        <w:rPr>
          <w:lang w:val="en-US"/>
        </w:rPr>
        <w:t xml:space="preserve">all </w:t>
      </w:r>
      <w:r w:rsidR="0054641F">
        <w:rPr>
          <w:lang w:val="en-US"/>
        </w:rPr>
        <w:t>explosive</w:t>
      </w:r>
      <w:r w:rsidR="00E53477">
        <w:rPr>
          <w:lang w:val="en-US"/>
        </w:rPr>
        <w:t xml:space="preserve"> article</w:t>
      </w:r>
      <w:r w:rsidR="0054641F">
        <w:rPr>
          <w:lang w:val="en-US"/>
        </w:rPr>
        <w:t xml:space="preserve">s exiting Class 1 </w:t>
      </w:r>
      <w:r>
        <w:rPr>
          <w:lang w:val="en-US"/>
        </w:rPr>
        <w:t>should be exempted</w:t>
      </w:r>
      <w:r w:rsidR="0054641F">
        <w:rPr>
          <w:lang w:val="en-US"/>
        </w:rPr>
        <w:t xml:space="preserve"> from labeling</w:t>
      </w:r>
      <w:r w:rsidR="00C8235A">
        <w:rPr>
          <w:lang w:val="en-US"/>
        </w:rPr>
        <w:t xml:space="preserve"> for explosive hazards</w:t>
      </w:r>
      <w:r>
        <w:rPr>
          <w:lang w:val="en-US"/>
        </w:rPr>
        <w:t xml:space="preserve">. We propose </w:t>
      </w:r>
      <w:r w:rsidR="00090F8D">
        <w:rPr>
          <w:lang w:val="en-US"/>
        </w:rPr>
        <w:t xml:space="preserve">to </w:t>
      </w:r>
      <w:r>
        <w:rPr>
          <w:lang w:val="en-US"/>
        </w:rPr>
        <w:t xml:space="preserve">create </w:t>
      </w:r>
      <w:r w:rsidRPr="007C3FFE">
        <w:rPr>
          <w:lang w:val="en-US"/>
        </w:rPr>
        <w:t xml:space="preserve">an exemption from </w:t>
      </w:r>
      <w:r w:rsidR="00C8235A">
        <w:rPr>
          <w:lang w:val="en-US"/>
        </w:rPr>
        <w:t xml:space="preserve">such </w:t>
      </w:r>
      <w:r w:rsidRPr="007C3FFE">
        <w:rPr>
          <w:lang w:val="en-US"/>
        </w:rPr>
        <w:t>labeling in a new 2.1.1.2.3</w:t>
      </w:r>
      <w:r>
        <w:rPr>
          <w:lang w:val="en-US"/>
        </w:rPr>
        <w:t xml:space="preserve"> to control these explosives at an appropriate level</w:t>
      </w:r>
      <w:r w:rsidR="005B1BA3">
        <w:rPr>
          <w:lang w:val="en-US"/>
        </w:rPr>
        <w:t>:</w:t>
      </w:r>
    </w:p>
    <w:p w14:paraId="78731008" w14:textId="77777777" w:rsidR="00DA7F19" w:rsidRDefault="00DA7F19">
      <w:pPr>
        <w:suppressAutoHyphens w:val="0"/>
        <w:spacing w:line="240" w:lineRule="auto"/>
        <w:rPr>
          <w:lang w:val="en-US"/>
        </w:rPr>
      </w:pPr>
      <w:r>
        <w:rPr>
          <w:lang w:val="en-US"/>
        </w:rPr>
        <w:br w:type="page"/>
      </w:r>
    </w:p>
    <w:p w14:paraId="3613EB9B" w14:textId="3F81FA7B" w:rsidR="00EB08BA" w:rsidRPr="00EB08BA" w:rsidRDefault="005B1BA3" w:rsidP="00DA7F19">
      <w:pPr>
        <w:pStyle w:val="SingleTxtG"/>
        <w:tabs>
          <w:tab w:val="left" w:pos="3119"/>
        </w:tabs>
        <w:ind w:left="2070"/>
        <w:rPr>
          <w:lang w:val="en-US"/>
        </w:rPr>
      </w:pPr>
      <w:r>
        <w:rPr>
          <w:lang w:val="en-US"/>
        </w:rPr>
        <w:lastRenderedPageBreak/>
        <w:t>“</w:t>
      </w:r>
      <w:r w:rsidR="00EB08BA">
        <w:rPr>
          <w:lang w:val="en-US"/>
        </w:rPr>
        <w:t>2.</w:t>
      </w:r>
      <w:r w:rsidR="00EB08BA" w:rsidRPr="00EB08BA">
        <w:rPr>
          <w:lang w:val="en-US"/>
        </w:rPr>
        <w:t>1.1.2.3</w:t>
      </w:r>
      <w:r w:rsidR="00DA7F19">
        <w:rPr>
          <w:lang w:val="en-US"/>
        </w:rPr>
        <w:tab/>
      </w:r>
      <w:r w:rsidR="00EB08BA" w:rsidRPr="00EB08BA">
        <w:rPr>
          <w:lang w:val="en-US"/>
        </w:rPr>
        <w:t xml:space="preserve">Labeling </w:t>
      </w:r>
      <w:r w:rsidR="00C001C2">
        <w:rPr>
          <w:lang w:val="en-US"/>
        </w:rPr>
        <w:t xml:space="preserve">for explosive hazards </w:t>
      </w:r>
      <w:r w:rsidR="00EB08BA" w:rsidRPr="00EB08BA">
        <w:rPr>
          <w:lang w:val="en-US"/>
        </w:rPr>
        <w:t xml:space="preserve">is not required for explosive articles which are allowed for transport but excluded from Class 1 by </w:t>
      </w:r>
      <w:r w:rsidR="00207C86">
        <w:rPr>
          <w:lang w:val="en-US"/>
        </w:rPr>
        <w:t xml:space="preserve">assignment to </w:t>
      </w:r>
      <w:r w:rsidR="00EB08BA" w:rsidRPr="00EB08BA">
        <w:rPr>
          <w:lang w:val="en-US"/>
        </w:rPr>
        <w:t xml:space="preserve">specific UN-numbers </w:t>
      </w:r>
      <w:r w:rsidR="00207C86">
        <w:rPr>
          <w:lang w:val="en-US"/>
        </w:rPr>
        <w:t>with or without</w:t>
      </w:r>
      <w:r w:rsidR="00207C86" w:rsidRPr="00EB08BA">
        <w:rPr>
          <w:lang w:val="en-US"/>
        </w:rPr>
        <w:t xml:space="preserve"> </w:t>
      </w:r>
      <w:r w:rsidR="00EB08BA" w:rsidRPr="00EB08BA">
        <w:rPr>
          <w:lang w:val="en-US"/>
        </w:rPr>
        <w:t>associated special provisions according to the Dangerous Goods List of the UN Model Regulations, and which are:</w:t>
      </w:r>
    </w:p>
    <w:p w14:paraId="3542612A" w14:textId="719915A3" w:rsidR="00EB08BA" w:rsidRPr="007C3FFE" w:rsidRDefault="00DA7F19" w:rsidP="00A45A37">
      <w:pPr>
        <w:pStyle w:val="SingleTxtG"/>
        <w:tabs>
          <w:tab w:val="left" w:pos="3686"/>
        </w:tabs>
        <w:ind w:left="3119"/>
      </w:pPr>
      <w:r>
        <w:rPr>
          <w:lang w:val="fr-CH"/>
        </w:rPr>
        <w:t>(</w:t>
      </w:r>
      <w:r w:rsidR="00EB08BA" w:rsidRPr="007C3FFE">
        <w:t>a)</w:t>
      </w:r>
      <w:r>
        <w:tab/>
      </w:r>
      <w:r w:rsidR="00EB08BA" w:rsidRPr="007C3FFE">
        <w:t>in the transport configuration</w:t>
      </w:r>
      <w:r w:rsidR="00207C86">
        <w:t xml:space="preserve">, or primary packaging or </w:t>
      </w:r>
      <w:r w:rsidR="00C001C2">
        <w:t xml:space="preserve">unpackaged </w:t>
      </w:r>
      <w:r w:rsidR="00207C86">
        <w:t>where packaging was determined unnecessary</w:t>
      </w:r>
      <w:r w:rsidR="00AA6307">
        <w:t xml:space="preserve"> (see 2.1</w:t>
      </w:r>
      <w:r w:rsidR="00240052">
        <w:t>.2.1(b)(iii) and (iv)</w:t>
      </w:r>
      <w:proofErr w:type="gramStart"/>
      <w:r w:rsidR="00C001C2">
        <w:t>)</w:t>
      </w:r>
      <w:r w:rsidR="00EB08BA" w:rsidRPr="007C3FFE">
        <w:t>;</w:t>
      </w:r>
      <w:proofErr w:type="gramEnd"/>
      <w:r w:rsidR="00EB08BA" w:rsidRPr="007C3FFE">
        <w:t xml:space="preserve"> or</w:t>
      </w:r>
    </w:p>
    <w:p w14:paraId="7B5ABDF3" w14:textId="74B27188" w:rsidR="00EB08BA" w:rsidRDefault="00A45A37" w:rsidP="00A45A37">
      <w:pPr>
        <w:pStyle w:val="SingleTxtG"/>
        <w:tabs>
          <w:tab w:val="left" w:pos="3686"/>
        </w:tabs>
        <w:ind w:firstLine="1985"/>
      </w:pPr>
      <w:r>
        <w:rPr>
          <w:lang w:val="fr-CH"/>
        </w:rPr>
        <w:t>(</w:t>
      </w:r>
      <w:r w:rsidR="00EB08BA" w:rsidRPr="007C3FFE">
        <w:t>b)</w:t>
      </w:r>
      <w:r>
        <w:tab/>
      </w:r>
      <w:r w:rsidR="00EB08BA" w:rsidRPr="007C3FFE">
        <w:t>in use (see 2.1.1.3.4).</w:t>
      </w:r>
      <w:r w:rsidR="005B1BA3">
        <w:t>”</w:t>
      </w:r>
    </w:p>
    <w:p w14:paraId="6335FAAD" w14:textId="40270FDD" w:rsidR="00EB08BA" w:rsidRDefault="00090F8D" w:rsidP="00F73D28">
      <w:pPr>
        <w:pStyle w:val="HChG"/>
        <w:ind w:firstLine="0"/>
        <w:rPr>
          <w:lang w:val="en-US"/>
        </w:rPr>
      </w:pPr>
      <w:r>
        <w:rPr>
          <w:lang w:val="en-US"/>
        </w:rPr>
        <w:t xml:space="preserve">Articles </w:t>
      </w:r>
      <w:r w:rsidR="00A45A37">
        <w:rPr>
          <w:lang w:val="en-US"/>
        </w:rPr>
        <w:t>c</w:t>
      </w:r>
      <w:r>
        <w:rPr>
          <w:lang w:val="en-US"/>
        </w:rPr>
        <w:t xml:space="preserve">ontaining </w:t>
      </w:r>
      <w:r w:rsidR="00A45A37">
        <w:rPr>
          <w:lang w:val="en-US"/>
        </w:rPr>
        <w:t>e</w:t>
      </w:r>
      <w:r>
        <w:rPr>
          <w:lang w:val="en-US"/>
        </w:rPr>
        <w:t>xplosives</w:t>
      </w:r>
      <w:r w:rsidR="00EB08BA">
        <w:rPr>
          <w:lang w:val="en-US"/>
        </w:rPr>
        <w:t xml:space="preserve"> </w:t>
      </w:r>
      <w:r w:rsidR="00A45A37">
        <w:rPr>
          <w:lang w:val="en-US"/>
        </w:rPr>
        <w:t>e</w:t>
      </w:r>
      <w:r w:rsidR="001467C3">
        <w:rPr>
          <w:lang w:val="en-US"/>
        </w:rPr>
        <w:t xml:space="preserve">xcluded </w:t>
      </w:r>
      <w:r w:rsidR="00A45A37">
        <w:rPr>
          <w:lang w:val="en-US"/>
        </w:rPr>
        <w:t>b</w:t>
      </w:r>
      <w:r w:rsidR="00AB5E15">
        <w:rPr>
          <w:lang w:val="en-US"/>
        </w:rPr>
        <w:t xml:space="preserve">ased on </w:t>
      </w:r>
      <w:r w:rsidR="00A45A37">
        <w:rPr>
          <w:lang w:val="en-US"/>
        </w:rPr>
        <w:t>e</w:t>
      </w:r>
      <w:r w:rsidR="00AB5E15">
        <w:rPr>
          <w:lang w:val="en-US"/>
        </w:rPr>
        <w:t>xperience</w:t>
      </w:r>
    </w:p>
    <w:p w14:paraId="28DEB22A" w14:textId="77777777" w:rsidR="00AB5E15" w:rsidRDefault="00BE6311" w:rsidP="00E851D2">
      <w:pPr>
        <w:pStyle w:val="SingleTxtG"/>
        <w:numPr>
          <w:ilvl w:val="0"/>
          <w:numId w:val="18"/>
        </w:numPr>
        <w:ind w:left="1134" w:firstLine="0"/>
        <w:rPr>
          <w:lang w:val="en-US"/>
        </w:rPr>
      </w:pPr>
      <w:r>
        <w:rPr>
          <w:lang w:val="en-US"/>
        </w:rPr>
        <w:t xml:space="preserve">Some explosives have been removed from Class 1 </w:t>
      </w:r>
      <w:proofErr w:type="gramStart"/>
      <w:r>
        <w:rPr>
          <w:lang w:val="en-US"/>
        </w:rPr>
        <w:t>on the basis of</w:t>
      </w:r>
      <w:proofErr w:type="gramEnd"/>
      <w:r>
        <w:rPr>
          <w:lang w:val="en-US"/>
        </w:rPr>
        <w:t xml:space="preserve"> their wide and safe use</w:t>
      </w:r>
      <w:r w:rsidR="00090F8D">
        <w:rPr>
          <w:lang w:val="en-US"/>
        </w:rPr>
        <w:t xml:space="preserve"> and storage</w:t>
      </w:r>
      <w:r>
        <w:rPr>
          <w:lang w:val="en-US"/>
        </w:rPr>
        <w:t xml:space="preserve">. </w:t>
      </w:r>
      <w:r w:rsidR="00AB5E15">
        <w:rPr>
          <w:lang w:val="en-US"/>
        </w:rPr>
        <w:t xml:space="preserve">Examples of these goods include: </w:t>
      </w:r>
    </w:p>
    <w:p w14:paraId="0265BDA5" w14:textId="504CF18A" w:rsidR="00822FCE" w:rsidRPr="00822FCE" w:rsidRDefault="00A45A37" w:rsidP="00A45A37">
      <w:pPr>
        <w:pStyle w:val="SingleTxtG"/>
        <w:ind w:left="1701"/>
        <w:rPr>
          <w:lang w:val="en-US"/>
        </w:rPr>
      </w:pPr>
      <w:r>
        <w:rPr>
          <w:lang w:val="en-US"/>
        </w:rPr>
        <w:t>(a)</w:t>
      </w:r>
      <w:r>
        <w:rPr>
          <w:lang w:val="en-US"/>
        </w:rPr>
        <w:tab/>
      </w:r>
      <w:r w:rsidR="00822FCE" w:rsidRPr="00822FCE">
        <w:rPr>
          <w:lang w:val="en-US"/>
        </w:rPr>
        <w:t xml:space="preserve">UN 2254 MATCHES, FUSEE (Division 4.1). These are specifically described as </w:t>
      </w:r>
      <w:r w:rsidR="00822FCE" w:rsidRPr="00A45A37">
        <w:t>pyrotechnics</w:t>
      </w:r>
      <w:r w:rsidR="00822FCE" w:rsidRPr="00822FCE">
        <w:rPr>
          <w:lang w:val="en-US"/>
        </w:rPr>
        <w:t xml:space="preserve"> in SP 293, which </w:t>
      </w:r>
      <w:proofErr w:type="gramStart"/>
      <w:r w:rsidR="00822FCE" w:rsidRPr="00822FCE">
        <w:rPr>
          <w:lang w:val="en-US"/>
        </w:rPr>
        <w:t>by definition are</w:t>
      </w:r>
      <w:proofErr w:type="gramEnd"/>
      <w:r w:rsidR="00822FCE" w:rsidRPr="00822FCE">
        <w:rPr>
          <w:lang w:val="en-US"/>
        </w:rPr>
        <w:t xml:space="preserve"> explosives. The special provision is only informational and </w:t>
      </w:r>
      <w:r w:rsidR="00A10D41">
        <w:rPr>
          <w:lang w:val="en-US"/>
        </w:rPr>
        <w:t>does not</w:t>
      </w:r>
      <w:r w:rsidR="00A10D41" w:rsidRPr="00822FCE">
        <w:rPr>
          <w:lang w:val="en-US"/>
        </w:rPr>
        <w:t xml:space="preserve"> </w:t>
      </w:r>
      <w:r w:rsidR="00822FCE" w:rsidRPr="00822FCE">
        <w:rPr>
          <w:lang w:val="en-US"/>
        </w:rPr>
        <w:t xml:space="preserve">trigger classification outside of the class; it is triggered by self-classification by industry into the most appropriate UN entry. This is an example of UN numbers and not </w:t>
      </w:r>
      <w:r w:rsidR="00253547">
        <w:rPr>
          <w:lang w:val="en-US"/>
        </w:rPr>
        <w:t>just</w:t>
      </w:r>
      <w:r w:rsidR="00253547" w:rsidRPr="00822FCE">
        <w:rPr>
          <w:lang w:val="en-US"/>
        </w:rPr>
        <w:t xml:space="preserve"> </w:t>
      </w:r>
      <w:r w:rsidR="00822FCE" w:rsidRPr="00822FCE">
        <w:rPr>
          <w:lang w:val="en-US"/>
        </w:rPr>
        <w:t xml:space="preserve">special provisions </w:t>
      </w:r>
      <w:r w:rsidR="00253547">
        <w:rPr>
          <w:lang w:val="en-US"/>
        </w:rPr>
        <w:t xml:space="preserve">were included </w:t>
      </w:r>
      <w:r w:rsidR="00822FCE" w:rsidRPr="00822FCE">
        <w:rPr>
          <w:lang w:val="en-US"/>
        </w:rPr>
        <w:t>in the exemption.</w:t>
      </w:r>
    </w:p>
    <w:p w14:paraId="142901E4" w14:textId="7FAC6953" w:rsidR="00822FCE" w:rsidRPr="00822FCE" w:rsidRDefault="00A45A37" w:rsidP="00A45A37">
      <w:pPr>
        <w:pStyle w:val="SingleTxtG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(b)</w:t>
      </w:r>
      <w:r>
        <w:rPr>
          <w:lang w:val="en-US"/>
        </w:rPr>
        <w:tab/>
      </w:r>
      <w:r w:rsidR="00822FCE" w:rsidRPr="00822FCE">
        <w:rPr>
          <w:lang w:val="en-US"/>
        </w:rPr>
        <w:t xml:space="preserve">UN 1331 MATCHES, ’STRIKE ANYWHERE’ (Division 4.1). </w:t>
      </w:r>
    </w:p>
    <w:p w14:paraId="043A3BFC" w14:textId="50E4A090" w:rsidR="00822FCE" w:rsidRPr="00822FCE" w:rsidRDefault="00A45A37" w:rsidP="00A45A37">
      <w:pPr>
        <w:pStyle w:val="SingleTxtG"/>
        <w:ind w:left="1701" w:hanging="567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(c)</w:t>
      </w:r>
      <w:r>
        <w:rPr>
          <w:lang w:val="en-US"/>
        </w:rPr>
        <w:tab/>
      </w:r>
      <w:r w:rsidR="00822FCE" w:rsidRPr="00822FCE">
        <w:rPr>
          <w:lang w:val="en-US"/>
        </w:rPr>
        <w:t xml:space="preserve">UN </w:t>
      </w:r>
      <w:r w:rsidR="00B36913" w:rsidRPr="00822FCE">
        <w:rPr>
          <w:lang w:val="en-US"/>
        </w:rPr>
        <w:t>1</w:t>
      </w:r>
      <w:r w:rsidR="00B36913">
        <w:rPr>
          <w:lang w:val="en-US"/>
        </w:rPr>
        <w:t>9</w:t>
      </w:r>
      <w:r w:rsidR="00B36913" w:rsidRPr="00822FCE">
        <w:rPr>
          <w:lang w:val="en-US"/>
        </w:rPr>
        <w:t xml:space="preserve">44 </w:t>
      </w:r>
      <w:r w:rsidR="00822FCE" w:rsidRPr="00822FCE">
        <w:rPr>
          <w:lang w:val="en-US"/>
        </w:rPr>
        <w:t xml:space="preserve">MATCHES, SAFETY and UN 1945 MATCHES, WAX ‘VESTA’(Division 4.1) </w:t>
      </w:r>
      <w:r w:rsidR="003954E2">
        <w:rPr>
          <w:lang w:val="en-US"/>
        </w:rPr>
        <w:t>–</w:t>
      </w:r>
      <w:r w:rsidR="00822FCE" w:rsidRPr="00822FCE">
        <w:rPr>
          <w:lang w:val="en-US"/>
        </w:rPr>
        <w:t xml:space="preserve"> </w:t>
      </w:r>
      <w:r w:rsidR="003954E2">
        <w:rPr>
          <w:lang w:val="en-US"/>
        </w:rPr>
        <w:t xml:space="preserve">also further </w:t>
      </w:r>
      <w:r w:rsidR="00822FCE" w:rsidRPr="00822FCE">
        <w:rPr>
          <w:lang w:val="en-US"/>
        </w:rPr>
        <w:t xml:space="preserve">note that </w:t>
      </w:r>
      <w:r w:rsidR="003954E2">
        <w:rPr>
          <w:lang w:val="en-US"/>
        </w:rPr>
        <w:t xml:space="preserve">all transport controls other than </w:t>
      </w:r>
      <w:r w:rsidR="003954E2" w:rsidRPr="00A45A37">
        <w:t>marking</w:t>
      </w:r>
      <w:r w:rsidR="003954E2">
        <w:rPr>
          <w:lang w:val="en-US"/>
        </w:rPr>
        <w:t xml:space="preserve"> are waived by</w:t>
      </w:r>
      <w:r w:rsidR="00822FCE" w:rsidRPr="00822FCE">
        <w:rPr>
          <w:lang w:val="en-US"/>
        </w:rPr>
        <w:t xml:space="preserve"> </w:t>
      </w:r>
      <w:r w:rsidR="00A10D41">
        <w:rPr>
          <w:lang w:val="en-US"/>
        </w:rPr>
        <w:t>Special Provision</w:t>
      </w:r>
      <w:r w:rsidR="00A10D41" w:rsidRPr="00822FCE">
        <w:rPr>
          <w:lang w:val="en-US"/>
        </w:rPr>
        <w:t xml:space="preserve"> </w:t>
      </w:r>
      <w:r w:rsidR="00822FCE" w:rsidRPr="00822FCE">
        <w:rPr>
          <w:lang w:val="en-US"/>
        </w:rPr>
        <w:t xml:space="preserve">294 based on the </w:t>
      </w:r>
      <w:r w:rsidR="003B72E8">
        <w:rPr>
          <w:lang w:val="en-US"/>
        </w:rPr>
        <w:t xml:space="preserve">extrinsic </w:t>
      </w:r>
      <w:r w:rsidR="00D05BE2">
        <w:rPr>
          <w:lang w:val="en-US"/>
        </w:rPr>
        <w:t xml:space="preserve">properties of a </w:t>
      </w:r>
      <w:r w:rsidR="00822FCE" w:rsidRPr="00822FCE">
        <w:rPr>
          <w:lang w:val="en-US"/>
        </w:rPr>
        <w:t xml:space="preserve">transport configuration </w:t>
      </w:r>
      <w:r w:rsidR="00A10D41">
        <w:rPr>
          <w:lang w:val="en-US"/>
        </w:rPr>
        <w:t xml:space="preserve">consisting </w:t>
      </w:r>
      <w:r w:rsidR="00822FCE" w:rsidRPr="00822FCE">
        <w:rPr>
          <w:lang w:val="en-US"/>
        </w:rPr>
        <w:t xml:space="preserve">of a 25kg </w:t>
      </w:r>
      <w:r w:rsidR="00F319C7">
        <w:rPr>
          <w:lang w:val="en-US"/>
        </w:rPr>
        <w:t>per package</w:t>
      </w:r>
      <w:r w:rsidR="00A10D41">
        <w:rPr>
          <w:lang w:val="en-US"/>
        </w:rPr>
        <w:t xml:space="preserve"> limit</w:t>
      </w:r>
      <w:r w:rsidR="00F319C7">
        <w:rPr>
          <w:lang w:val="en-US"/>
        </w:rPr>
        <w:t xml:space="preserve"> </w:t>
      </w:r>
      <w:r w:rsidR="00822FCE" w:rsidRPr="00822FCE">
        <w:rPr>
          <w:lang w:val="en-US"/>
        </w:rPr>
        <w:t xml:space="preserve">and </w:t>
      </w:r>
      <w:r w:rsidR="00A10D41">
        <w:rPr>
          <w:lang w:val="en-US"/>
        </w:rPr>
        <w:t xml:space="preserve">compliance with the </w:t>
      </w:r>
      <w:r w:rsidR="00D05BE2">
        <w:rPr>
          <w:lang w:val="en-US"/>
        </w:rPr>
        <w:t xml:space="preserve">packaging specifications in </w:t>
      </w:r>
      <w:r w:rsidR="00822FCE" w:rsidRPr="00822FCE">
        <w:rPr>
          <w:lang w:val="en-US"/>
        </w:rPr>
        <w:t xml:space="preserve">Packing Instruction </w:t>
      </w:r>
      <w:r w:rsidR="00A10D41">
        <w:rPr>
          <w:lang w:val="en-US"/>
        </w:rPr>
        <w:t>P</w:t>
      </w:r>
      <w:r w:rsidR="00822FCE" w:rsidRPr="00822FCE">
        <w:rPr>
          <w:lang w:val="en-US"/>
        </w:rPr>
        <w:t>407.</w:t>
      </w:r>
    </w:p>
    <w:p w14:paraId="491BE6D9" w14:textId="7B51B244" w:rsidR="00886C92" w:rsidRDefault="00A45A37" w:rsidP="00886C92">
      <w:pPr>
        <w:pStyle w:val="SingleTxtG"/>
        <w:rPr>
          <w:lang w:val="en-US"/>
        </w:rPr>
      </w:pPr>
      <w:r>
        <w:rPr>
          <w:lang w:val="en-US"/>
        </w:rPr>
        <w:t>9.</w:t>
      </w:r>
      <w:r>
        <w:rPr>
          <w:lang w:val="en-US"/>
        </w:rPr>
        <w:tab/>
      </w:r>
      <w:r w:rsidR="006260F3">
        <w:rPr>
          <w:lang w:val="en-US"/>
        </w:rPr>
        <w:t>Given the examples above and in consideration of the concern expressed by some members of the ICG</w:t>
      </w:r>
      <w:r w:rsidR="00B43422">
        <w:rPr>
          <w:lang w:val="en-US"/>
        </w:rPr>
        <w:t xml:space="preserve"> towards the draft 2.1.1.2.2(d)</w:t>
      </w:r>
      <w:r w:rsidR="003240F3">
        <w:rPr>
          <w:lang w:val="en-US"/>
        </w:rPr>
        <w:t>,</w:t>
      </w:r>
      <w:r w:rsidR="006260F3">
        <w:rPr>
          <w:lang w:val="en-US"/>
        </w:rPr>
        <w:t xml:space="preserve"> the USTF </w:t>
      </w:r>
      <w:r w:rsidR="00BE6311">
        <w:rPr>
          <w:lang w:val="en-US"/>
        </w:rPr>
        <w:t xml:space="preserve">proposes to </w:t>
      </w:r>
      <w:r w:rsidR="00F73D28">
        <w:rPr>
          <w:lang w:val="en-US"/>
        </w:rPr>
        <w:t xml:space="preserve">retain but </w:t>
      </w:r>
      <w:r w:rsidR="00BE6311">
        <w:rPr>
          <w:lang w:val="en-US"/>
        </w:rPr>
        <w:t xml:space="preserve">reduce the exemption to </w:t>
      </w:r>
      <w:r w:rsidR="00B43422">
        <w:rPr>
          <w:lang w:val="en-US"/>
        </w:rPr>
        <w:t>a lower</w:t>
      </w:r>
      <w:r w:rsidR="00BE6311">
        <w:rPr>
          <w:lang w:val="en-US"/>
        </w:rPr>
        <w:t xml:space="preserve"> </w:t>
      </w:r>
      <w:r w:rsidR="00B43422">
        <w:rPr>
          <w:lang w:val="en-US"/>
        </w:rPr>
        <w:t>threshold</w:t>
      </w:r>
      <w:r w:rsidR="00AB5E15">
        <w:rPr>
          <w:lang w:val="en-US"/>
        </w:rPr>
        <w:t>.</w:t>
      </w:r>
      <w:r w:rsidR="00AB5E15" w:rsidRPr="00AB5E15">
        <w:rPr>
          <w:lang w:val="en-US"/>
        </w:rPr>
        <w:t xml:space="preserve"> </w:t>
      </w:r>
      <w:r w:rsidR="00253547">
        <w:rPr>
          <w:lang w:val="en-US"/>
        </w:rPr>
        <w:t xml:space="preserve">Eligibility would be based on a globally predominating classification outside of Class 1 not dependent on packaging </w:t>
      </w:r>
      <w:r w:rsidR="0054641F">
        <w:rPr>
          <w:lang w:val="en-US"/>
        </w:rPr>
        <w:t>or</w:t>
      </w:r>
      <w:r w:rsidR="00253547">
        <w:rPr>
          <w:lang w:val="en-US"/>
        </w:rPr>
        <w:t xml:space="preserve"> incorporation into a larger device. </w:t>
      </w:r>
      <w:r w:rsidR="00AB5E15">
        <w:rPr>
          <w:lang w:val="en-US"/>
        </w:rPr>
        <w:t xml:space="preserve">We propose to fully exempt these products </w:t>
      </w:r>
      <w:r w:rsidR="00886C92">
        <w:rPr>
          <w:lang w:val="en-US"/>
        </w:rPr>
        <w:t>based on a short list of UN numbers</w:t>
      </w:r>
      <w:r w:rsidR="00AB5E15">
        <w:rPr>
          <w:lang w:val="en-US"/>
        </w:rPr>
        <w:t>.</w:t>
      </w:r>
      <w:r w:rsidR="00886C92" w:rsidRPr="00886C92">
        <w:rPr>
          <w:lang w:val="en-US"/>
        </w:rPr>
        <w:t xml:space="preserve"> </w:t>
      </w:r>
      <w:r w:rsidR="00886C92">
        <w:rPr>
          <w:lang w:val="en-US"/>
        </w:rPr>
        <w:t>Note that the requirement to be in the transport configuration has been removed</w:t>
      </w:r>
      <w:r w:rsidR="00E851D2">
        <w:rPr>
          <w:lang w:val="en-US"/>
        </w:rPr>
        <w:t>. The proposed text is</w:t>
      </w:r>
      <w:r w:rsidR="00886C92">
        <w:rPr>
          <w:lang w:val="en-US"/>
        </w:rPr>
        <w:t>:</w:t>
      </w:r>
    </w:p>
    <w:p w14:paraId="4E73E46E" w14:textId="6BD9B9B7" w:rsidR="00E851D2" w:rsidRPr="00C610EB" w:rsidRDefault="00E851D2" w:rsidP="00E851D2">
      <w:pPr>
        <w:pStyle w:val="SingleTxtG"/>
        <w:ind w:left="1710"/>
        <w:rPr>
          <w:lang w:val="en-US"/>
        </w:rPr>
      </w:pPr>
      <w:r>
        <w:rPr>
          <w:lang w:val="en-US"/>
        </w:rPr>
        <w:t>“2.1.1.2.2(d)</w:t>
      </w:r>
      <w:r>
        <w:rPr>
          <w:lang w:val="en-US"/>
        </w:rPr>
        <w:tab/>
      </w:r>
      <w:r>
        <w:t xml:space="preserve">Articles containing explosives which are allowed for transport but excluded from Class 1 by the </w:t>
      </w:r>
      <w:r>
        <w:rPr>
          <w:i/>
          <w:iCs/>
        </w:rPr>
        <w:t>UN Model Regulations</w:t>
      </w:r>
      <w:r>
        <w:rPr>
          <w:i/>
          <w:iCs/>
          <w:lang w:val="en-US"/>
        </w:rPr>
        <w:t xml:space="preserve">, </w:t>
      </w:r>
      <w:r w:rsidRPr="00C610EB">
        <w:rPr>
          <w:lang w:val="en-US"/>
        </w:rPr>
        <w:t>limited to the following</w:t>
      </w:r>
      <w:r>
        <w:rPr>
          <w:lang w:val="en-US"/>
        </w:rPr>
        <w:t xml:space="preserve"> UN numbers: UN numbers 2254, 1331, </w:t>
      </w:r>
      <w:r w:rsidR="0099545C">
        <w:rPr>
          <w:lang w:val="en-US"/>
        </w:rPr>
        <w:t>1944</w:t>
      </w:r>
      <w:r w:rsidR="009A12C6">
        <w:rPr>
          <w:lang w:val="en-US"/>
        </w:rPr>
        <w:t xml:space="preserve"> and 1945</w:t>
      </w:r>
      <w:r>
        <w:rPr>
          <w:lang w:val="en-US"/>
        </w:rPr>
        <w:t>.”</w:t>
      </w:r>
    </w:p>
    <w:p w14:paraId="4F0F2262" w14:textId="628CF121" w:rsidR="00B366AB" w:rsidRDefault="00B366AB" w:rsidP="00B366AB">
      <w:pPr>
        <w:pStyle w:val="HChG"/>
        <w:ind w:firstLine="0"/>
        <w:rPr>
          <w:lang w:val="en-US"/>
        </w:rPr>
      </w:pPr>
      <w:r>
        <w:rPr>
          <w:lang w:val="en-US"/>
        </w:rPr>
        <w:t xml:space="preserve">Articles </w:t>
      </w:r>
      <w:r w:rsidR="00A45A37">
        <w:rPr>
          <w:lang w:val="en-US"/>
        </w:rPr>
        <w:t>c</w:t>
      </w:r>
      <w:r>
        <w:rPr>
          <w:lang w:val="en-US"/>
        </w:rPr>
        <w:t xml:space="preserve">ontaining </w:t>
      </w:r>
      <w:r w:rsidR="00A45A37">
        <w:rPr>
          <w:lang w:val="en-US"/>
        </w:rPr>
        <w:t>e</w:t>
      </w:r>
      <w:r>
        <w:rPr>
          <w:lang w:val="en-US"/>
        </w:rPr>
        <w:t>xplosives</w:t>
      </w:r>
      <w:r w:rsidR="00E54410">
        <w:rPr>
          <w:lang w:val="en-US"/>
        </w:rPr>
        <w:t>,</w:t>
      </w:r>
      <w:r>
        <w:rPr>
          <w:lang w:val="en-US"/>
        </w:rPr>
        <w:t xml:space="preserve"> </w:t>
      </w:r>
      <w:r w:rsidR="00A45A37">
        <w:rPr>
          <w:lang w:val="en-US"/>
        </w:rPr>
        <w:t>e</w:t>
      </w:r>
      <w:r w:rsidR="001640DF">
        <w:rPr>
          <w:lang w:val="en-US"/>
        </w:rPr>
        <w:t xml:space="preserve">xcluded </w:t>
      </w:r>
      <w:r w:rsidR="00E54410">
        <w:rPr>
          <w:lang w:val="en-US"/>
        </w:rPr>
        <w:t xml:space="preserve">by </w:t>
      </w:r>
      <w:r w:rsidR="00A45A37">
        <w:rPr>
          <w:lang w:val="en-US"/>
        </w:rPr>
        <w:t>e</w:t>
      </w:r>
      <w:r w:rsidR="00E54410">
        <w:rPr>
          <w:lang w:val="en-US"/>
        </w:rPr>
        <w:t>quivalence to</w:t>
      </w:r>
      <w:r>
        <w:rPr>
          <w:lang w:val="en-US"/>
        </w:rPr>
        <w:t xml:space="preserve"> the</w:t>
      </w:r>
      <w:r w:rsidR="00305943">
        <w:rPr>
          <w:lang w:val="en-US"/>
        </w:rPr>
        <w:t xml:space="preserve"> </w:t>
      </w:r>
      <w:r w:rsidR="00A45A37">
        <w:rPr>
          <w:lang w:val="en-US"/>
        </w:rPr>
        <w:t>e</w:t>
      </w:r>
      <w:r w:rsidR="00305943">
        <w:rPr>
          <w:lang w:val="en-US"/>
        </w:rPr>
        <w:t>xclusion</w:t>
      </w:r>
      <w:r>
        <w:rPr>
          <w:lang w:val="en-US"/>
        </w:rPr>
        <w:t xml:space="preserve"> </w:t>
      </w:r>
      <w:r w:rsidR="00A45A37">
        <w:rPr>
          <w:lang w:val="en-US"/>
        </w:rPr>
        <w:t>c</w:t>
      </w:r>
      <w:r>
        <w:rPr>
          <w:lang w:val="en-US"/>
        </w:rPr>
        <w:t>riteria</w:t>
      </w:r>
      <w:r w:rsidR="00923AA2">
        <w:rPr>
          <w:lang w:val="en-US"/>
        </w:rPr>
        <w:t xml:space="preserve"> in 2.1.1.2.1(b).</w:t>
      </w:r>
    </w:p>
    <w:p w14:paraId="12A6DBF3" w14:textId="1431BA53" w:rsidR="00AB5E15" w:rsidRDefault="00A45A37" w:rsidP="00A45A37">
      <w:pPr>
        <w:pStyle w:val="SingleTxtG"/>
        <w:rPr>
          <w:lang w:val="en-US"/>
        </w:rPr>
      </w:pPr>
      <w:r>
        <w:rPr>
          <w:lang w:val="en-US"/>
        </w:rPr>
        <w:tab/>
        <w:t>10.</w:t>
      </w:r>
      <w:r>
        <w:rPr>
          <w:lang w:val="en-US"/>
        </w:rPr>
        <w:tab/>
      </w:r>
      <w:r w:rsidR="00B366AB">
        <w:rPr>
          <w:lang w:val="en-US"/>
        </w:rPr>
        <w:t xml:space="preserve">Some articles containing explosives have been deemed </w:t>
      </w:r>
      <w:r w:rsidR="00E54410">
        <w:rPr>
          <w:lang w:val="en-US"/>
        </w:rPr>
        <w:t>by a competent</w:t>
      </w:r>
      <w:r w:rsidR="00B366AB">
        <w:rPr>
          <w:lang w:val="en-US"/>
        </w:rPr>
        <w:t xml:space="preserve"> authority to be equivalent to explosive articles passing the criteria in 2.1.1.2.1(b). W</w:t>
      </w:r>
      <w:r w:rsidR="00AB5E15">
        <w:rPr>
          <w:lang w:val="en-US"/>
        </w:rPr>
        <w:t xml:space="preserve">hile </w:t>
      </w:r>
      <w:r w:rsidR="00923AA2">
        <w:rPr>
          <w:lang w:val="en-US"/>
        </w:rPr>
        <w:t>posing a low transport risk</w:t>
      </w:r>
      <w:r w:rsidR="00AB5E15">
        <w:rPr>
          <w:lang w:val="en-US"/>
        </w:rPr>
        <w:t xml:space="preserve">, </w:t>
      </w:r>
      <w:r w:rsidR="00B366AB">
        <w:rPr>
          <w:lang w:val="en-US"/>
        </w:rPr>
        <w:t xml:space="preserve">they </w:t>
      </w:r>
      <w:r w:rsidR="00923AA2">
        <w:rPr>
          <w:lang w:val="en-US"/>
        </w:rPr>
        <w:t xml:space="preserve">may not meet </w:t>
      </w:r>
      <w:r w:rsidR="00AB5E15">
        <w:rPr>
          <w:lang w:val="en-US"/>
        </w:rPr>
        <w:t xml:space="preserve">the </w:t>
      </w:r>
      <w:r w:rsidR="00763F5B">
        <w:rPr>
          <w:lang w:val="en-US"/>
        </w:rPr>
        <w:t>full</w:t>
      </w:r>
      <w:r w:rsidR="00923AA2">
        <w:rPr>
          <w:lang w:val="en-US"/>
        </w:rPr>
        <w:t xml:space="preserve"> </w:t>
      </w:r>
      <w:r w:rsidR="00AB5E15">
        <w:rPr>
          <w:lang w:val="en-US"/>
        </w:rPr>
        <w:t>criteria, e.g., the</w:t>
      </w:r>
      <w:r w:rsidR="00763F5B">
        <w:rPr>
          <w:lang w:val="en-US"/>
        </w:rPr>
        <w:t xml:space="preserve"> surface temperature during initiation </w:t>
      </w:r>
      <w:r w:rsidR="00247764">
        <w:rPr>
          <w:lang w:val="en-US"/>
        </w:rPr>
        <w:t>may be</w:t>
      </w:r>
      <w:r w:rsidR="00763F5B">
        <w:rPr>
          <w:lang w:val="en-US"/>
        </w:rPr>
        <w:t xml:space="preserve"> hot enough to causes burns</w:t>
      </w:r>
      <w:r w:rsidR="00AB5E15">
        <w:rPr>
          <w:lang w:val="en-US"/>
        </w:rPr>
        <w:t xml:space="preserve">. </w:t>
      </w:r>
      <w:r w:rsidR="00B366AB">
        <w:rPr>
          <w:lang w:val="en-US"/>
        </w:rPr>
        <w:t xml:space="preserve">An example is a thermal battery. Such determinations of equivalency cannot be fully predicted. The </w:t>
      </w:r>
      <w:r w:rsidR="002C25CC">
        <w:rPr>
          <w:lang w:val="en-US"/>
        </w:rPr>
        <w:t xml:space="preserve">USTF </w:t>
      </w:r>
      <w:r w:rsidR="00B366AB">
        <w:rPr>
          <w:lang w:val="en-US"/>
        </w:rPr>
        <w:t>recommends that explosives articles be fully exempted when</w:t>
      </w:r>
      <w:r w:rsidR="00E54410">
        <w:rPr>
          <w:lang w:val="en-US"/>
        </w:rPr>
        <w:t>ever</w:t>
      </w:r>
      <w:r w:rsidR="00B366AB">
        <w:rPr>
          <w:lang w:val="en-US"/>
        </w:rPr>
        <w:t xml:space="preserve"> this rationale is used by a c</w:t>
      </w:r>
      <w:r w:rsidR="00AB5E15">
        <w:rPr>
          <w:lang w:val="en-US"/>
        </w:rPr>
        <w:t>ompetent authorit</w:t>
      </w:r>
      <w:r w:rsidR="00B366AB">
        <w:rPr>
          <w:lang w:val="en-US"/>
        </w:rPr>
        <w:t>y</w:t>
      </w:r>
      <w:r w:rsidR="00AB5E15">
        <w:rPr>
          <w:lang w:val="en-US"/>
        </w:rPr>
        <w:t>.</w:t>
      </w:r>
    </w:p>
    <w:p w14:paraId="08BB9086" w14:textId="77777777" w:rsidR="00A45A37" w:rsidRDefault="00A45A37">
      <w:pPr>
        <w:suppressAutoHyphens w:val="0"/>
        <w:spacing w:line="240" w:lineRule="auto"/>
        <w:rPr>
          <w:lang w:val="en-US"/>
        </w:rPr>
      </w:pPr>
      <w:r>
        <w:rPr>
          <w:lang w:val="en-US"/>
        </w:rPr>
        <w:br w:type="page"/>
      </w:r>
    </w:p>
    <w:p w14:paraId="2650C4A8" w14:textId="6800FB74" w:rsidR="003240F3" w:rsidRDefault="00A45A37" w:rsidP="00A45A37">
      <w:pPr>
        <w:pStyle w:val="SingleTxtG"/>
        <w:rPr>
          <w:lang w:val="en-US"/>
        </w:rPr>
      </w:pPr>
      <w:r>
        <w:rPr>
          <w:lang w:val="en-US"/>
        </w:rPr>
        <w:lastRenderedPageBreak/>
        <w:tab/>
        <w:t>11.</w:t>
      </w:r>
      <w:r>
        <w:rPr>
          <w:lang w:val="en-US"/>
        </w:rPr>
        <w:tab/>
      </w:r>
      <w:r w:rsidR="00475CD0">
        <w:rPr>
          <w:lang w:val="en-US"/>
        </w:rPr>
        <w:t xml:space="preserve">An </w:t>
      </w:r>
      <w:r w:rsidR="00C8235A">
        <w:rPr>
          <w:lang w:val="en-US"/>
        </w:rPr>
        <w:t xml:space="preserve">exclusion </w:t>
      </w:r>
      <w:r w:rsidR="00541A44">
        <w:rPr>
          <w:lang w:val="en-US"/>
        </w:rPr>
        <w:t xml:space="preserve">in </w:t>
      </w:r>
      <w:r w:rsidR="00475CD0">
        <w:rPr>
          <w:lang w:val="en-US"/>
        </w:rPr>
        <w:t xml:space="preserve">a new </w:t>
      </w:r>
      <w:r w:rsidR="00541A44">
        <w:rPr>
          <w:lang w:val="en-US"/>
        </w:rPr>
        <w:t>2.1.1.2.2(</w:t>
      </w:r>
      <w:r w:rsidR="00475CD0">
        <w:rPr>
          <w:lang w:val="en-US"/>
        </w:rPr>
        <w:t>e</w:t>
      </w:r>
      <w:r w:rsidR="00541A44">
        <w:rPr>
          <w:lang w:val="en-US"/>
        </w:rPr>
        <w:t xml:space="preserve">) could be </w:t>
      </w:r>
      <w:r w:rsidR="00475CD0">
        <w:rPr>
          <w:lang w:val="en-US"/>
        </w:rPr>
        <w:t>added</w:t>
      </w:r>
      <w:r w:rsidR="00541A44">
        <w:rPr>
          <w:lang w:val="en-US"/>
        </w:rPr>
        <w:t xml:space="preserve"> as follows:</w:t>
      </w:r>
    </w:p>
    <w:p w14:paraId="03953089" w14:textId="77777777" w:rsidR="00B366AB" w:rsidRPr="00475CD0" w:rsidRDefault="00475CD0" w:rsidP="00A45A37">
      <w:pPr>
        <w:pStyle w:val="SingleTxtG"/>
        <w:ind w:left="1701"/>
        <w:rPr>
          <w:b/>
        </w:rPr>
      </w:pPr>
      <w:r>
        <w:t>“</w:t>
      </w:r>
      <w:r w:rsidRPr="00475CD0">
        <w:t>(</w:t>
      </w:r>
      <w:r>
        <w:t>e</w:t>
      </w:r>
      <w:r w:rsidRPr="00475CD0">
        <w:t xml:space="preserve">) Articles containing explosives </w:t>
      </w:r>
      <w:r>
        <w:t>excluded from the class of explosives by a competent authority on the basis of equivalency to the criteria in 2.1.1.2.1(b).”</w:t>
      </w:r>
    </w:p>
    <w:p w14:paraId="0D73A089" w14:textId="498886C0" w:rsidR="0061549F" w:rsidRDefault="00FE3552" w:rsidP="0061549F">
      <w:pPr>
        <w:pStyle w:val="HChG"/>
        <w:ind w:firstLine="0"/>
        <w:rPr>
          <w:lang w:val="en-US"/>
        </w:rPr>
      </w:pPr>
      <w:r>
        <w:rPr>
          <w:lang w:val="en-US"/>
        </w:rPr>
        <w:t xml:space="preserve">Consequential </w:t>
      </w:r>
      <w:r w:rsidR="00A45A37">
        <w:rPr>
          <w:lang w:val="en-US"/>
        </w:rPr>
        <w:t>a</w:t>
      </w:r>
      <w:r>
        <w:rPr>
          <w:lang w:val="en-US"/>
        </w:rPr>
        <w:t xml:space="preserve">mendment to </w:t>
      </w:r>
      <w:r w:rsidR="00A45A37">
        <w:rPr>
          <w:lang w:val="en-US"/>
        </w:rPr>
        <w:t>s</w:t>
      </w:r>
      <w:r>
        <w:rPr>
          <w:lang w:val="en-US"/>
        </w:rPr>
        <w:t xml:space="preserve">ection </w:t>
      </w:r>
      <w:r w:rsidR="0061549F">
        <w:rPr>
          <w:lang w:val="en-US"/>
        </w:rPr>
        <w:t>2.1.3</w:t>
      </w:r>
    </w:p>
    <w:p w14:paraId="27E2540E" w14:textId="5AA163FC" w:rsidR="007C3FFE" w:rsidRPr="00E10F84" w:rsidRDefault="00A45A37" w:rsidP="00A45A37">
      <w:pPr>
        <w:pStyle w:val="SingleTxtG"/>
        <w:rPr>
          <w:lang w:val="en-US"/>
        </w:rPr>
      </w:pPr>
      <w:r>
        <w:rPr>
          <w:lang w:val="en-US"/>
        </w:rPr>
        <w:tab/>
        <w:t>12.</w:t>
      </w:r>
      <w:r>
        <w:rPr>
          <w:lang w:val="en-US"/>
        </w:rPr>
        <w:tab/>
      </w:r>
      <w:r w:rsidR="00E10F84">
        <w:rPr>
          <w:lang w:val="en-US"/>
        </w:rPr>
        <w:t>A</w:t>
      </w:r>
      <w:r w:rsidR="007C3FFE" w:rsidRPr="00E10F84">
        <w:rPr>
          <w:lang w:val="en-US"/>
        </w:rPr>
        <w:t xml:space="preserve"> consequential amendment </w:t>
      </w:r>
      <w:r w:rsidR="00E10F84">
        <w:rPr>
          <w:lang w:val="en-US"/>
        </w:rPr>
        <w:t xml:space="preserve">would be necessary </w:t>
      </w:r>
      <w:r w:rsidR="00910F87">
        <w:rPr>
          <w:lang w:val="en-US"/>
        </w:rPr>
        <w:t xml:space="preserve">to </w:t>
      </w:r>
      <w:r w:rsidR="007C3FFE" w:rsidRPr="00E10F84">
        <w:rPr>
          <w:lang w:val="en-US"/>
        </w:rPr>
        <w:t>the second paragraph of the note under 2.1.3:</w:t>
      </w:r>
    </w:p>
    <w:p w14:paraId="30BF5DFA" w14:textId="77777777" w:rsidR="007C3FFE" w:rsidRDefault="00E10F84" w:rsidP="0061549F">
      <w:pPr>
        <w:pStyle w:val="SingleTxtG"/>
        <w:ind w:left="1701"/>
        <w:rPr>
          <w:lang w:val="en-US"/>
        </w:rPr>
      </w:pPr>
      <w:r>
        <w:rPr>
          <w:lang w:val="en-US"/>
        </w:rPr>
        <w:t>“</w:t>
      </w:r>
      <w:r w:rsidR="007C3FFE" w:rsidRPr="006314B1">
        <w:rPr>
          <w:lang w:val="en-US"/>
        </w:rPr>
        <w:t xml:space="preserve">Similarly, </w:t>
      </w:r>
      <w:r w:rsidR="00A10D41">
        <w:rPr>
          <w:lang w:val="en-US"/>
        </w:rPr>
        <w:t xml:space="preserve">explosive </w:t>
      </w:r>
      <w:r w:rsidR="007C3FFE" w:rsidRPr="006314B1">
        <w:rPr>
          <w:lang w:val="en-US"/>
        </w:rPr>
        <w:t xml:space="preserve">articles </w:t>
      </w:r>
      <w:r w:rsidR="00A10D41">
        <w:rPr>
          <w:lang w:val="en-US"/>
        </w:rPr>
        <w:t>exempted</w:t>
      </w:r>
      <w:r w:rsidR="00A10D41" w:rsidRPr="006314B1">
        <w:rPr>
          <w:lang w:val="en-US"/>
        </w:rPr>
        <w:t xml:space="preserve"> </w:t>
      </w:r>
      <w:r w:rsidR="006314B1" w:rsidRPr="006314B1">
        <w:rPr>
          <w:lang w:val="en-US"/>
        </w:rPr>
        <w:t xml:space="preserve">from labeling </w:t>
      </w:r>
      <w:r w:rsidR="007C3FFE" w:rsidRPr="006314B1">
        <w:rPr>
          <w:lang w:val="en-US"/>
        </w:rPr>
        <w:t>by 2.1.1.2</w:t>
      </w:r>
      <w:r w:rsidR="006314B1" w:rsidRPr="006314B1">
        <w:rPr>
          <w:lang w:val="en-US"/>
        </w:rPr>
        <w:t>.3</w:t>
      </w:r>
      <w:r w:rsidR="007C3FFE" w:rsidRPr="006314B1">
        <w:rPr>
          <w:lang w:val="en-US"/>
        </w:rPr>
        <w:t> still pose an explosion hazard which should be conveyed in sub-section 2.3 of the Safety Data Sheet, and in other sections as appropriate.</w:t>
      </w:r>
      <w:r w:rsidR="00910F87" w:rsidRPr="006314B1">
        <w:rPr>
          <w:lang w:val="en-US"/>
        </w:rPr>
        <w:t>”</w:t>
      </w:r>
    </w:p>
    <w:p w14:paraId="3884FED6" w14:textId="77777777" w:rsidR="008C1A0E" w:rsidRDefault="008C1A0E" w:rsidP="008C1A0E">
      <w:pPr>
        <w:pStyle w:val="HChG"/>
        <w:ind w:left="2268"/>
      </w:pPr>
      <w:r>
        <w:t>P</w:t>
      </w:r>
      <w:r w:rsidR="00747C8C">
        <w:rPr>
          <w:lang w:val="fr-CH"/>
        </w:rPr>
        <w:t>roposal</w:t>
      </w:r>
    </w:p>
    <w:p w14:paraId="6131285D" w14:textId="681BA46A" w:rsidR="00103A90" w:rsidRDefault="00A45A37" w:rsidP="00A45A37">
      <w:pPr>
        <w:pStyle w:val="SingleTxtG"/>
      </w:pPr>
      <w:r>
        <w:rPr>
          <w:lang w:val="en-US"/>
        </w:rPr>
        <w:tab/>
        <w:t>13.</w:t>
      </w:r>
      <w:r>
        <w:rPr>
          <w:lang w:val="en-US"/>
        </w:rPr>
        <w:tab/>
      </w:r>
      <w:r w:rsidR="00103A90">
        <w:rPr>
          <w:lang w:val="en-US"/>
        </w:rPr>
        <w:t xml:space="preserve">The USTF invite the Sub-Committee to consider the </w:t>
      </w:r>
      <w:r w:rsidR="0061549F">
        <w:rPr>
          <w:lang w:val="en-US"/>
        </w:rPr>
        <w:t xml:space="preserve">texts proposed in paragraphs 7, </w:t>
      </w:r>
      <w:r w:rsidR="00C87CE7">
        <w:rPr>
          <w:lang w:val="en-US"/>
        </w:rPr>
        <w:t>9</w:t>
      </w:r>
      <w:r w:rsidR="0061549F">
        <w:rPr>
          <w:lang w:val="en-US"/>
        </w:rPr>
        <w:t xml:space="preserve">, </w:t>
      </w:r>
      <w:r w:rsidR="00C87CE7">
        <w:rPr>
          <w:lang w:val="en-US"/>
        </w:rPr>
        <w:t>11</w:t>
      </w:r>
      <w:r w:rsidR="0061549F">
        <w:rPr>
          <w:lang w:val="en-US"/>
        </w:rPr>
        <w:t xml:space="preserve"> and </w:t>
      </w:r>
      <w:r w:rsidR="00C87CE7">
        <w:rPr>
          <w:lang w:val="en-US"/>
        </w:rPr>
        <w:t>12</w:t>
      </w:r>
      <w:r w:rsidR="0061549F">
        <w:rPr>
          <w:lang w:val="en-US"/>
        </w:rPr>
        <w:t>.</w:t>
      </w:r>
    </w:p>
    <w:p w14:paraId="35E662B5" w14:textId="77777777" w:rsidR="00747C8C" w:rsidRPr="00747C8C" w:rsidRDefault="00747C8C" w:rsidP="00747C8C">
      <w:pPr>
        <w:spacing w:before="240"/>
        <w:jc w:val="center"/>
        <w:rPr>
          <w:u w:val="single"/>
        </w:rPr>
      </w:pPr>
      <w:bookmarkStart w:id="0" w:name="_GoBack"/>
      <w:bookmarkEnd w:id="0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747C8C" w:rsidRPr="00747C8C" w:rsidSect="008C1A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1701" w:right="1134" w:bottom="2268" w:left="1134" w:header="96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F642AA" w14:textId="77777777" w:rsidR="008754FF" w:rsidRDefault="008754FF"/>
  </w:endnote>
  <w:endnote w:type="continuationSeparator" w:id="0">
    <w:p w14:paraId="7B9836B3" w14:textId="77777777" w:rsidR="008754FF" w:rsidRDefault="008754FF"/>
  </w:endnote>
  <w:endnote w:type="continuationNotice" w:id="1">
    <w:p w14:paraId="14850A19" w14:textId="77777777" w:rsidR="008754FF" w:rsidRDefault="008754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A9CCB" w14:textId="0842C4FF" w:rsidR="00B71B78" w:rsidRPr="000216CC" w:rsidRDefault="00B71B78" w:rsidP="000216CC">
    <w:pPr>
      <w:pStyle w:val="Footer"/>
      <w:tabs>
        <w:tab w:val="right" w:pos="9638"/>
      </w:tabs>
      <w:rPr>
        <w:sz w:val="18"/>
      </w:rPr>
    </w:pPr>
    <w:r w:rsidRPr="000216CC">
      <w:rPr>
        <w:b/>
        <w:sz w:val="18"/>
      </w:rPr>
      <w:fldChar w:fldCharType="begin"/>
    </w:r>
    <w:r w:rsidRPr="000216CC">
      <w:rPr>
        <w:b/>
        <w:sz w:val="18"/>
      </w:rPr>
      <w:instrText xml:space="preserve"> PAGE  \* MERGEFORMAT </w:instrText>
    </w:r>
    <w:r w:rsidRPr="000216CC">
      <w:rPr>
        <w:b/>
        <w:sz w:val="18"/>
      </w:rPr>
      <w:fldChar w:fldCharType="separate"/>
    </w:r>
    <w:r w:rsidR="00DC5BF4">
      <w:rPr>
        <w:b/>
        <w:noProof/>
        <w:sz w:val="18"/>
      </w:rPr>
      <w:t>4</w:t>
    </w:r>
    <w:r w:rsidRPr="000216CC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B4213" w14:textId="0BFF2C25" w:rsidR="00B71B78" w:rsidRPr="000216CC" w:rsidRDefault="00B71B78" w:rsidP="000216CC">
    <w:pPr>
      <w:pStyle w:val="Footer"/>
      <w:tabs>
        <w:tab w:val="right" w:pos="9638"/>
      </w:tabs>
      <w:rPr>
        <w:b/>
        <w:sz w:val="18"/>
      </w:rPr>
    </w:pPr>
    <w:r>
      <w:tab/>
    </w:r>
    <w:r w:rsidRPr="000216CC">
      <w:rPr>
        <w:b/>
        <w:sz w:val="18"/>
      </w:rPr>
      <w:fldChar w:fldCharType="begin"/>
    </w:r>
    <w:r w:rsidRPr="000216CC">
      <w:rPr>
        <w:b/>
        <w:sz w:val="18"/>
      </w:rPr>
      <w:instrText xml:space="preserve"> PAGE  \* MERGEFORMAT </w:instrText>
    </w:r>
    <w:r w:rsidRPr="000216CC">
      <w:rPr>
        <w:b/>
        <w:sz w:val="18"/>
      </w:rPr>
      <w:fldChar w:fldCharType="separate"/>
    </w:r>
    <w:r w:rsidR="00DC5BF4">
      <w:rPr>
        <w:b/>
        <w:noProof/>
        <w:sz w:val="18"/>
      </w:rPr>
      <w:t>5</w:t>
    </w:r>
    <w:r w:rsidRPr="000216C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FC355" w14:textId="77777777" w:rsidR="00B71B78" w:rsidRDefault="00B71B78" w:rsidP="0097639C">
    <w:pPr>
      <w:pStyle w:val="Footer"/>
      <w:tabs>
        <w:tab w:val="right" w:pos="963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454854" w14:textId="77777777" w:rsidR="008754FF" w:rsidRPr="000B175B" w:rsidRDefault="008754FF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396128E" w14:textId="77777777" w:rsidR="008754FF" w:rsidRPr="00FC68B7" w:rsidRDefault="008754FF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0FA6C9B" w14:textId="77777777" w:rsidR="008754FF" w:rsidRDefault="008754F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59B4F" w14:textId="325AEBAB" w:rsidR="00B71B78" w:rsidRPr="001E5919" w:rsidRDefault="00EE73F9" w:rsidP="001E5919">
    <w:pPr>
      <w:pStyle w:val="Header"/>
      <w:rPr>
        <w:lang w:val="fr-FR"/>
      </w:rPr>
    </w:pPr>
    <w:r>
      <w:rPr>
        <w:lang w:val="fr-FR"/>
      </w:rPr>
      <w:t>UN/SCETDG/57/INF.15</w:t>
    </w:r>
    <w:r>
      <w:rPr>
        <w:lang w:val="fr-FR"/>
      </w:rPr>
      <w:br/>
    </w:r>
    <w:r w:rsidR="00B71B78">
      <w:rPr>
        <w:lang w:val="fr-FR"/>
      </w:rPr>
      <w:t>UN/SCEGHS/39/INF.</w:t>
    </w:r>
    <w:r w:rsidR="00DA7F19">
      <w:rPr>
        <w:lang w:val="fr-FR"/>
      </w:rPr>
      <w:t>10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941F6" w14:textId="7FF91012" w:rsidR="00B71B78" w:rsidRPr="001E5919" w:rsidRDefault="00EE73F9" w:rsidP="001E5919">
    <w:pPr>
      <w:pStyle w:val="Header"/>
      <w:jc w:val="right"/>
      <w:rPr>
        <w:lang w:val="fr-FR"/>
      </w:rPr>
    </w:pPr>
    <w:r>
      <w:rPr>
        <w:lang w:val="fr-FR"/>
      </w:rPr>
      <w:t>UN/SCETDG/57/INF.15</w:t>
    </w:r>
    <w:r>
      <w:rPr>
        <w:lang w:val="fr-FR"/>
      </w:rPr>
      <w:br/>
      <w:t>UN/SCEGHS/39/INF.10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3B615" w14:textId="77777777" w:rsidR="00B71B78" w:rsidRPr="00542C8D" w:rsidRDefault="00B71B78" w:rsidP="00542C8D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E4158"/>
    <w:multiLevelType w:val="hybridMultilevel"/>
    <w:tmpl w:val="60948D56"/>
    <w:lvl w:ilvl="0" w:tplc="EA7C2B66">
      <w:start w:val="1"/>
      <w:numFmt w:val="decimal"/>
      <w:lvlText w:val="%1."/>
      <w:lvlJc w:val="left"/>
      <w:pPr>
        <w:ind w:left="675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214" w:hanging="360"/>
      </w:pPr>
    </w:lvl>
    <w:lvl w:ilvl="2" w:tplc="0809001B">
      <w:start w:val="1"/>
      <w:numFmt w:val="lowerRoman"/>
      <w:lvlText w:val="%3."/>
      <w:lvlJc w:val="right"/>
      <w:pPr>
        <w:ind w:left="2934" w:hanging="180"/>
      </w:pPr>
    </w:lvl>
    <w:lvl w:ilvl="3" w:tplc="9DDC7C60">
      <w:numFmt w:val="bullet"/>
      <w:lvlText w:val="•"/>
      <w:lvlJc w:val="left"/>
      <w:pPr>
        <w:ind w:left="3734" w:hanging="440"/>
      </w:pPr>
      <w:rPr>
        <w:rFonts w:ascii="Times New Roman" w:eastAsia="Times New Roman" w:hAnsi="Times New Roman" w:cs="Times New Roman" w:hint="default"/>
      </w:r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0C40124B"/>
    <w:multiLevelType w:val="hybridMultilevel"/>
    <w:tmpl w:val="CBEA5AEC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2574" w:hanging="360"/>
      </w:pPr>
    </w:lvl>
    <w:lvl w:ilvl="2" w:tplc="0809001B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D6C6FEE"/>
    <w:multiLevelType w:val="hybridMultilevel"/>
    <w:tmpl w:val="89A89CC2"/>
    <w:lvl w:ilvl="0" w:tplc="04090017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81" w:hanging="360"/>
      </w:pPr>
    </w:lvl>
    <w:lvl w:ilvl="2" w:tplc="0409001B">
      <w:start w:val="1"/>
      <w:numFmt w:val="lowerRoman"/>
      <w:lvlText w:val="%3."/>
      <w:lvlJc w:val="right"/>
      <w:pPr>
        <w:ind w:left="3501" w:hanging="180"/>
      </w:pPr>
    </w:lvl>
    <w:lvl w:ilvl="3" w:tplc="0409000F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5" w15:restartNumberingAfterBreak="0">
    <w:nsid w:val="1D7C46FE"/>
    <w:multiLevelType w:val="hybridMultilevel"/>
    <w:tmpl w:val="5484C730"/>
    <w:lvl w:ilvl="0" w:tplc="B9BCD836">
      <w:start w:val="1"/>
      <w:numFmt w:val="lowerLetter"/>
      <w:lvlText w:val="(%1)"/>
      <w:lvlJc w:val="left"/>
      <w:pPr>
        <w:ind w:left="206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81" w:hanging="360"/>
      </w:pPr>
    </w:lvl>
    <w:lvl w:ilvl="2" w:tplc="0409001B">
      <w:start w:val="1"/>
      <w:numFmt w:val="lowerRoman"/>
      <w:lvlText w:val="%3."/>
      <w:lvlJc w:val="right"/>
      <w:pPr>
        <w:ind w:left="3501" w:hanging="180"/>
      </w:pPr>
    </w:lvl>
    <w:lvl w:ilvl="3" w:tplc="0409000F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6" w15:restartNumberingAfterBreak="0">
    <w:nsid w:val="21B37988"/>
    <w:multiLevelType w:val="hybridMultilevel"/>
    <w:tmpl w:val="6C14A746"/>
    <w:lvl w:ilvl="0" w:tplc="EA7C2B6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23315929"/>
    <w:multiLevelType w:val="hybridMultilevel"/>
    <w:tmpl w:val="5DBA275E"/>
    <w:lvl w:ilvl="0" w:tplc="600C3136">
      <w:start w:val="1"/>
      <w:numFmt w:val="lowerLetter"/>
      <w:lvlText w:val="(%1)"/>
      <w:lvlJc w:val="left"/>
      <w:pPr>
        <w:ind w:left="20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8" w15:restartNumberingAfterBreak="0">
    <w:nsid w:val="2CF14259"/>
    <w:multiLevelType w:val="hybridMultilevel"/>
    <w:tmpl w:val="75EE8C66"/>
    <w:lvl w:ilvl="0" w:tplc="1BE8D614">
      <w:start w:val="13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>
      <w:start w:val="1"/>
      <w:numFmt w:val="lowerRoman"/>
      <w:lvlText w:val="%3."/>
      <w:lvlJc w:val="right"/>
      <w:pPr>
        <w:ind w:left="2934" w:hanging="180"/>
      </w:pPr>
    </w:lvl>
    <w:lvl w:ilvl="3" w:tplc="0409000F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383F09AE"/>
    <w:multiLevelType w:val="hybridMultilevel"/>
    <w:tmpl w:val="10F86E76"/>
    <w:lvl w:ilvl="0" w:tplc="D758D3BA">
      <w:start w:val="1"/>
      <w:numFmt w:val="lowerRoman"/>
      <w:lvlText w:val="%1."/>
      <w:lvlJc w:val="left"/>
      <w:pPr>
        <w:ind w:left="298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348" w:hanging="360"/>
      </w:pPr>
    </w:lvl>
    <w:lvl w:ilvl="2" w:tplc="0809001B" w:tentative="1">
      <w:start w:val="1"/>
      <w:numFmt w:val="lowerRoman"/>
      <w:lvlText w:val="%3."/>
      <w:lvlJc w:val="right"/>
      <w:pPr>
        <w:ind w:left="4068" w:hanging="180"/>
      </w:pPr>
    </w:lvl>
    <w:lvl w:ilvl="3" w:tplc="0809000F" w:tentative="1">
      <w:start w:val="1"/>
      <w:numFmt w:val="decimal"/>
      <w:lvlText w:val="%4."/>
      <w:lvlJc w:val="left"/>
      <w:pPr>
        <w:ind w:left="4788" w:hanging="360"/>
      </w:pPr>
    </w:lvl>
    <w:lvl w:ilvl="4" w:tplc="08090019" w:tentative="1">
      <w:start w:val="1"/>
      <w:numFmt w:val="lowerLetter"/>
      <w:lvlText w:val="%5."/>
      <w:lvlJc w:val="left"/>
      <w:pPr>
        <w:ind w:left="5508" w:hanging="360"/>
      </w:pPr>
    </w:lvl>
    <w:lvl w:ilvl="5" w:tplc="0809001B" w:tentative="1">
      <w:start w:val="1"/>
      <w:numFmt w:val="lowerRoman"/>
      <w:lvlText w:val="%6."/>
      <w:lvlJc w:val="right"/>
      <w:pPr>
        <w:ind w:left="6228" w:hanging="180"/>
      </w:pPr>
    </w:lvl>
    <w:lvl w:ilvl="6" w:tplc="0809000F" w:tentative="1">
      <w:start w:val="1"/>
      <w:numFmt w:val="decimal"/>
      <w:lvlText w:val="%7."/>
      <w:lvlJc w:val="left"/>
      <w:pPr>
        <w:ind w:left="6948" w:hanging="360"/>
      </w:pPr>
    </w:lvl>
    <w:lvl w:ilvl="7" w:tplc="08090019" w:tentative="1">
      <w:start w:val="1"/>
      <w:numFmt w:val="lowerLetter"/>
      <w:lvlText w:val="%8."/>
      <w:lvlJc w:val="left"/>
      <w:pPr>
        <w:ind w:left="7668" w:hanging="360"/>
      </w:pPr>
    </w:lvl>
    <w:lvl w:ilvl="8" w:tplc="08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0" w15:restartNumberingAfterBreak="0">
    <w:nsid w:val="42114740"/>
    <w:multiLevelType w:val="hybridMultilevel"/>
    <w:tmpl w:val="180A7554"/>
    <w:lvl w:ilvl="0" w:tplc="E132DF24">
      <w:start w:val="1"/>
      <w:numFmt w:val="lowerLetter"/>
      <w:lvlText w:val="(%1)"/>
      <w:lvlJc w:val="left"/>
      <w:pPr>
        <w:ind w:left="20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1" w15:restartNumberingAfterBreak="0">
    <w:nsid w:val="54A45AA8"/>
    <w:multiLevelType w:val="hybridMultilevel"/>
    <w:tmpl w:val="729A026E"/>
    <w:lvl w:ilvl="0" w:tplc="6A9EA270">
      <w:start w:val="1"/>
      <w:numFmt w:val="decimal"/>
      <w:lvlText w:val="%1.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>
      <w:start w:val="1"/>
      <w:numFmt w:val="lowerRoman"/>
      <w:lvlText w:val="%3."/>
      <w:lvlJc w:val="right"/>
      <w:pPr>
        <w:ind w:left="2934" w:hanging="180"/>
      </w:pPr>
    </w:lvl>
    <w:lvl w:ilvl="3" w:tplc="0409000F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57517526"/>
    <w:multiLevelType w:val="hybridMultilevel"/>
    <w:tmpl w:val="23689C8E"/>
    <w:lvl w:ilvl="0" w:tplc="3A2AE336">
      <w:start w:val="1"/>
      <w:numFmt w:val="lowerRoman"/>
      <w:lvlText w:val="%1."/>
      <w:lvlJc w:val="left"/>
      <w:pPr>
        <w:ind w:left="298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348" w:hanging="360"/>
      </w:pPr>
    </w:lvl>
    <w:lvl w:ilvl="2" w:tplc="0809001B" w:tentative="1">
      <w:start w:val="1"/>
      <w:numFmt w:val="lowerRoman"/>
      <w:lvlText w:val="%3."/>
      <w:lvlJc w:val="right"/>
      <w:pPr>
        <w:ind w:left="4068" w:hanging="180"/>
      </w:pPr>
    </w:lvl>
    <w:lvl w:ilvl="3" w:tplc="0809000F" w:tentative="1">
      <w:start w:val="1"/>
      <w:numFmt w:val="decimal"/>
      <w:lvlText w:val="%4."/>
      <w:lvlJc w:val="left"/>
      <w:pPr>
        <w:ind w:left="4788" w:hanging="360"/>
      </w:pPr>
    </w:lvl>
    <w:lvl w:ilvl="4" w:tplc="08090019" w:tentative="1">
      <w:start w:val="1"/>
      <w:numFmt w:val="lowerLetter"/>
      <w:lvlText w:val="%5."/>
      <w:lvlJc w:val="left"/>
      <w:pPr>
        <w:ind w:left="5508" w:hanging="360"/>
      </w:pPr>
    </w:lvl>
    <w:lvl w:ilvl="5" w:tplc="0809001B" w:tentative="1">
      <w:start w:val="1"/>
      <w:numFmt w:val="lowerRoman"/>
      <w:lvlText w:val="%6."/>
      <w:lvlJc w:val="right"/>
      <w:pPr>
        <w:ind w:left="6228" w:hanging="180"/>
      </w:pPr>
    </w:lvl>
    <w:lvl w:ilvl="6" w:tplc="0809000F" w:tentative="1">
      <w:start w:val="1"/>
      <w:numFmt w:val="decimal"/>
      <w:lvlText w:val="%7."/>
      <w:lvlJc w:val="left"/>
      <w:pPr>
        <w:ind w:left="6948" w:hanging="360"/>
      </w:pPr>
    </w:lvl>
    <w:lvl w:ilvl="7" w:tplc="08090019" w:tentative="1">
      <w:start w:val="1"/>
      <w:numFmt w:val="lowerLetter"/>
      <w:lvlText w:val="%8."/>
      <w:lvlJc w:val="left"/>
      <w:pPr>
        <w:ind w:left="7668" w:hanging="360"/>
      </w:pPr>
    </w:lvl>
    <w:lvl w:ilvl="8" w:tplc="08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3" w15:restartNumberingAfterBreak="0">
    <w:nsid w:val="5E1639F7"/>
    <w:multiLevelType w:val="multilevel"/>
    <w:tmpl w:val="CBB43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5" w15:restartNumberingAfterBreak="0">
    <w:nsid w:val="62553055"/>
    <w:multiLevelType w:val="hybridMultilevel"/>
    <w:tmpl w:val="10B4218C"/>
    <w:lvl w:ilvl="0" w:tplc="B9BCD836">
      <w:start w:val="1"/>
      <w:numFmt w:val="lowerLetter"/>
      <w:lvlText w:val="(%1)"/>
      <w:lvlJc w:val="left"/>
      <w:pPr>
        <w:ind w:left="20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6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B04C44"/>
    <w:multiLevelType w:val="hybridMultilevel"/>
    <w:tmpl w:val="28DCCBEC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558" w:hanging="360"/>
      </w:pPr>
    </w:lvl>
    <w:lvl w:ilvl="2" w:tplc="0809001B">
      <w:start w:val="1"/>
      <w:numFmt w:val="lowerRoman"/>
      <w:lvlText w:val="%3."/>
      <w:lvlJc w:val="right"/>
      <w:pPr>
        <w:ind w:left="1278" w:hanging="180"/>
      </w:pPr>
    </w:lvl>
    <w:lvl w:ilvl="3" w:tplc="0809000F" w:tentative="1">
      <w:start w:val="1"/>
      <w:numFmt w:val="decimal"/>
      <w:lvlText w:val="%4."/>
      <w:lvlJc w:val="left"/>
      <w:pPr>
        <w:ind w:left="1998" w:hanging="360"/>
      </w:pPr>
    </w:lvl>
    <w:lvl w:ilvl="4" w:tplc="08090019" w:tentative="1">
      <w:start w:val="1"/>
      <w:numFmt w:val="lowerLetter"/>
      <w:lvlText w:val="%5."/>
      <w:lvlJc w:val="left"/>
      <w:pPr>
        <w:ind w:left="2718" w:hanging="360"/>
      </w:pPr>
    </w:lvl>
    <w:lvl w:ilvl="5" w:tplc="0809001B" w:tentative="1">
      <w:start w:val="1"/>
      <w:numFmt w:val="lowerRoman"/>
      <w:lvlText w:val="%6."/>
      <w:lvlJc w:val="right"/>
      <w:pPr>
        <w:ind w:left="3438" w:hanging="180"/>
      </w:pPr>
    </w:lvl>
    <w:lvl w:ilvl="6" w:tplc="0809000F" w:tentative="1">
      <w:start w:val="1"/>
      <w:numFmt w:val="decimal"/>
      <w:lvlText w:val="%7."/>
      <w:lvlJc w:val="left"/>
      <w:pPr>
        <w:ind w:left="4158" w:hanging="360"/>
      </w:pPr>
    </w:lvl>
    <w:lvl w:ilvl="7" w:tplc="08090019" w:tentative="1">
      <w:start w:val="1"/>
      <w:numFmt w:val="lowerLetter"/>
      <w:lvlText w:val="%8."/>
      <w:lvlJc w:val="left"/>
      <w:pPr>
        <w:ind w:left="4878" w:hanging="360"/>
      </w:pPr>
    </w:lvl>
    <w:lvl w:ilvl="8" w:tplc="0809001B" w:tentative="1">
      <w:start w:val="1"/>
      <w:numFmt w:val="lowerRoman"/>
      <w:lvlText w:val="%9."/>
      <w:lvlJc w:val="right"/>
      <w:pPr>
        <w:ind w:left="5598" w:hanging="180"/>
      </w:pPr>
    </w:lvl>
  </w:abstractNum>
  <w:abstractNum w:abstractNumId="28" w15:restartNumberingAfterBreak="0">
    <w:nsid w:val="66D70565"/>
    <w:multiLevelType w:val="hybridMultilevel"/>
    <w:tmpl w:val="688E9B42"/>
    <w:lvl w:ilvl="0" w:tplc="040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781" w:hanging="360"/>
      </w:pPr>
    </w:lvl>
    <w:lvl w:ilvl="2" w:tplc="0409001B">
      <w:start w:val="1"/>
      <w:numFmt w:val="lowerRoman"/>
      <w:lvlText w:val="%3."/>
      <w:lvlJc w:val="right"/>
      <w:pPr>
        <w:ind w:left="3501" w:hanging="180"/>
      </w:pPr>
    </w:lvl>
    <w:lvl w:ilvl="3" w:tplc="0409000F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9" w15:restartNumberingAfterBreak="0">
    <w:nsid w:val="6C303A07"/>
    <w:multiLevelType w:val="hybridMultilevel"/>
    <w:tmpl w:val="9F1682B2"/>
    <w:lvl w:ilvl="0" w:tplc="B9BCD836">
      <w:start w:val="1"/>
      <w:numFmt w:val="lowerLetter"/>
      <w:lvlText w:val="(%1)"/>
      <w:lvlJc w:val="left"/>
      <w:pPr>
        <w:ind w:left="206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81" w:hanging="360"/>
      </w:pPr>
    </w:lvl>
    <w:lvl w:ilvl="2" w:tplc="0409001B">
      <w:start w:val="1"/>
      <w:numFmt w:val="lowerRoman"/>
      <w:lvlText w:val="%3."/>
      <w:lvlJc w:val="right"/>
      <w:pPr>
        <w:ind w:left="3501" w:hanging="180"/>
      </w:pPr>
    </w:lvl>
    <w:lvl w:ilvl="3" w:tplc="0409000F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0" w15:restartNumberingAfterBreak="0">
    <w:nsid w:val="71947C28"/>
    <w:multiLevelType w:val="hybridMultilevel"/>
    <w:tmpl w:val="9F1682B2"/>
    <w:lvl w:ilvl="0" w:tplc="B9BCD836">
      <w:start w:val="1"/>
      <w:numFmt w:val="lowerLetter"/>
      <w:lvlText w:val="(%1)"/>
      <w:lvlJc w:val="left"/>
      <w:pPr>
        <w:ind w:left="206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81" w:hanging="360"/>
      </w:pPr>
    </w:lvl>
    <w:lvl w:ilvl="2" w:tplc="0409001B">
      <w:start w:val="1"/>
      <w:numFmt w:val="lowerRoman"/>
      <w:lvlText w:val="%3."/>
      <w:lvlJc w:val="right"/>
      <w:pPr>
        <w:ind w:left="3501" w:hanging="180"/>
      </w:pPr>
    </w:lvl>
    <w:lvl w:ilvl="3" w:tplc="0409000F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1" w15:restartNumberingAfterBreak="0">
    <w:nsid w:val="71D66456"/>
    <w:multiLevelType w:val="hybridMultilevel"/>
    <w:tmpl w:val="F390A090"/>
    <w:lvl w:ilvl="0" w:tplc="3C1EB666">
      <w:start w:val="1"/>
      <w:numFmt w:val="lowerRoman"/>
      <w:lvlText w:val="%1."/>
      <w:lvlJc w:val="left"/>
      <w:pPr>
        <w:ind w:left="298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348" w:hanging="360"/>
      </w:pPr>
    </w:lvl>
    <w:lvl w:ilvl="2" w:tplc="0809001B" w:tentative="1">
      <w:start w:val="1"/>
      <w:numFmt w:val="lowerRoman"/>
      <w:lvlText w:val="%3."/>
      <w:lvlJc w:val="right"/>
      <w:pPr>
        <w:ind w:left="4068" w:hanging="180"/>
      </w:pPr>
    </w:lvl>
    <w:lvl w:ilvl="3" w:tplc="0809000F" w:tentative="1">
      <w:start w:val="1"/>
      <w:numFmt w:val="decimal"/>
      <w:lvlText w:val="%4."/>
      <w:lvlJc w:val="left"/>
      <w:pPr>
        <w:ind w:left="4788" w:hanging="360"/>
      </w:pPr>
    </w:lvl>
    <w:lvl w:ilvl="4" w:tplc="08090019" w:tentative="1">
      <w:start w:val="1"/>
      <w:numFmt w:val="lowerLetter"/>
      <w:lvlText w:val="%5."/>
      <w:lvlJc w:val="left"/>
      <w:pPr>
        <w:ind w:left="5508" w:hanging="360"/>
      </w:pPr>
    </w:lvl>
    <w:lvl w:ilvl="5" w:tplc="0809001B" w:tentative="1">
      <w:start w:val="1"/>
      <w:numFmt w:val="lowerRoman"/>
      <w:lvlText w:val="%6."/>
      <w:lvlJc w:val="right"/>
      <w:pPr>
        <w:ind w:left="6228" w:hanging="180"/>
      </w:pPr>
    </w:lvl>
    <w:lvl w:ilvl="6" w:tplc="0809000F" w:tentative="1">
      <w:start w:val="1"/>
      <w:numFmt w:val="decimal"/>
      <w:lvlText w:val="%7."/>
      <w:lvlJc w:val="left"/>
      <w:pPr>
        <w:ind w:left="6948" w:hanging="360"/>
      </w:pPr>
    </w:lvl>
    <w:lvl w:ilvl="7" w:tplc="08090019" w:tentative="1">
      <w:start w:val="1"/>
      <w:numFmt w:val="lowerLetter"/>
      <w:lvlText w:val="%8."/>
      <w:lvlJc w:val="left"/>
      <w:pPr>
        <w:ind w:left="7668" w:hanging="360"/>
      </w:pPr>
    </w:lvl>
    <w:lvl w:ilvl="8" w:tplc="08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2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4"/>
  </w:num>
  <w:num w:numId="12">
    <w:abstractNumId w:val="13"/>
  </w:num>
  <w:num w:numId="13">
    <w:abstractNumId w:val="11"/>
  </w:num>
  <w:num w:numId="14">
    <w:abstractNumId w:val="26"/>
  </w:num>
  <w:num w:numId="15">
    <w:abstractNumId w:val="32"/>
  </w:num>
  <w:num w:numId="16">
    <w:abstractNumId w:val="21"/>
  </w:num>
  <w:num w:numId="17">
    <w:abstractNumId w:val="18"/>
  </w:num>
  <w:num w:numId="18">
    <w:abstractNumId w:val="10"/>
  </w:num>
  <w:num w:numId="19">
    <w:abstractNumId w:val="20"/>
  </w:num>
  <w:num w:numId="20">
    <w:abstractNumId w:val="25"/>
  </w:num>
  <w:num w:numId="21">
    <w:abstractNumId w:val="31"/>
  </w:num>
  <w:num w:numId="22">
    <w:abstractNumId w:val="17"/>
  </w:num>
  <w:num w:numId="23">
    <w:abstractNumId w:val="19"/>
  </w:num>
  <w:num w:numId="24">
    <w:abstractNumId w:val="22"/>
  </w:num>
  <w:num w:numId="25">
    <w:abstractNumId w:val="16"/>
  </w:num>
  <w:num w:numId="26">
    <w:abstractNumId w:val="12"/>
  </w:num>
  <w:num w:numId="27">
    <w:abstractNumId w:val="27"/>
  </w:num>
  <w:num w:numId="28">
    <w:abstractNumId w:val="29"/>
  </w:num>
  <w:num w:numId="29">
    <w:abstractNumId w:val="30"/>
  </w:num>
  <w:num w:numId="30">
    <w:abstractNumId w:val="15"/>
  </w:num>
  <w:num w:numId="31">
    <w:abstractNumId w:val="23"/>
  </w:num>
  <w:num w:numId="32">
    <w:abstractNumId w:val="28"/>
  </w:num>
  <w:num w:numId="33">
    <w:abstractNumId w:val="1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de-DE" w:vendorID="64" w:dllVersion="6" w:nlCheck="1" w:checkStyle="0"/>
  <w:activeWritingStyle w:appName="MSWord" w:lang="nl-NL" w:vendorID="64" w:dllVersion="6" w:nlCheck="1" w:checkStyle="0"/>
  <w:activeWritingStyle w:appName="MSWord" w:lang="fr-FR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de-CH" w:vendorID="64" w:dllVersion="6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activeWritingStyle w:appName="MSWord" w:lang="nl-NL" w:vendorID="64" w:dllVersion="0" w:nlCheck="1" w:checkStyle="0"/>
  <w:activeWritingStyle w:appName="MSWord" w:lang="de-DE" w:vendorID="64" w:dllVersion="0" w:nlCheck="1" w:checkStyle="0"/>
  <w:activeWritingStyle w:appName="MSWord" w:lang="de-CH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4096" w:nlCheck="1" w:checkStyle="0"/>
  <w:activeWritingStyle w:appName="MSWord" w:lang="fr-FR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6CC"/>
    <w:rsid w:val="000019B8"/>
    <w:rsid w:val="00006C69"/>
    <w:rsid w:val="00006FAE"/>
    <w:rsid w:val="00007A94"/>
    <w:rsid w:val="000133C5"/>
    <w:rsid w:val="00017D24"/>
    <w:rsid w:val="000216CC"/>
    <w:rsid w:val="00022088"/>
    <w:rsid w:val="00026B64"/>
    <w:rsid w:val="0003042A"/>
    <w:rsid w:val="00031437"/>
    <w:rsid w:val="0003375D"/>
    <w:rsid w:val="00040776"/>
    <w:rsid w:val="00043180"/>
    <w:rsid w:val="00044081"/>
    <w:rsid w:val="000441CC"/>
    <w:rsid w:val="000504CE"/>
    <w:rsid w:val="00050922"/>
    <w:rsid w:val="00050F6B"/>
    <w:rsid w:val="00052256"/>
    <w:rsid w:val="0005258D"/>
    <w:rsid w:val="00053492"/>
    <w:rsid w:val="00055FF2"/>
    <w:rsid w:val="0005710C"/>
    <w:rsid w:val="00063DAC"/>
    <w:rsid w:val="00064402"/>
    <w:rsid w:val="00067E6D"/>
    <w:rsid w:val="00072C8C"/>
    <w:rsid w:val="00073129"/>
    <w:rsid w:val="00073FC6"/>
    <w:rsid w:val="00075F99"/>
    <w:rsid w:val="00076A0A"/>
    <w:rsid w:val="00077A9B"/>
    <w:rsid w:val="00080B38"/>
    <w:rsid w:val="00082CE1"/>
    <w:rsid w:val="00083598"/>
    <w:rsid w:val="00084632"/>
    <w:rsid w:val="00084AE1"/>
    <w:rsid w:val="000863FA"/>
    <w:rsid w:val="00086918"/>
    <w:rsid w:val="00090F8D"/>
    <w:rsid w:val="00091046"/>
    <w:rsid w:val="00091419"/>
    <w:rsid w:val="00091CB3"/>
    <w:rsid w:val="000931C0"/>
    <w:rsid w:val="000939AE"/>
    <w:rsid w:val="000A1FD1"/>
    <w:rsid w:val="000A2236"/>
    <w:rsid w:val="000A35F2"/>
    <w:rsid w:val="000A3A48"/>
    <w:rsid w:val="000A4046"/>
    <w:rsid w:val="000A4C38"/>
    <w:rsid w:val="000B175B"/>
    <w:rsid w:val="000B3A0F"/>
    <w:rsid w:val="000B3C2B"/>
    <w:rsid w:val="000B4919"/>
    <w:rsid w:val="000B4D72"/>
    <w:rsid w:val="000B7AF2"/>
    <w:rsid w:val="000C1ED8"/>
    <w:rsid w:val="000C28CA"/>
    <w:rsid w:val="000C5D4B"/>
    <w:rsid w:val="000C717F"/>
    <w:rsid w:val="000D0B8F"/>
    <w:rsid w:val="000D14B6"/>
    <w:rsid w:val="000D379B"/>
    <w:rsid w:val="000D481F"/>
    <w:rsid w:val="000D6D97"/>
    <w:rsid w:val="000D7830"/>
    <w:rsid w:val="000E0415"/>
    <w:rsid w:val="000E1285"/>
    <w:rsid w:val="000E5E99"/>
    <w:rsid w:val="000E7E74"/>
    <w:rsid w:val="000F0087"/>
    <w:rsid w:val="000F1747"/>
    <w:rsid w:val="000F52D6"/>
    <w:rsid w:val="000F6A20"/>
    <w:rsid w:val="00103A90"/>
    <w:rsid w:val="0010461A"/>
    <w:rsid w:val="001054A3"/>
    <w:rsid w:val="001057AB"/>
    <w:rsid w:val="001058DD"/>
    <w:rsid w:val="00113F87"/>
    <w:rsid w:val="001149AA"/>
    <w:rsid w:val="00115303"/>
    <w:rsid w:val="00115931"/>
    <w:rsid w:val="00115FA4"/>
    <w:rsid w:val="00117787"/>
    <w:rsid w:val="00117D0D"/>
    <w:rsid w:val="00117FD5"/>
    <w:rsid w:val="00120E7B"/>
    <w:rsid w:val="00121EB7"/>
    <w:rsid w:val="0012241F"/>
    <w:rsid w:val="00124B3F"/>
    <w:rsid w:val="00130307"/>
    <w:rsid w:val="00131B10"/>
    <w:rsid w:val="00131D42"/>
    <w:rsid w:val="00133C50"/>
    <w:rsid w:val="0013537A"/>
    <w:rsid w:val="001367DF"/>
    <w:rsid w:val="00136F78"/>
    <w:rsid w:val="001377BD"/>
    <w:rsid w:val="001406F4"/>
    <w:rsid w:val="001467C3"/>
    <w:rsid w:val="001470D6"/>
    <w:rsid w:val="001621AD"/>
    <w:rsid w:val="001633FB"/>
    <w:rsid w:val="00163A1B"/>
    <w:rsid w:val="001640DF"/>
    <w:rsid w:val="00165735"/>
    <w:rsid w:val="00167786"/>
    <w:rsid w:val="00181019"/>
    <w:rsid w:val="001835BF"/>
    <w:rsid w:val="00184B86"/>
    <w:rsid w:val="00191F73"/>
    <w:rsid w:val="00195084"/>
    <w:rsid w:val="00195BC9"/>
    <w:rsid w:val="0019637E"/>
    <w:rsid w:val="001A02A4"/>
    <w:rsid w:val="001A11CB"/>
    <w:rsid w:val="001A1CDC"/>
    <w:rsid w:val="001A3FC1"/>
    <w:rsid w:val="001A5DDE"/>
    <w:rsid w:val="001B0361"/>
    <w:rsid w:val="001B35EE"/>
    <w:rsid w:val="001B4B04"/>
    <w:rsid w:val="001B6B72"/>
    <w:rsid w:val="001C08F5"/>
    <w:rsid w:val="001C429D"/>
    <w:rsid w:val="001C6663"/>
    <w:rsid w:val="001C7895"/>
    <w:rsid w:val="001D0B0A"/>
    <w:rsid w:val="001D25B8"/>
    <w:rsid w:val="001D26DF"/>
    <w:rsid w:val="001D2FDC"/>
    <w:rsid w:val="001D3123"/>
    <w:rsid w:val="001D3A88"/>
    <w:rsid w:val="001D4B2D"/>
    <w:rsid w:val="001D4E70"/>
    <w:rsid w:val="001D55A4"/>
    <w:rsid w:val="001D5B61"/>
    <w:rsid w:val="001D7926"/>
    <w:rsid w:val="001D7B26"/>
    <w:rsid w:val="001E5919"/>
    <w:rsid w:val="001E66BE"/>
    <w:rsid w:val="001E797C"/>
    <w:rsid w:val="00202673"/>
    <w:rsid w:val="0020301C"/>
    <w:rsid w:val="00207C86"/>
    <w:rsid w:val="00211B12"/>
    <w:rsid w:val="00211E0B"/>
    <w:rsid w:val="0021481D"/>
    <w:rsid w:val="00221589"/>
    <w:rsid w:val="00221AC2"/>
    <w:rsid w:val="00223316"/>
    <w:rsid w:val="00223F20"/>
    <w:rsid w:val="00224CD9"/>
    <w:rsid w:val="002254D7"/>
    <w:rsid w:val="002277D8"/>
    <w:rsid w:val="0023025D"/>
    <w:rsid w:val="002309A7"/>
    <w:rsid w:val="00234B1B"/>
    <w:rsid w:val="00235381"/>
    <w:rsid w:val="00237785"/>
    <w:rsid w:val="00240052"/>
    <w:rsid w:val="00241178"/>
    <w:rsid w:val="00241439"/>
    <w:rsid w:val="00241466"/>
    <w:rsid w:val="002440E7"/>
    <w:rsid w:val="002451FB"/>
    <w:rsid w:val="00247570"/>
    <w:rsid w:val="00247764"/>
    <w:rsid w:val="002511B3"/>
    <w:rsid w:val="00253547"/>
    <w:rsid w:val="00257C1E"/>
    <w:rsid w:val="00257DD7"/>
    <w:rsid w:val="00261B71"/>
    <w:rsid w:val="00262099"/>
    <w:rsid w:val="002621F5"/>
    <w:rsid w:val="00264A62"/>
    <w:rsid w:val="0026745A"/>
    <w:rsid w:val="002708B5"/>
    <w:rsid w:val="00270A21"/>
    <w:rsid w:val="002725CA"/>
    <w:rsid w:val="00273A92"/>
    <w:rsid w:val="00276E3C"/>
    <w:rsid w:val="00277896"/>
    <w:rsid w:val="00280EB7"/>
    <w:rsid w:val="0028116C"/>
    <w:rsid w:val="00291E61"/>
    <w:rsid w:val="002976CF"/>
    <w:rsid w:val="002A0BD2"/>
    <w:rsid w:val="002A12B1"/>
    <w:rsid w:val="002A2A95"/>
    <w:rsid w:val="002A3510"/>
    <w:rsid w:val="002A5B17"/>
    <w:rsid w:val="002A76D3"/>
    <w:rsid w:val="002A7C9F"/>
    <w:rsid w:val="002B067A"/>
    <w:rsid w:val="002B1514"/>
    <w:rsid w:val="002B1CDA"/>
    <w:rsid w:val="002B3254"/>
    <w:rsid w:val="002C2163"/>
    <w:rsid w:val="002C25CC"/>
    <w:rsid w:val="002C5293"/>
    <w:rsid w:val="002C7F25"/>
    <w:rsid w:val="002D3912"/>
    <w:rsid w:val="002D4DB6"/>
    <w:rsid w:val="002D5029"/>
    <w:rsid w:val="002D5A85"/>
    <w:rsid w:val="002D5C7D"/>
    <w:rsid w:val="002E35BB"/>
    <w:rsid w:val="002E4639"/>
    <w:rsid w:val="002E4D44"/>
    <w:rsid w:val="002E5CF2"/>
    <w:rsid w:val="002F1915"/>
    <w:rsid w:val="002F363A"/>
    <w:rsid w:val="002F3957"/>
    <w:rsid w:val="002F68FD"/>
    <w:rsid w:val="002F6F3B"/>
    <w:rsid w:val="002F7332"/>
    <w:rsid w:val="003003A7"/>
    <w:rsid w:val="00302A3D"/>
    <w:rsid w:val="00305943"/>
    <w:rsid w:val="00305A08"/>
    <w:rsid w:val="003107D0"/>
    <w:rsid w:val="003107FA"/>
    <w:rsid w:val="00314790"/>
    <w:rsid w:val="00315D73"/>
    <w:rsid w:val="00316FF9"/>
    <w:rsid w:val="00321716"/>
    <w:rsid w:val="003225F2"/>
    <w:rsid w:val="003229D8"/>
    <w:rsid w:val="003240F3"/>
    <w:rsid w:val="0032549A"/>
    <w:rsid w:val="00325F1A"/>
    <w:rsid w:val="00327D0A"/>
    <w:rsid w:val="003311D1"/>
    <w:rsid w:val="00336D2F"/>
    <w:rsid w:val="00340BB2"/>
    <w:rsid w:val="003428B0"/>
    <w:rsid w:val="003517C3"/>
    <w:rsid w:val="00353B8E"/>
    <w:rsid w:val="00355502"/>
    <w:rsid w:val="0035575A"/>
    <w:rsid w:val="00356BC7"/>
    <w:rsid w:val="00357A20"/>
    <w:rsid w:val="003623D1"/>
    <w:rsid w:val="00363530"/>
    <w:rsid w:val="003651D0"/>
    <w:rsid w:val="00372F06"/>
    <w:rsid w:val="0037522C"/>
    <w:rsid w:val="00377CC7"/>
    <w:rsid w:val="00382FAF"/>
    <w:rsid w:val="00390F0E"/>
    <w:rsid w:val="0039115F"/>
    <w:rsid w:val="00391647"/>
    <w:rsid w:val="003923FB"/>
    <w:rsid w:val="0039277A"/>
    <w:rsid w:val="00393127"/>
    <w:rsid w:val="003954E2"/>
    <w:rsid w:val="00396F6A"/>
    <w:rsid w:val="003972E0"/>
    <w:rsid w:val="003A1EC2"/>
    <w:rsid w:val="003A2972"/>
    <w:rsid w:val="003A52D7"/>
    <w:rsid w:val="003A59C7"/>
    <w:rsid w:val="003A5A16"/>
    <w:rsid w:val="003A5FED"/>
    <w:rsid w:val="003B3BB5"/>
    <w:rsid w:val="003B5B38"/>
    <w:rsid w:val="003B72E8"/>
    <w:rsid w:val="003C0657"/>
    <w:rsid w:val="003C0D65"/>
    <w:rsid w:val="003C17C1"/>
    <w:rsid w:val="003C18C9"/>
    <w:rsid w:val="003C2819"/>
    <w:rsid w:val="003C2CC4"/>
    <w:rsid w:val="003C45DF"/>
    <w:rsid w:val="003C655D"/>
    <w:rsid w:val="003C7F9C"/>
    <w:rsid w:val="003D4B23"/>
    <w:rsid w:val="003E5F65"/>
    <w:rsid w:val="003F23A4"/>
    <w:rsid w:val="003F5900"/>
    <w:rsid w:val="003F5B52"/>
    <w:rsid w:val="003F5E99"/>
    <w:rsid w:val="003F66F3"/>
    <w:rsid w:val="003F772A"/>
    <w:rsid w:val="004030C5"/>
    <w:rsid w:val="00403EC6"/>
    <w:rsid w:val="00406CD4"/>
    <w:rsid w:val="00407CED"/>
    <w:rsid w:val="004264D7"/>
    <w:rsid w:val="00430086"/>
    <w:rsid w:val="00430918"/>
    <w:rsid w:val="004325CB"/>
    <w:rsid w:val="00433B74"/>
    <w:rsid w:val="004351F9"/>
    <w:rsid w:val="00437F3F"/>
    <w:rsid w:val="004434E1"/>
    <w:rsid w:val="00445C9D"/>
    <w:rsid w:val="00446DE4"/>
    <w:rsid w:val="00447440"/>
    <w:rsid w:val="00447900"/>
    <w:rsid w:val="00452D10"/>
    <w:rsid w:val="00454036"/>
    <w:rsid w:val="004562AA"/>
    <w:rsid w:val="00460917"/>
    <w:rsid w:val="00460B22"/>
    <w:rsid w:val="0046443A"/>
    <w:rsid w:val="004653B3"/>
    <w:rsid w:val="004654C4"/>
    <w:rsid w:val="0046668F"/>
    <w:rsid w:val="0046773D"/>
    <w:rsid w:val="0046788D"/>
    <w:rsid w:val="00475CD0"/>
    <w:rsid w:val="0048028B"/>
    <w:rsid w:val="00480BD4"/>
    <w:rsid w:val="0048304D"/>
    <w:rsid w:val="00484A9B"/>
    <w:rsid w:val="00486DA4"/>
    <w:rsid w:val="00492AF9"/>
    <w:rsid w:val="0049304E"/>
    <w:rsid w:val="00494C77"/>
    <w:rsid w:val="00497711"/>
    <w:rsid w:val="004A1710"/>
    <w:rsid w:val="004B2C9D"/>
    <w:rsid w:val="004B33C4"/>
    <w:rsid w:val="004B5939"/>
    <w:rsid w:val="004B692E"/>
    <w:rsid w:val="004B73D6"/>
    <w:rsid w:val="004C39D0"/>
    <w:rsid w:val="004C43DB"/>
    <w:rsid w:val="004C4F1A"/>
    <w:rsid w:val="004C6D6D"/>
    <w:rsid w:val="004D0012"/>
    <w:rsid w:val="004D5FB6"/>
    <w:rsid w:val="004E0C5D"/>
    <w:rsid w:val="004E3603"/>
    <w:rsid w:val="004F4240"/>
    <w:rsid w:val="004F52AA"/>
    <w:rsid w:val="004F5854"/>
    <w:rsid w:val="004F77CD"/>
    <w:rsid w:val="00502365"/>
    <w:rsid w:val="005042BC"/>
    <w:rsid w:val="00504FEC"/>
    <w:rsid w:val="00507CF1"/>
    <w:rsid w:val="00515057"/>
    <w:rsid w:val="00522177"/>
    <w:rsid w:val="005223CB"/>
    <w:rsid w:val="00524D87"/>
    <w:rsid w:val="005258D4"/>
    <w:rsid w:val="00527910"/>
    <w:rsid w:val="00530360"/>
    <w:rsid w:val="00534655"/>
    <w:rsid w:val="0053653D"/>
    <w:rsid w:val="00536DFA"/>
    <w:rsid w:val="005371B2"/>
    <w:rsid w:val="00541A44"/>
    <w:rsid w:val="00542001"/>
    <w:rsid w:val="005420F2"/>
    <w:rsid w:val="00542505"/>
    <w:rsid w:val="00542C8D"/>
    <w:rsid w:val="005434EF"/>
    <w:rsid w:val="0054641F"/>
    <w:rsid w:val="005475D4"/>
    <w:rsid w:val="00550CA7"/>
    <w:rsid w:val="00552179"/>
    <w:rsid w:val="00555CDB"/>
    <w:rsid w:val="005603DA"/>
    <w:rsid w:val="00561B6D"/>
    <w:rsid w:val="00562D45"/>
    <w:rsid w:val="0056615B"/>
    <w:rsid w:val="00567DFB"/>
    <w:rsid w:val="005704BE"/>
    <w:rsid w:val="00571DAA"/>
    <w:rsid w:val="005739EC"/>
    <w:rsid w:val="00576F7D"/>
    <w:rsid w:val="0058129D"/>
    <w:rsid w:val="00590144"/>
    <w:rsid w:val="005904DA"/>
    <w:rsid w:val="0059680B"/>
    <w:rsid w:val="0059682C"/>
    <w:rsid w:val="005A2489"/>
    <w:rsid w:val="005A64DD"/>
    <w:rsid w:val="005A72B2"/>
    <w:rsid w:val="005B07CF"/>
    <w:rsid w:val="005B09F0"/>
    <w:rsid w:val="005B0CED"/>
    <w:rsid w:val="005B1BA3"/>
    <w:rsid w:val="005B3DB3"/>
    <w:rsid w:val="005B4B57"/>
    <w:rsid w:val="005B528A"/>
    <w:rsid w:val="005C3E89"/>
    <w:rsid w:val="005C4CB5"/>
    <w:rsid w:val="005C6B5A"/>
    <w:rsid w:val="005D0C6C"/>
    <w:rsid w:val="005D1BB4"/>
    <w:rsid w:val="005D68BD"/>
    <w:rsid w:val="005E0752"/>
    <w:rsid w:val="005E3D28"/>
    <w:rsid w:val="005E53FE"/>
    <w:rsid w:val="005E5946"/>
    <w:rsid w:val="005E6758"/>
    <w:rsid w:val="005F3A39"/>
    <w:rsid w:val="005F5C2F"/>
    <w:rsid w:val="005F7BB1"/>
    <w:rsid w:val="00602490"/>
    <w:rsid w:val="00603E3C"/>
    <w:rsid w:val="0061166C"/>
    <w:rsid w:val="00611FC4"/>
    <w:rsid w:val="00612812"/>
    <w:rsid w:val="0061549F"/>
    <w:rsid w:val="006176FB"/>
    <w:rsid w:val="006260F3"/>
    <w:rsid w:val="00626B06"/>
    <w:rsid w:val="00626E5B"/>
    <w:rsid w:val="006279AC"/>
    <w:rsid w:val="006314B1"/>
    <w:rsid w:val="00632200"/>
    <w:rsid w:val="00632969"/>
    <w:rsid w:val="00632EAA"/>
    <w:rsid w:val="0063419C"/>
    <w:rsid w:val="00635381"/>
    <w:rsid w:val="00636986"/>
    <w:rsid w:val="00637542"/>
    <w:rsid w:val="00637558"/>
    <w:rsid w:val="00640B26"/>
    <w:rsid w:val="00641194"/>
    <w:rsid w:val="00645A0B"/>
    <w:rsid w:val="00645DED"/>
    <w:rsid w:val="006471F6"/>
    <w:rsid w:val="006500BA"/>
    <w:rsid w:val="006506DB"/>
    <w:rsid w:val="00653E36"/>
    <w:rsid w:val="00661016"/>
    <w:rsid w:val="0066179D"/>
    <w:rsid w:val="00662121"/>
    <w:rsid w:val="00662E09"/>
    <w:rsid w:val="006632F5"/>
    <w:rsid w:val="00670CF0"/>
    <w:rsid w:val="00673C50"/>
    <w:rsid w:val="00675F87"/>
    <w:rsid w:val="00684954"/>
    <w:rsid w:val="00685AD0"/>
    <w:rsid w:val="00687AF0"/>
    <w:rsid w:val="00690CD6"/>
    <w:rsid w:val="00695F8E"/>
    <w:rsid w:val="006A3932"/>
    <w:rsid w:val="006A63E3"/>
    <w:rsid w:val="006A7392"/>
    <w:rsid w:val="006B1C55"/>
    <w:rsid w:val="006B4518"/>
    <w:rsid w:val="006C0D34"/>
    <w:rsid w:val="006C1D8F"/>
    <w:rsid w:val="006C251B"/>
    <w:rsid w:val="006C2F7E"/>
    <w:rsid w:val="006C57FD"/>
    <w:rsid w:val="006D2A3E"/>
    <w:rsid w:val="006D3560"/>
    <w:rsid w:val="006D7700"/>
    <w:rsid w:val="006E3B65"/>
    <w:rsid w:val="006E564B"/>
    <w:rsid w:val="007025C0"/>
    <w:rsid w:val="0070691D"/>
    <w:rsid w:val="00707E5C"/>
    <w:rsid w:val="00707F04"/>
    <w:rsid w:val="00711637"/>
    <w:rsid w:val="007134CF"/>
    <w:rsid w:val="00714F4F"/>
    <w:rsid w:val="00723978"/>
    <w:rsid w:val="00724964"/>
    <w:rsid w:val="0072632A"/>
    <w:rsid w:val="00736A6E"/>
    <w:rsid w:val="00736E6A"/>
    <w:rsid w:val="00737407"/>
    <w:rsid w:val="007416F3"/>
    <w:rsid w:val="00741F59"/>
    <w:rsid w:val="00742129"/>
    <w:rsid w:val="0074697D"/>
    <w:rsid w:val="00747C8C"/>
    <w:rsid w:val="007528EF"/>
    <w:rsid w:val="00753344"/>
    <w:rsid w:val="00755A0C"/>
    <w:rsid w:val="00755EBE"/>
    <w:rsid w:val="0076047E"/>
    <w:rsid w:val="00760C16"/>
    <w:rsid w:val="00761619"/>
    <w:rsid w:val="0076177C"/>
    <w:rsid w:val="00763C33"/>
    <w:rsid w:val="00763F5B"/>
    <w:rsid w:val="00764D34"/>
    <w:rsid w:val="00766322"/>
    <w:rsid w:val="00770BCD"/>
    <w:rsid w:val="00771904"/>
    <w:rsid w:val="00773353"/>
    <w:rsid w:val="00774129"/>
    <w:rsid w:val="00774E8F"/>
    <w:rsid w:val="00774EAA"/>
    <w:rsid w:val="00777C27"/>
    <w:rsid w:val="0078123B"/>
    <w:rsid w:val="0078333D"/>
    <w:rsid w:val="00786434"/>
    <w:rsid w:val="00790689"/>
    <w:rsid w:val="00790791"/>
    <w:rsid w:val="007932E3"/>
    <w:rsid w:val="007944A3"/>
    <w:rsid w:val="007959DD"/>
    <w:rsid w:val="00796F36"/>
    <w:rsid w:val="007A2CDB"/>
    <w:rsid w:val="007A62EC"/>
    <w:rsid w:val="007A6D76"/>
    <w:rsid w:val="007B1A7E"/>
    <w:rsid w:val="007B2BA8"/>
    <w:rsid w:val="007B3C6D"/>
    <w:rsid w:val="007B5E15"/>
    <w:rsid w:val="007B6BA5"/>
    <w:rsid w:val="007C2C0D"/>
    <w:rsid w:val="007C3162"/>
    <w:rsid w:val="007C3390"/>
    <w:rsid w:val="007C3FFE"/>
    <w:rsid w:val="007C4F4B"/>
    <w:rsid w:val="007C644D"/>
    <w:rsid w:val="007C71BC"/>
    <w:rsid w:val="007D1339"/>
    <w:rsid w:val="007D4EF3"/>
    <w:rsid w:val="007D722E"/>
    <w:rsid w:val="007D7BC6"/>
    <w:rsid w:val="007E1BE6"/>
    <w:rsid w:val="007E4BD3"/>
    <w:rsid w:val="007E5D7C"/>
    <w:rsid w:val="007F2A54"/>
    <w:rsid w:val="007F4FEF"/>
    <w:rsid w:val="007F5104"/>
    <w:rsid w:val="007F6611"/>
    <w:rsid w:val="007F6D17"/>
    <w:rsid w:val="007F7D82"/>
    <w:rsid w:val="00800024"/>
    <w:rsid w:val="00800875"/>
    <w:rsid w:val="00801952"/>
    <w:rsid w:val="008037A2"/>
    <w:rsid w:val="00803FD4"/>
    <w:rsid w:val="00816341"/>
    <w:rsid w:val="00816370"/>
    <w:rsid w:val="00816582"/>
    <w:rsid w:val="00817599"/>
    <w:rsid w:val="008175E9"/>
    <w:rsid w:val="00820A2D"/>
    <w:rsid w:val="00822FCE"/>
    <w:rsid w:val="008242D7"/>
    <w:rsid w:val="00825B97"/>
    <w:rsid w:val="00826410"/>
    <w:rsid w:val="00826C09"/>
    <w:rsid w:val="0083043E"/>
    <w:rsid w:val="0083069A"/>
    <w:rsid w:val="00832A1D"/>
    <w:rsid w:val="00834479"/>
    <w:rsid w:val="00843AB2"/>
    <w:rsid w:val="00846809"/>
    <w:rsid w:val="00852C3A"/>
    <w:rsid w:val="00854873"/>
    <w:rsid w:val="00856BCC"/>
    <w:rsid w:val="0086107D"/>
    <w:rsid w:val="00864251"/>
    <w:rsid w:val="00871B13"/>
    <w:rsid w:val="00871FD5"/>
    <w:rsid w:val="0087259D"/>
    <w:rsid w:val="0087351D"/>
    <w:rsid w:val="008754FF"/>
    <w:rsid w:val="00877071"/>
    <w:rsid w:val="00881213"/>
    <w:rsid w:val="00886C92"/>
    <w:rsid w:val="008979B1"/>
    <w:rsid w:val="008A0B75"/>
    <w:rsid w:val="008A1542"/>
    <w:rsid w:val="008A6B25"/>
    <w:rsid w:val="008A6C4F"/>
    <w:rsid w:val="008A7679"/>
    <w:rsid w:val="008A7AB3"/>
    <w:rsid w:val="008B2DB8"/>
    <w:rsid w:val="008B65FB"/>
    <w:rsid w:val="008C04F5"/>
    <w:rsid w:val="008C1A0E"/>
    <w:rsid w:val="008C3B3C"/>
    <w:rsid w:val="008C4283"/>
    <w:rsid w:val="008C4E36"/>
    <w:rsid w:val="008C6D16"/>
    <w:rsid w:val="008C74C3"/>
    <w:rsid w:val="008C7BF7"/>
    <w:rsid w:val="008D134F"/>
    <w:rsid w:val="008D3C75"/>
    <w:rsid w:val="008D5D05"/>
    <w:rsid w:val="008D6942"/>
    <w:rsid w:val="008E0E46"/>
    <w:rsid w:val="008E1DAE"/>
    <w:rsid w:val="008E295A"/>
    <w:rsid w:val="008E3BB8"/>
    <w:rsid w:val="008F0214"/>
    <w:rsid w:val="008F2D9A"/>
    <w:rsid w:val="008F44B8"/>
    <w:rsid w:val="008F504A"/>
    <w:rsid w:val="008F6413"/>
    <w:rsid w:val="00904EBC"/>
    <w:rsid w:val="00910F87"/>
    <w:rsid w:val="00912BA7"/>
    <w:rsid w:val="0091320D"/>
    <w:rsid w:val="0091645B"/>
    <w:rsid w:val="00923019"/>
    <w:rsid w:val="00923AA2"/>
    <w:rsid w:val="00924B63"/>
    <w:rsid w:val="00931D1B"/>
    <w:rsid w:val="00933FAB"/>
    <w:rsid w:val="009363B6"/>
    <w:rsid w:val="00940F46"/>
    <w:rsid w:val="00941ECC"/>
    <w:rsid w:val="00945A5D"/>
    <w:rsid w:val="00946A0D"/>
    <w:rsid w:val="0094762B"/>
    <w:rsid w:val="00954F3C"/>
    <w:rsid w:val="00955109"/>
    <w:rsid w:val="00963B67"/>
    <w:rsid w:val="00963CBA"/>
    <w:rsid w:val="009701ED"/>
    <w:rsid w:val="00971710"/>
    <w:rsid w:val="0097431F"/>
    <w:rsid w:val="0097639C"/>
    <w:rsid w:val="00982A54"/>
    <w:rsid w:val="00984471"/>
    <w:rsid w:val="00985F37"/>
    <w:rsid w:val="009879EA"/>
    <w:rsid w:val="009903C1"/>
    <w:rsid w:val="009908A5"/>
    <w:rsid w:val="0099124E"/>
    <w:rsid w:val="00991261"/>
    <w:rsid w:val="009953D5"/>
    <w:rsid w:val="0099545C"/>
    <w:rsid w:val="009A12C6"/>
    <w:rsid w:val="009A1D29"/>
    <w:rsid w:val="009A2A69"/>
    <w:rsid w:val="009B5F0D"/>
    <w:rsid w:val="009C0FA4"/>
    <w:rsid w:val="009C6058"/>
    <w:rsid w:val="009C6168"/>
    <w:rsid w:val="009C61B6"/>
    <w:rsid w:val="009C6394"/>
    <w:rsid w:val="009C6939"/>
    <w:rsid w:val="009D0E2A"/>
    <w:rsid w:val="009D0F0E"/>
    <w:rsid w:val="009D1AAE"/>
    <w:rsid w:val="009D1F7D"/>
    <w:rsid w:val="009D634E"/>
    <w:rsid w:val="009E1560"/>
    <w:rsid w:val="009E7EDE"/>
    <w:rsid w:val="009F0F06"/>
    <w:rsid w:val="009F35DB"/>
    <w:rsid w:val="009F4FC5"/>
    <w:rsid w:val="009F7CD7"/>
    <w:rsid w:val="00A02C71"/>
    <w:rsid w:val="00A068B8"/>
    <w:rsid w:val="00A10D41"/>
    <w:rsid w:val="00A1427D"/>
    <w:rsid w:val="00A1716E"/>
    <w:rsid w:val="00A201E8"/>
    <w:rsid w:val="00A235F1"/>
    <w:rsid w:val="00A34B00"/>
    <w:rsid w:val="00A36464"/>
    <w:rsid w:val="00A3777A"/>
    <w:rsid w:val="00A45A37"/>
    <w:rsid w:val="00A50077"/>
    <w:rsid w:val="00A52922"/>
    <w:rsid w:val="00A538E5"/>
    <w:rsid w:val="00A5422A"/>
    <w:rsid w:val="00A54CA8"/>
    <w:rsid w:val="00A60196"/>
    <w:rsid w:val="00A60B3E"/>
    <w:rsid w:val="00A6199C"/>
    <w:rsid w:val="00A62147"/>
    <w:rsid w:val="00A622AF"/>
    <w:rsid w:val="00A6236D"/>
    <w:rsid w:val="00A65F4A"/>
    <w:rsid w:val="00A66636"/>
    <w:rsid w:val="00A6730E"/>
    <w:rsid w:val="00A71B77"/>
    <w:rsid w:val="00A72F22"/>
    <w:rsid w:val="00A744D7"/>
    <w:rsid w:val="00A748A6"/>
    <w:rsid w:val="00A74A46"/>
    <w:rsid w:val="00A753A9"/>
    <w:rsid w:val="00A75D0E"/>
    <w:rsid w:val="00A75EC9"/>
    <w:rsid w:val="00A810D4"/>
    <w:rsid w:val="00A83451"/>
    <w:rsid w:val="00A83538"/>
    <w:rsid w:val="00A841F8"/>
    <w:rsid w:val="00A8523D"/>
    <w:rsid w:val="00A865E5"/>
    <w:rsid w:val="00A879A4"/>
    <w:rsid w:val="00A9244A"/>
    <w:rsid w:val="00AA1D9A"/>
    <w:rsid w:val="00AA32EB"/>
    <w:rsid w:val="00AA6307"/>
    <w:rsid w:val="00AA6AEB"/>
    <w:rsid w:val="00AA7616"/>
    <w:rsid w:val="00AB382F"/>
    <w:rsid w:val="00AB4CF1"/>
    <w:rsid w:val="00AB547D"/>
    <w:rsid w:val="00AB5E15"/>
    <w:rsid w:val="00AC0069"/>
    <w:rsid w:val="00AC7F82"/>
    <w:rsid w:val="00AD34EE"/>
    <w:rsid w:val="00AD5498"/>
    <w:rsid w:val="00AD564C"/>
    <w:rsid w:val="00AD7C88"/>
    <w:rsid w:val="00AE45DE"/>
    <w:rsid w:val="00AF0878"/>
    <w:rsid w:val="00AF2F9D"/>
    <w:rsid w:val="00AF5853"/>
    <w:rsid w:val="00AF6710"/>
    <w:rsid w:val="00B013E6"/>
    <w:rsid w:val="00B04D66"/>
    <w:rsid w:val="00B10C19"/>
    <w:rsid w:val="00B1157C"/>
    <w:rsid w:val="00B13914"/>
    <w:rsid w:val="00B1501F"/>
    <w:rsid w:val="00B26710"/>
    <w:rsid w:val="00B26B3C"/>
    <w:rsid w:val="00B30179"/>
    <w:rsid w:val="00B3317B"/>
    <w:rsid w:val="00B366AB"/>
    <w:rsid w:val="00B36913"/>
    <w:rsid w:val="00B41384"/>
    <w:rsid w:val="00B41F75"/>
    <w:rsid w:val="00B43422"/>
    <w:rsid w:val="00B4398E"/>
    <w:rsid w:val="00B52157"/>
    <w:rsid w:val="00B5392B"/>
    <w:rsid w:val="00B560D2"/>
    <w:rsid w:val="00B56C20"/>
    <w:rsid w:val="00B61827"/>
    <w:rsid w:val="00B64FDB"/>
    <w:rsid w:val="00B71B78"/>
    <w:rsid w:val="00B71E2B"/>
    <w:rsid w:val="00B73DA8"/>
    <w:rsid w:val="00B74F7C"/>
    <w:rsid w:val="00B75CA5"/>
    <w:rsid w:val="00B75E05"/>
    <w:rsid w:val="00B81E12"/>
    <w:rsid w:val="00B822E7"/>
    <w:rsid w:val="00B84AAC"/>
    <w:rsid w:val="00B87012"/>
    <w:rsid w:val="00B879B1"/>
    <w:rsid w:val="00B90F54"/>
    <w:rsid w:val="00B91CC3"/>
    <w:rsid w:val="00B92A0C"/>
    <w:rsid w:val="00B93068"/>
    <w:rsid w:val="00B9560E"/>
    <w:rsid w:val="00BA1DA3"/>
    <w:rsid w:val="00BA413B"/>
    <w:rsid w:val="00BA52D9"/>
    <w:rsid w:val="00BA7096"/>
    <w:rsid w:val="00BA7462"/>
    <w:rsid w:val="00BA758C"/>
    <w:rsid w:val="00BB1452"/>
    <w:rsid w:val="00BB176D"/>
    <w:rsid w:val="00BB183E"/>
    <w:rsid w:val="00BB3B28"/>
    <w:rsid w:val="00BB7BCE"/>
    <w:rsid w:val="00BC46B3"/>
    <w:rsid w:val="00BC4CB4"/>
    <w:rsid w:val="00BC5FC4"/>
    <w:rsid w:val="00BC74E9"/>
    <w:rsid w:val="00BD41F8"/>
    <w:rsid w:val="00BD7EBA"/>
    <w:rsid w:val="00BE14E7"/>
    <w:rsid w:val="00BE1FF8"/>
    <w:rsid w:val="00BE47B0"/>
    <w:rsid w:val="00BE50CA"/>
    <w:rsid w:val="00BE618E"/>
    <w:rsid w:val="00BE6311"/>
    <w:rsid w:val="00BF1E50"/>
    <w:rsid w:val="00BF5205"/>
    <w:rsid w:val="00C001C2"/>
    <w:rsid w:val="00C0263F"/>
    <w:rsid w:val="00C03B44"/>
    <w:rsid w:val="00C060D3"/>
    <w:rsid w:val="00C10B00"/>
    <w:rsid w:val="00C13A85"/>
    <w:rsid w:val="00C14E41"/>
    <w:rsid w:val="00C20CF6"/>
    <w:rsid w:val="00C218A4"/>
    <w:rsid w:val="00C21A4B"/>
    <w:rsid w:val="00C23E4F"/>
    <w:rsid w:val="00C31A32"/>
    <w:rsid w:val="00C36D37"/>
    <w:rsid w:val="00C37C37"/>
    <w:rsid w:val="00C37E31"/>
    <w:rsid w:val="00C463DD"/>
    <w:rsid w:val="00C46D5B"/>
    <w:rsid w:val="00C519E2"/>
    <w:rsid w:val="00C5283C"/>
    <w:rsid w:val="00C537D5"/>
    <w:rsid w:val="00C539D8"/>
    <w:rsid w:val="00C53FAC"/>
    <w:rsid w:val="00C610EB"/>
    <w:rsid w:val="00C62F76"/>
    <w:rsid w:val="00C66D78"/>
    <w:rsid w:val="00C71A92"/>
    <w:rsid w:val="00C745C3"/>
    <w:rsid w:val="00C81212"/>
    <w:rsid w:val="00C81810"/>
    <w:rsid w:val="00C8235A"/>
    <w:rsid w:val="00C84FF1"/>
    <w:rsid w:val="00C86E64"/>
    <w:rsid w:val="00C87CE7"/>
    <w:rsid w:val="00C90019"/>
    <w:rsid w:val="00C91180"/>
    <w:rsid w:val="00C93C11"/>
    <w:rsid w:val="00C94F7A"/>
    <w:rsid w:val="00C971F6"/>
    <w:rsid w:val="00CA049C"/>
    <w:rsid w:val="00CA272B"/>
    <w:rsid w:val="00CA381C"/>
    <w:rsid w:val="00CA74D3"/>
    <w:rsid w:val="00CB2158"/>
    <w:rsid w:val="00CB6380"/>
    <w:rsid w:val="00CB7364"/>
    <w:rsid w:val="00CC43C1"/>
    <w:rsid w:val="00CC4CA6"/>
    <w:rsid w:val="00CC5DB9"/>
    <w:rsid w:val="00CD0009"/>
    <w:rsid w:val="00CD30EE"/>
    <w:rsid w:val="00CD3225"/>
    <w:rsid w:val="00CD38FE"/>
    <w:rsid w:val="00CE0D77"/>
    <w:rsid w:val="00CE4083"/>
    <w:rsid w:val="00CE46BA"/>
    <w:rsid w:val="00CE4A8F"/>
    <w:rsid w:val="00CE4A94"/>
    <w:rsid w:val="00CE4B82"/>
    <w:rsid w:val="00CE74ED"/>
    <w:rsid w:val="00CE7626"/>
    <w:rsid w:val="00CE7F8D"/>
    <w:rsid w:val="00CF12F6"/>
    <w:rsid w:val="00CF4EB4"/>
    <w:rsid w:val="00CF5865"/>
    <w:rsid w:val="00CF6F32"/>
    <w:rsid w:val="00CF778D"/>
    <w:rsid w:val="00D01C20"/>
    <w:rsid w:val="00D04B74"/>
    <w:rsid w:val="00D05BE2"/>
    <w:rsid w:val="00D0631B"/>
    <w:rsid w:val="00D06C3A"/>
    <w:rsid w:val="00D124FE"/>
    <w:rsid w:val="00D164BA"/>
    <w:rsid w:val="00D2031B"/>
    <w:rsid w:val="00D25E8C"/>
    <w:rsid w:val="00D25FE2"/>
    <w:rsid w:val="00D27461"/>
    <w:rsid w:val="00D27E89"/>
    <w:rsid w:val="00D352FD"/>
    <w:rsid w:val="00D366A7"/>
    <w:rsid w:val="00D37E80"/>
    <w:rsid w:val="00D42C29"/>
    <w:rsid w:val="00D43252"/>
    <w:rsid w:val="00D46231"/>
    <w:rsid w:val="00D477C4"/>
    <w:rsid w:val="00D52CD5"/>
    <w:rsid w:val="00D5409C"/>
    <w:rsid w:val="00D558E3"/>
    <w:rsid w:val="00D55A6B"/>
    <w:rsid w:val="00D57C13"/>
    <w:rsid w:val="00D57FD9"/>
    <w:rsid w:val="00D610C1"/>
    <w:rsid w:val="00D657F6"/>
    <w:rsid w:val="00D658FA"/>
    <w:rsid w:val="00D679C6"/>
    <w:rsid w:val="00D7217B"/>
    <w:rsid w:val="00D730E3"/>
    <w:rsid w:val="00D753D8"/>
    <w:rsid w:val="00D83AF1"/>
    <w:rsid w:val="00D853A9"/>
    <w:rsid w:val="00D9274F"/>
    <w:rsid w:val="00D96248"/>
    <w:rsid w:val="00D96CC5"/>
    <w:rsid w:val="00D978C6"/>
    <w:rsid w:val="00D97B77"/>
    <w:rsid w:val="00DA0A3A"/>
    <w:rsid w:val="00DA1EB9"/>
    <w:rsid w:val="00DA6620"/>
    <w:rsid w:val="00DA67AD"/>
    <w:rsid w:val="00DA7F19"/>
    <w:rsid w:val="00DB0645"/>
    <w:rsid w:val="00DB108D"/>
    <w:rsid w:val="00DB1C61"/>
    <w:rsid w:val="00DB604E"/>
    <w:rsid w:val="00DB72BC"/>
    <w:rsid w:val="00DC487B"/>
    <w:rsid w:val="00DC5BF4"/>
    <w:rsid w:val="00DC5EF6"/>
    <w:rsid w:val="00DD42A0"/>
    <w:rsid w:val="00DD5DA2"/>
    <w:rsid w:val="00DD63AE"/>
    <w:rsid w:val="00DE11A6"/>
    <w:rsid w:val="00DE236F"/>
    <w:rsid w:val="00DE3ECB"/>
    <w:rsid w:val="00DE4785"/>
    <w:rsid w:val="00DE7267"/>
    <w:rsid w:val="00DF0A4D"/>
    <w:rsid w:val="00DF1EE9"/>
    <w:rsid w:val="00DF3039"/>
    <w:rsid w:val="00DF3A04"/>
    <w:rsid w:val="00DF4518"/>
    <w:rsid w:val="00E03DE5"/>
    <w:rsid w:val="00E04C0F"/>
    <w:rsid w:val="00E10201"/>
    <w:rsid w:val="00E10F84"/>
    <w:rsid w:val="00E11659"/>
    <w:rsid w:val="00E12018"/>
    <w:rsid w:val="00E130AB"/>
    <w:rsid w:val="00E1679E"/>
    <w:rsid w:val="00E21C1B"/>
    <w:rsid w:val="00E239A0"/>
    <w:rsid w:val="00E26269"/>
    <w:rsid w:val="00E269BB"/>
    <w:rsid w:val="00E308AF"/>
    <w:rsid w:val="00E34E58"/>
    <w:rsid w:val="00E36838"/>
    <w:rsid w:val="00E36C10"/>
    <w:rsid w:val="00E36EC1"/>
    <w:rsid w:val="00E40B76"/>
    <w:rsid w:val="00E412EA"/>
    <w:rsid w:val="00E4138E"/>
    <w:rsid w:val="00E42461"/>
    <w:rsid w:val="00E4443D"/>
    <w:rsid w:val="00E52EB0"/>
    <w:rsid w:val="00E53477"/>
    <w:rsid w:val="00E54352"/>
    <w:rsid w:val="00E54410"/>
    <w:rsid w:val="00E54645"/>
    <w:rsid w:val="00E54BD4"/>
    <w:rsid w:val="00E555F5"/>
    <w:rsid w:val="00E5644E"/>
    <w:rsid w:val="00E5691C"/>
    <w:rsid w:val="00E62068"/>
    <w:rsid w:val="00E631BA"/>
    <w:rsid w:val="00E63DE8"/>
    <w:rsid w:val="00E659B3"/>
    <w:rsid w:val="00E65A76"/>
    <w:rsid w:val="00E6613A"/>
    <w:rsid w:val="00E66E4F"/>
    <w:rsid w:val="00E7260F"/>
    <w:rsid w:val="00E730D8"/>
    <w:rsid w:val="00E81230"/>
    <w:rsid w:val="00E851D2"/>
    <w:rsid w:val="00E8535A"/>
    <w:rsid w:val="00E864BE"/>
    <w:rsid w:val="00E87CAD"/>
    <w:rsid w:val="00E90424"/>
    <w:rsid w:val="00E90647"/>
    <w:rsid w:val="00E9352B"/>
    <w:rsid w:val="00E95438"/>
    <w:rsid w:val="00E96630"/>
    <w:rsid w:val="00E9731A"/>
    <w:rsid w:val="00EA0364"/>
    <w:rsid w:val="00EA2938"/>
    <w:rsid w:val="00EA48C4"/>
    <w:rsid w:val="00EA587E"/>
    <w:rsid w:val="00EA72F6"/>
    <w:rsid w:val="00EA772F"/>
    <w:rsid w:val="00EB08BA"/>
    <w:rsid w:val="00EB0CF2"/>
    <w:rsid w:val="00EB224B"/>
    <w:rsid w:val="00EB2AE3"/>
    <w:rsid w:val="00EB4C06"/>
    <w:rsid w:val="00EB51D5"/>
    <w:rsid w:val="00EB65EF"/>
    <w:rsid w:val="00EB6832"/>
    <w:rsid w:val="00EB71BA"/>
    <w:rsid w:val="00EB798F"/>
    <w:rsid w:val="00EC14E9"/>
    <w:rsid w:val="00EC271A"/>
    <w:rsid w:val="00EC2937"/>
    <w:rsid w:val="00EC4AA3"/>
    <w:rsid w:val="00EC755A"/>
    <w:rsid w:val="00ED0C83"/>
    <w:rsid w:val="00ED0F6B"/>
    <w:rsid w:val="00ED15C1"/>
    <w:rsid w:val="00ED1F13"/>
    <w:rsid w:val="00ED34CE"/>
    <w:rsid w:val="00ED3508"/>
    <w:rsid w:val="00ED3A92"/>
    <w:rsid w:val="00ED3F6F"/>
    <w:rsid w:val="00ED6586"/>
    <w:rsid w:val="00ED7A2A"/>
    <w:rsid w:val="00EE15B0"/>
    <w:rsid w:val="00EE4D59"/>
    <w:rsid w:val="00EE73C3"/>
    <w:rsid w:val="00EE73F9"/>
    <w:rsid w:val="00EF1407"/>
    <w:rsid w:val="00EF1D7F"/>
    <w:rsid w:val="00EF4AAC"/>
    <w:rsid w:val="00EF6478"/>
    <w:rsid w:val="00EF71D8"/>
    <w:rsid w:val="00F017EF"/>
    <w:rsid w:val="00F01C57"/>
    <w:rsid w:val="00F03FA2"/>
    <w:rsid w:val="00F0400D"/>
    <w:rsid w:val="00F05283"/>
    <w:rsid w:val="00F07537"/>
    <w:rsid w:val="00F07619"/>
    <w:rsid w:val="00F07E12"/>
    <w:rsid w:val="00F1200D"/>
    <w:rsid w:val="00F12FE4"/>
    <w:rsid w:val="00F22B03"/>
    <w:rsid w:val="00F30469"/>
    <w:rsid w:val="00F30A8A"/>
    <w:rsid w:val="00F319C7"/>
    <w:rsid w:val="00F34267"/>
    <w:rsid w:val="00F34282"/>
    <w:rsid w:val="00F3574D"/>
    <w:rsid w:val="00F40295"/>
    <w:rsid w:val="00F40E75"/>
    <w:rsid w:val="00F412D3"/>
    <w:rsid w:val="00F4268E"/>
    <w:rsid w:val="00F444E3"/>
    <w:rsid w:val="00F4509A"/>
    <w:rsid w:val="00F5087E"/>
    <w:rsid w:val="00F51BAB"/>
    <w:rsid w:val="00F535BE"/>
    <w:rsid w:val="00F545B1"/>
    <w:rsid w:val="00F54674"/>
    <w:rsid w:val="00F54BAB"/>
    <w:rsid w:val="00F554A1"/>
    <w:rsid w:val="00F5723F"/>
    <w:rsid w:val="00F64C95"/>
    <w:rsid w:val="00F669F0"/>
    <w:rsid w:val="00F707B7"/>
    <w:rsid w:val="00F73D28"/>
    <w:rsid w:val="00F7542B"/>
    <w:rsid w:val="00F75E96"/>
    <w:rsid w:val="00F82AD7"/>
    <w:rsid w:val="00FA00A0"/>
    <w:rsid w:val="00FA3FB7"/>
    <w:rsid w:val="00FA7EDD"/>
    <w:rsid w:val="00FB172A"/>
    <w:rsid w:val="00FB5A37"/>
    <w:rsid w:val="00FB7793"/>
    <w:rsid w:val="00FC18AA"/>
    <w:rsid w:val="00FC215C"/>
    <w:rsid w:val="00FC3D3C"/>
    <w:rsid w:val="00FC68B7"/>
    <w:rsid w:val="00FC7A90"/>
    <w:rsid w:val="00FD0F6C"/>
    <w:rsid w:val="00FD3C5D"/>
    <w:rsid w:val="00FD3E70"/>
    <w:rsid w:val="00FD5349"/>
    <w:rsid w:val="00FD6B2B"/>
    <w:rsid w:val="00FE3552"/>
    <w:rsid w:val="00FE3EEA"/>
    <w:rsid w:val="00FE54C1"/>
    <w:rsid w:val="00FE681E"/>
    <w:rsid w:val="00FF03BB"/>
    <w:rsid w:val="00FF071A"/>
    <w:rsid w:val="00FF3E35"/>
    <w:rsid w:val="00FF51FB"/>
    <w:rsid w:val="00FF6241"/>
    <w:rsid w:val="00FF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EF66B04"/>
  <w15:docId w15:val="{EE42D38A-3D78-49B4-A772-4D72FC96C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3F66F3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A8523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A8523D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A8523D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A8523D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A8523D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A8523D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A8523D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A8523D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A8523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A8523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A8523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x-none"/>
    </w:rPr>
  </w:style>
  <w:style w:type="paragraph" w:customStyle="1" w:styleId="SingleTxtG">
    <w:name w:val="_ Single Txt_G"/>
    <w:basedOn w:val="Normal"/>
    <w:link w:val="SingleTxtGChar"/>
    <w:uiPriority w:val="99"/>
    <w:qFormat/>
    <w:rsid w:val="00A8523D"/>
    <w:pPr>
      <w:spacing w:after="120"/>
      <w:ind w:left="1134" w:right="1134"/>
      <w:jc w:val="both"/>
    </w:pPr>
    <w:rPr>
      <w:lang w:val="x-none"/>
    </w:rPr>
  </w:style>
  <w:style w:type="character" w:styleId="PageNumber">
    <w:name w:val="page number"/>
    <w:aliases w:val="7_G"/>
    <w:rsid w:val="00A8523D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link w:val="BodyTextChar"/>
    <w:semiHidden/>
  </w:style>
  <w:style w:type="paragraph" w:styleId="BodyTextIndent">
    <w:name w:val="Body Text Indent"/>
    <w:basedOn w:val="Normal"/>
    <w:link w:val="BodyTextIndentChar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A8523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A8523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A8523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A8523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uiPriority w:val="99"/>
    <w:rsid w:val="00A8523D"/>
    <w:pPr>
      <w:tabs>
        <w:tab w:val="right" w:pos="1021"/>
      </w:tabs>
      <w:spacing w:line="220" w:lineRule="exact"/>
      <w:ind w:left="1134" w:right="1134" w:hanging="1134"/>
    </w:pPr>
    <w:rPr>
      <w:sz w:val="18"/>
      <w:lang w:val="x-none"/>
    </w:rPr>
  </w:style>
  <w:style w:type="paragraph" w:customStyle="1" w:styleId="XLargeG">
    <w:name w:val="__XLarge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A8523D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link w:val="EndnoteTextChar"/>
    <w:rsid w:val="00A8523D"/>
  </w:style>
  <w:style w:type="character" w:styleId="CommentReference">
    <w:name w:val="annotation reference"/>
    <w:rPr>
      <w:sz w:val="6"/>
    </w:rPr>
  </w:style>
  <w:style w:type="paragraph" w:styleId="CommentText">
    <w:name w:val="annotation text"/>
    <w:basedOn w:val="Normal"/>
    <w:link w:val="CommentTextChar"/>
    <w:rPr>
      <w:lang w:eastAsia="x-none"/>
    </w:rPr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A8523D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A8523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link w:val="BodyText2Char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link w:val="BodyTextIndent2Char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link w:val="BodyTextIndent3Char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rsid w:val="00A8523D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A8523D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A8523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rsid w:val="00A8523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A8523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0216CC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0216CC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rsid w:val="006B1C55"/>
    <w:rPr>
      <w:b/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6B1C55"/>
    <w:pPr>
      <w:suppressAutoHyphens w:val="0"/>
      <w:spacing w:line="240" w:lineRule="auto"/>
      <w:ind w:left="720"/>
      <w:jc w:val="both"/>
    </w:pPr>
    <w:rPr>
      <w:sz w:val="24"/>
      <w:szCs w:val="24"/>
      <w:lang w:val="en-US"/>
    </w:rPr>
  </w:style>
  <w:style w:type="paragraph" w:customStyle="1" w:styleId="Default">
    <w:name w:val="Default"/>
    <w:rsid w:val="00494C77"/>
    <w:pPr>
      <w:autoSpaceDE w:val="0"/>
      <w:autoSpaceDN w:val="0"/>
      <w:adjustRightInd w:val="0"/>
    </w:pPr>
    <w:rPr>
      <w:color w:val="000000"/>
      <w:sz w:val="24"/>
      <w:szCs w:val="24"/>
      <w:lang w:val="sv-SE" w:eastAsia="sv-SE"/>
    </w:rPr>
  </w:style>
  <w:style w:type="character" w:customStyle="1" w:styleId="SingleTxtGChar">
    <w:name w:val="_ Single Txt_G Char"/>
    <w:link w:val="SingleTxtG"/>
    <w:uiPriority w:val="99"/>
    <w:qFormat/>
    <w:locked/>
    <w:rsid w:val="00E34E58"/>
    <w:rPr>
      <w:lang w:eastAsia="en-US"/>
    </w:rPr>
  </w:style>
  <w:style w:type="character" w:customStyle="1" w:styleId="FootnoteTextChar">
    <w:name w:val="Footnote Text Char"/>
    <w:aliases w:val="5_G Char"/>
    <w:link w:val="FootnoteText"/>
    <w:uiPriority w:val="99"/>
    <w:rsid w:val="00E34E58"/>
    <w:rPr>
      <w:sz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15303"/>
    <w:rPr>
      <w:b/>
      <w:bCs/>
    </w:rPr>
  </w:style>
  <w:style w:type="character" w:customStyle="1" w:styleId="CommentTextChar">
    <w:name w:val="Comment Text Char"/>
    <w:link w:val="CommentText"/>
    <w:rsid w:val="00115303"/>
    <w:rPr>
      <w:lang w:val="en-GB"/>
    </w:rPr>
  </w:style>
  <w:style w:type="character" w:customStyle="1" w:styleId="CommentSubjectChar">
    <w:name w:val="Comment Subject Char"/>
    <w:link w:val="CommentSubject"/>
    <w:rsid w:val="00115303"/>
    <w:rPr>
      <w:b/>
      <w:bCs/>
      <w:lang w:val="en-GB"/>
    </w:rPr>
  </w:style>
  <w:style w:type="paragraph" w:customStyle="1" w:styleId="Listenabsatz1">
    <w:name w:val="Listenabsatz1"/>
    <w:basedOn w:val="Normal"/>
    <w:uiPriority w:val="99"/>
    <w:rsid w:val="008037A2"/>
    <w:pPr>
      <w:suppressAutoHyphens w:val="0"/>
      <w:spacing w:line="240" w:lineRule="auto"/>
      <w:ind w:left="720"/>
      <w:contextualSpacing/>
    </w:pPr>
    <w:rPr>
      <w:sz w:val="24"/>
      <w:szCs w:val="24"/>
      <w:lang w:eastAsia="en-GB"/>
    </w:rPr>
  </w:style>
  <w:style w:type="character" w:customStyle="1" w:styleId="Heading3Char">
    <w:name w:val="Heading 3 Char"/>
    <w:link w:val="Heading3"/>
    <w:rsid w:val="009D634E"/>
    <w:rPr>
      <w:lang w:eastAsia="en-US"/>
    </w:rPr>
  </w:style>
  <w:style w:type="paragraph" w:customStyle="1" w:styleId="GHSHeading4">
    <w:name w:val="GHSHeading4"/>
    <w:basedOn w:val="Normal"/>
    <w:rsid w:val="009D634E"/>
    <w:pPr>
      <w:keepNext/>
      <w:keepLines/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autoSpaceDE w:val="0"/>
      <w:autoSpaceDN w:val="0"/>
      <w:adjustRightInd w:val="0"/>
      <w:spacing w:line="240" w:lineRule="auto"/>
      <w:jc w:val="both"/>
    </w:pPr>
    <w:rPr>
      <w:b/>
      <w:bCs/>
      <w:color w:val="000000"/>
      <w:sz w:val="22"/>
      <w:szCs w:val="22"/>
      <w:lang w:eastAsia="fr-FR"/>
    </w:rPr>
  </w:style>
  <w:style w:type="paragraph" w:customStyle="1" w:styleId="GHSHeading5">
    <w:name w:val="GHSHeading5"/>
    <w:basedOn w:val="Normal"/>
    <w:rsid w:val="009D634E"/>
    <w:pPr>
      <w:keepNext/>
      <w:keepLines/>
      <w:widowControl w:val="0"/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spacing w:line="240" w:lineRule="auto"/>
      <w:jc w:val="both"/>
    </w:pPr>
    <w:rPr>
      <w:snapToGrid w:val="0"/>
      <w:color w:val="000000"/>
      <w:sz w:val="22"/>
      <w:szCs w:val="22"/>
    </w:rPr>
  </w:style>
  <w:style w:type="paragraph" w:customStyle="1" w:styleId="Style1">
    <w:name w:val="Style1"/>
    <w:basedOn w:val="Normal"/>
    <w:rsid w:val="009D634E"/>
    <w:pPr>
      <w:suppressAutoHyphens w:val="0"/>
      <w:spacing w:line="240" w:lineRule="auto"/>
    </w:pPr>
    <w:rPr>
      <w:sz w:val="22"/>
      <w:szCs w:val="24"/>
    </w:rPr>
  </w:style>
  <w:style w:type="character" w:customStyle="1" w:styleId="H1GChar">
    <w:name w:val="_ H_1_G Char"/>
    <w:link w:val="H1G"/>
    <w:rsid w:val="00A83451"/>
    <w:rPr>
      <w:b/>
      <w:sz w:val="24"/>
      <w:lang w:eastAsia="en-US"/>
    </w:rPr>
  </w:style>
  <w:style w:type="paragraph" w:customStyle="1" w:styleId="ManualBodyText">
    <w:name w:val="Manual Body Text"/>
    <w:basedOn w:val="BodyText"/>
    <w:link w:val="ManualBodyTextChar"/>
    <w:rsid w:val="00CE7626"/>
    <w:pPr>
      <w:numPr>
        <w:ilvl w:val="12"/>
      </w:numPr>
      <w:tabs>
        <w:tab w:val="left" w:pos="1418"/>
      </w:tabs>
      <w:suppressAutoHyphens w:val="0"/>
      <w:autoSpaceDE w:val="0"/>
      <w:autoSpaceDN w:val="0"/>
      <w:adjustRightInd w:val="0"/>
      <w:spacing w:line="240" w:lineRule="auto"/>
      <w:jc w:val="both"/>
    </w:pPr>
    <w:rPr>
      <w:sz w:val="22"/>
      <w:szCs w:val="22"/>
      <w:lang w:eastAsia="fr-FR"/>
    </w:rPr>
  </w:style>
  <w:style w:type="paragraph" w:customStyle="1" w:styleId="ManualHeading1">
    <w:name w:val="Manual Heading 1"/>
    <w:basedOn w:val="ManualBodyText"/>
    <w:next w:val="ManualBodyText"/>
    <w:rsid w:val="00CE7626"/>
    <w:pPr>
      <w:keepNext/>
      <w:keepLines/>
      <w:tabs>
        <w:tab w:val="clear" w:pos="1418"/>
      </w:tabs>
      <w:jc w:val="center"/>
    </w:pPr>
    <w:rPr>
      <w:b/>
      <w:sz w:val="26"/>
      <w:szCs w:val="26"/>
    </w:rPr>
  </w:style>
  <w:style w:type="paragraph" w:customStyle="1" w:styleId="ManualHeading2">
    <w:name w:val="Manual Heading 2"/>
    <w:basedOn w:val="ManualBodyText"/>
    <w:next w:val="ManualBodyText"/>
    <w:rsid w:val="00CE7626"/>
    <w:pPr>
      <w:keepNext/>
      <w:keepLines/>
    </w:pPr>
    <w:rPr>
      <w:b/>
    </w:rPr>
  </w:style>
  <w:style w:type="paragraph" w:customStyle="1" w:styleId="ManualHeading3">
    <w:name w:val="Manual Heading 3"/>
    <w:basedOn w:val="ManualBodyText"/>
    <w:next w:val="ManualBodyText"/>
    <w:rsid w:val="00CE7626"/>
    <w:pPr>
      <w:keepNext/>
      <w:keepLines/>
    </w:pPr>
    <w:rPr>
      <w:b/>
    </w:rPr>
  </w:style>
  <w:style w:type="paragraph" w:customStyle="1" w:styleId="ManualHeading4">
    <w:name w:val="Manual Heading 4"/>
    <w:basedOn w:val="ManualBodyText"/>
    <w:next w:val="ManualBodyText"/>
    <w:rsid w:val="00CE7626"/>
    <w:pPr>
      <w:keepNext/>
      <w:keepLines/>
    </w:pPr>
  </w:style>
  <w:style w:type="paragraph" w:customStyle="1" w:styleId="ManualHeading5">
    <w:name w:val="Manual Heading 5"/>
    <w:basedOn w:val="ManualBodyText"/>
    <w:next w:val="ManualBodyText"/>
    <w:rsid w:val="00CE7626"/>
    <w:pPr>
      <w:keepNext/>
      <w:keepLines/>
    </w:pPr>
  </w:style>
  <w:style w:type="paragraph" w:customStyle="1" w:styleId="ManualHeading6">
    <w:name w:val="Manual Heading 6"/>
    <w:basedOn w:val="ManualBodyText"/>
    <w:next w:val="ManualBodyText"/>
    <w:rsid w:val="00CE7626"/>
    <w:pPr>
      <w:keepNext/>
      <w:keepLines/>
    </w:pPr>
  </w:style>
  <w:style w:type="paragraph" w:customStyle="1" w:styleId="ManualPartEN">
    <w:name w:val="Manual Part EN"/>
    <w:basedOn w:val="ManualHeading1"/>
    <w:next w:val="ManualHeading1"/>
    <w:rsid w:val="00CE7626"/>
    <w:rPr>
      <w:bCs/>
      <w:sz w:val="56"/>
      <w:szCs w:val="44"/>
    </w:rPr>
  </w:style>
  <w:style w:type="character" w:customStyle="1" w:styleId="HTMLPreformattedChar">
    <w:name w:val="HTML Preformatted Char"/>
    <w:link w:val="HTMLPreformatted"/>
    <w:uiPriority w:val="99"/>
    <w:rsid w:val="00CE7626"/>
    <w:rPr>
      <w:rFonts w:ascii="Courier New" w:hAnsi="Courier New" w:cs="Courier New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CE7626"/>
    <w:rPr>
      <w:sz w:val="16"/>
      <w:lang w:eastAsia="en-US"/>
    </w:rPr>
  </w:style>
  <w:style w:type="character" w:customStyle="1" w:styleId="BodyTextIndentChar">
    <w:name w:val="Body Text Indent Char"/>
    <w:link w:val="BodyTextIndent"/>
    <w:semiHidden/>
    <w:rsid w:val="00CE7626"/>
    <w:rPr>
      <w:lang w:eastAsia="en-US"/>
    </w:rPr>
  </w:style>
  <w:style w:type="character" w:customStyle="1" w:styleId="BodyTextIndent2Char">
    <w:name w:val="Body Text Indent 2 Char"/>
    <w:link w:val="BodyTextIndent2"/>
    <w:semiHidden/>
    <w:rsid w:val="00CE7626"/>
    <w:rPr>
      <w:lang w:eastAsia="en-US"/>
    </w:rPr>
  </w:style>
  <w:style w:type="character" w:customStyle="1" w:styleId="BodyTextChar">
    <w:name w:val="Body Text Char"/>
    <w:link w:val="BodyText"/>
    <w:semiHidden/>
    <w:rsid w:val="00CE7626"/>
    <w:rPr>
      <w:lang w:eastAsia="en-US"/>
    </w:rPr>
  </w:style>
  <w:style w:type="character" w:customStyle="1" w:styleId="HeaderChar">
    <w:name w:val="Header Char"/>
    <w:aliases w:val="6_G Char"/>
    <w:link w:val="Header"/>
    <w:uiPriority w:val="99"/>
    <w:rsid w:val="00CE7626"/>
    <w:rPr>
      <w:b/>
      <w:sz w:val="18"/>
      <w:lang w:eastAsia="en-US"/>
    </w:rPr>
  </w:style>
  <w:style w:type="character" w:customStyle="1" w:styleId="BodyTextIndent3Char">
    <w:name w:val="Body Text Indent 3 Char"/>
    <w:link w:val="BodyTextIndent3"/>
    <w:semiHidden/>
    <w:rsid w:val="00CE7626"/>
    <w:rPr>
      <w:sz w:val="16"/>
      <w:szCs w:val="16"/>
      <w:lang w:eastAsia="en-US"/>
    </w:rPr>
  </w:style>
  <w:style w:type="character" w:customStyle="1" w:styleId="TitleChar">
    <w:name w:val="Title Char"/>
    <w:link w:val="Title"/>
    <w:rsid w:val="00CE7626"/>
    <w:rPr>
      <w:rFonts w:ascii="Arial" w:hAnsi="Arial" w:cs="Arial"/>
      <w:b/>
      <w:bCs/>
      <w:kern w:val="28"/>
      <w:sz w:val="32"/>
      <w:szCs w:val="32"/>
      <w:lang w:eastAsia="en-US"/>
    </w:rPr>
  </w:style>
  <w:style w:type="character" w:customStyle="1" w:styleId="Heading5Char">
    <w:name w:val="Heading 5 Char"/>
    <w:link w:val="Heading5"/>
    <w:rsid w:val="00CE7626"/>
    <w:rPr>
      <w:lang w:eastAsia="en-US"/>
    </w:rPr>
  </w:style>
  <w:style w:type="character" w:customStyle="1" w:styleId="EndnoteTextChar">
    <w:name w:val="Endnote Text Char"/>
    <w:aliases w:val="2_G Char"/>
    <w:link w:val="EndnoteText"/>
    <w:rsid w:val="00CE7626"/>
    <w:rPr>
      <w:sz w:val="18"/>
      <w:lang w:val="x-none" w:eastAsia="en-US"/>
    </w:rPr>
  </w:style>
  <w:style w:type="paragraph" w:customStyle="1" w:styleId="a">
    <w:name w:val="–"/>
    <w:semiHidden/>
    <w:rsid w:val="00CE7626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font5">
    <w:name w:val="font5"/>
    <w:basedOn w:val="Normal"/>
    <w:semiHidden/>
    <w:rsid w:val="00CE7626"/>
    <w:pPr>
      <w:suppressAutoHyphens w:val="0"/>
      <w:spacing w:before="100" w:beforeAutospacing="1" w:after="100" w:afterAutospacing="1" w:line="240" w:lineRule="auto"/>
    </w:pPr>
    <w:rPr>
      <w:rFonts w:ascii="CG Times" w:hAnsi="CG Times"/>
    </w:rPr>
  </w:style>
  <w:style w:type="paragraph" w:customStyle="1" w:styleId="Document1">
    <w:name w:val="Document 1"/>
    <w:semiHidden/>
    <w:rsid w:val="00CE7626"/>
    <w:pPr>
      <w:keepNext/>
      <w:keepLines/>
      <w:tabs>
        <w:tab w:val="left" w:pos="-720"/>
      </w:tabs>
      <w:suppressAutoHyphens/>
    </w:pPr>
    <w:rPr>
      <w:rFonts w:ascii="Times Roman" w:hAnsi="Times Roman"/>
      <w:sz w:val="22"/>
    </w:rPr>
  </w:style>
  <w:style w:type="paragraph" w:customStyle="1" w:styleId="Num-DocParagraph">
    <w:name w:val="Num-Doc Paragraph"/>
    <w:basedOn w:val="BodyText"/>
    <w:rsid w:val="00CE7626"/>
    <w:pPr>
      <w:tabs>
        <w:tab w:val="left" w:pos="851"/>
        <w:tab w:val="left" w:pos="1191"/>
        <w:tab w:val="left" w:pos="1531"/>
      </w:tabs>
      <w:suppressAutoHyphens w:val="0"/>
      <w:spacing w:after="240" w:line="240" w:lineRule="auto"/>
      <w:jc w:val="both"/>
    </w:pPr>
    <w:rPr>
      <w:rFonts w:ascii="Times" w:hAnsi="Times"/>
      <w:sz w:val="22"/>
    </w:rPr>
  </w:style>
  <w:style w:type="character" w:customStyle="1" w:styleId="BodyText2Char">
    <w:name w:val="Body Text 2 Char"/>
    <w:link w:val="BodyText2"/>
    <w:semiHidden/>
    <w:rsid w:val="00CE7626"/>
    <w:rPr>
      <w:lang w:eastAsia="en-US"/>
    </w:rPr>
  </w:style>
  <w:style w:type="character" w:customStyle="1" w:styleId="ManualBodyTextChar">
    <w:name w:val="Manual Body Text Char"/>
    <w:link w:val="ManualBodyText"/>
    <w:rsid w:val="00CE7626"/>
    <w:rPr>
      <w:sz w:val="22"/>
      <w:szCs w:val="22"/>
      <w:lang w:eastAsia="fr-FR"/>
    </w:rPr>
  </w:style>
  <w:style w:type="character" w:styleId="PlaceholderText">
    <w:name w:val="Placeholder Text"/>
    <w:uiPriority w:val="99"/>
    <w:semiHidden/>
    <w:rsid w:val="00CE7626"/>
    <w:rPr>
      <w:color w:val="808080"/>
    </w:rPr>
  </w:style>
  <w:style w:type="paragraph" w:customStyle="1" w:styleId="p1">
    <w:name w:val="p1"/>
    <w:basedOn w:val="Normal"/>
    <w:rsid w:val="00BB183E"/>
    <w:pPr>
      <w:suppressAutoHyphens w:val="0"/>
      <w:spacing w:line="240" w:lineRule="auto"/>
    </w:pPr>
    <w:rPr>
      <w:sz w:val="15"/>
      <w:szCs w:val="15"/>
      <w:lang w:val="en-US"/>
    </w:rPr>
  </w:style>
  <w:style w:type="character" w:customStyle="1" w:styleId="s1">
    <w:name w:val="s1"/>
    <w:basedOn w:val="DefaultParagraphFont"/>
    <w:rsid w:val="00BB183E"/>
    <w:rPr>
      <w:rFonts w:ascii="Times New Roman" w:hAnsi="Times New Roman" w:cs="Times New Roman" w:hint="default"/>
      <w:sz w:val="9"/>
      <w:szCs w:val="9"/>
    </w:rPr>
  </w:style>
  <w:style w:type="character" w:customStyle="1" w:styleId="apple-converted-space">
    <w:name w:val="apple-converted-space"/>
    <w:basedOn w:val="DefaultParagraphFont"/>
    <w:rsid w:val="00BB183E"/>
  </w:style>
  <w:style w:type="paragraph" w:styleId="Revision">
    <w:name w:val="Revision"/>
    <w:hidden/>
    <w:uiPriority w:val="99"/>
    <w:semiHidden/>
    <w:rsid w:val="008C1A0E"/>
    <w:rPr>
      <w:lang w:val="en-GB"/>
    </w:rPr>
  </w:style>
  <w:style w:type="character" w:customStyle="1" w:styleId="xapple-tab-span">
    <w:name w:val="xapple-tab-span"/>
    <w:basedOn w:val="DefaultParagraphFont"/>
    <w:rsid w:val="007C3F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4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2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9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05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6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9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9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89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96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60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0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21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8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1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11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78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1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2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84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5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2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5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cia_Couto\AppData\Roaming\Microsoft\Templates\ST_SG\AC10_C3_bis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2BA02-56D9-48AB-849A-18DC2C2ED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AC10_C3_bis_E.dotm</Template>
  <TotalTime>32</TotalTime>
  <Pages>5</Pages>
  <Words>2083</Words>
  <Characters>11875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</vt:lpstr>
    </vt:vector>
  </TitlesOfParts>
  <Company>CSD</Company>
  <LinksUpToDate>false</LinksUpToDate>
  <CharactersWithSpaces>13931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subject/>
  <dc:creator>rfoster</dc:creator>
  <cp:keywords/>
  <dc:description/>
  <cp:lastModifiedBy>Rosa</cp:lastModifiedBy>
  <cp:revision>8</cp:revision>
  <cp:lastPrinted>2020-06-14T14:42:00Z</cp:lastPrinted>
  <dcterms:created xsi:type="dcterms:W3CDTF">2020-06-29T07:26:00Z</dcterms:created>
  <dcterms:modified xsi:type="dcterms:W3CDTF">2020-07-02T15:46:00Z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