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80BD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365AA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365AA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80EEB8E" w:rsidR="00FC215C" w:rsidRPr="00980BD7" w:rsidRDefault="00FC215C" w:rsidP="00B666B2">
            <w:pPr>
              <w:jc w:val="right"/>
              <w:rPr>
                <w:b/>
                <w:sz w:val="40"/>
                <w:szCs w:val="40"/>
              </w:rPr>
            </w:pPr>
            <w:r w:rsidRPr="00980BD7">
              <w:rPr>
                <w:b/>
                <w:sz w:val="40"/>
                <w:szCs w:val="40"/>
              </w:rPr>
              <w:t>UN/SCETDG/</w:t>
            </w:r>
            <w:r w:rsidR="00CE74ED" w:rsidRPr="00980BD7">
              <w:rPr>
                <w:b/>
                <w:sz w:val="40"/>
                <w:szCs w:val="40"/>
              </w:rPr>
              <w:t>5</w:t>
            </w:r>
            <w:r w:rsidR="00365AA6" w:rsidRPr="00980BD7">
              <w:rPr>
                <w:b/>
                <w:sz w:val="40"/>
                <w:szCs w:val="40"/>
              </w:rPr>
              <w:t>7</w:t>
            </w:r>
            <w:r w:rsidRPr="00980BD7">
              <w:rPr>
                <w:b/>
                <w:sz w:val="40"/>
                <w:szCs w:val="40"/>
              </w:rPr>
              <w:t>/INF.</w:t>
            </w:r>
            <w:r w:rsidR="005E0BF6">
              <w:rPr>
                <w:b/>
                <w:sz w:val="40"/>
                <w:szCs w:val="40"/>
              </w:rPr>
              <w:t>6</w:t>
            </w:r>
          </w:p>
          <w:p w14:paraId="23600409" w14:textId="77777777" w:rsidR="000216CC" w:rsidRPr="00980BD7" w:rsidRDefault="000216CC" w:rsidP="00497711">
            <w:pPr>
              <w:jc w:val="right"/>
            </w:pPr>
          </w:p>
        </w:tc>
      </w:tr>
    </w:tbl>
    <w:p w14:paraId="2C8AD83B" w14:textId="77777777" w:rsidR="000019B8" w:rsidRPr="00980BD7"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365AA6" w14:paraId="49111E43" w14:textId="77777777" w:rsidTr="00D73803">
        <w:tc>
          <w:tcPr>
            <w:tcW w:w="9645" w:type="dxa"/>
            <w:gridSpan w:val="2"/>
            <w:tcMar>
              <w:top w:w="142" w:type="dxa"/>
              <w:left w:w="108" w:type="dxa"/>
              <w:bottom w:w="142" w:type="dxa"/>
              <w:right w:w="108" w:type="dxa"/>
            </w:tcMar>
          </w:tcPr>
          <w:p w14:paraId="659610D8" w14:textId="4AD8574A" w:rsidR="00645A0B" w:rsidRPr="00365AA6" w:rsidRDefault="00645A0B" w:rsidP="00EE2966">
            <w:pPr>
              <w:tabs>
                <w:tab w:val="right" w:pos="9214"/>
              </w:tabs>
            </w:pPr>
            <w:r w:rsidRPr="00980BD7">
              <w:rPr>
                <w:b/>
                <w:sz w:val="24"/>
                <w:szCs w:val="24"/>
              </w:rPr>
              <w:t>Committee of Experts on the Transport of Dangerous Goods</w:t>
            </w:r>
            <w:r w:rsidRPr="00980BD7">
              <w:rPr>
                <w:b/>
                <w:sz w:val="24"/>
                <w:szCs w:val="24"/>
              </w:rPr>
              <w:tab/>
            </w:r>
            <w:r w:rsidRPr="00980BD7">
              <w:rPr>
                <w:b/>
                <w:sz w:val="24"/>
                <w:szCs w:val="24"/>
              </w:rPr>
              <w:br/>
              <w:t>and on the Globally Harmonized System of Classification</w:t>
            </w:r>
            <w:r w:rsidRPr="00980BD7">
              <w:rPr>
                <w:b/>
                <w:sz w:val="24"/>
                <w:szCs w:val="24"/>
              </w:rPr>
              <w:br/>
              <w:t>and Labelling of Chemicals</w:t>
            </w:r>
            <w:r w:rsidRPr="00980BD7">
              <w:rPr>
                <w:b/>
              </w:rPr>
              <w:tab/>
            </w:r>
            <w:r w:rsidR="00D76D76">
              <w:rPr>
                <w:b/>
              </w:rPr>
              <w:t>17</w:t>
            </w:r>
            <w:r w:rsidR="008C7033" w:rsidRPr="00184120">
              <w:rPr>
                <w:b/>
              </w:rPr>
              <w:t xml:space="preserve"> </w:t>
            </w:r>
            <w:r w:rsidR="007A44D6" w:rsidRPr="00184120">
              <w:rPr>
                <w:b/>
              </w:rPr>
              <w:t>April</w:t>
            </w:r>
            <w:r w:rsidR="006216A1" w:rsidRPr="00184120">
              <w:rPr>
                <w:b/>
              </w:rPr>
              <w:t xml:space="preserve"> </w:t>
            </w:r>
            <w:r w:rsidR="00365AA6" w:rsidRPr="00184120">
              <w:rPr>
                <w:b/>
              </w:rPr>
              <w:t>2020</w:t>
            </w:r>
          </w:p>
        </w:tc>
      </w:tr>
      <w:tr w:rsidR="00645A0B" w:rsidRPr="00365AA6" w14:paraId="6574E88D" w14:textId="77777777" w:rsidTr="00D73803">
        <w:tc>
          <w:tcPr>
            <w:tcW w:w="4652" w:type="dxa"/>
            <w:tcMar>
              <w:top w:w="57" w:type="dxa"/>
              <w:left w:w="108" w:type="dxa"/>
              <w:bottom w:w="0" w:type="dxa"/>
              <w:right w:w="108" w:type="dxa"/>
            </w:tcMar>
            <w:vAlign w:val="center"/>
          </w:tcPr>
          <w:p w14:paraId="30C2CA7B" w14:textId="77777777" w:rsidR="00645A0B" w:rsidRPr="00365AA6" w:rsidRDefault="00645A0B" w:rsidP="00D73803">
            <w:pPr>
              <w:spacing w:before="40"/>
              <w:rPr>
                <w:b/>
              </w:rPr>
            </w:pPr>
            <w:r w:rsidRPr="00365AA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365AA6" w:rsidRDefault="00645A0B" w:rsidP="00165735">
            <w:pPr>
              <w:spacing w:before="120"/>
              <w:rPr>
                <w:b/>
              </w:rPr>
            </w:pPr>
          </w:p>
        </w:tc>
      </w:tr>
      <w:tr w:rsidR="00645A0B" w:rsidRPr="00365AA6"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365AA6" w:rsidRDefault="00CE74ED" w:rsidP="005A6301">
            <w:pPr>
              <w:spacing w:before="120" w:line="240" w:lineRule="auto"/>
              <w:ind w:left="34" w:hanging="34"/>
              <w:rPr>
                <w:b/>
              </w:rPr>
            </w:pPr>
            <w:r w:rsidRPr="00365AA6">
              <w:rPr>
                <w:b/>
              </w:rPr>
              <w:t>Fifty-</w:t>
            </w:r>
            <w:r w:rsidR="00365AA6" w:rsidRPr="00365AA6">
              <w:rPr>
                <w:b/>
              </w:rPr>
              <w:t>seventh</w:t>
            </w:r>
            <w:r w:rsidRPr="00365AA6">
              <w:rPr>
                <w:b/>
              </w:rPr>
              <w:t xml:space="preserve"> session</w:t>
            </w:r>
          </w:p>
        </w:tc>
        <w:tc>
          <w:tcPr>
            <w:tcW w:w="4993" w:type="dxa"/>
            <w:tcMar>
              <w:top w:w="57" w:type="dxa"/>
              <w:left w:w="108" w:type="dxa"/>
              <w:bottom w:w="0" w:type="dxa"/>
              <w:right w:w="108" w:type="dxa"/>
            </w:tcMar>
          </w:tcPr>
          <w:p w14:paraId="15F73DBB" w14:textId="77777777" w:rsidR="00645A0B" w:rsidRPr="00365AA6" w:rsidRDefault="00645A0B" w:rsidP="00D73803">
            <w:pPr>
              <w:spacing w:line="240" w:lineRule="auto"/>
              <w:ind w:left="34" w:hanging="34"/>
              <w:rPr>
                <w:b/>
              </w:rPr>
            </w:pPr>
          </w:p>
        </w:tc>
      </w:tr>
      <w:tr w:rsidR="00645A0B" w:rsidRPr="00365AA6"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0C9291B" w:rsidR="00CE74ED" w:rsidRPr="00980BD7" w:rsidRDefault="00CE74ED" w:rsidP="00CE74ED">
            <w:pPr>
              <w:tabs>
                <w:tab w:val="left" w:pos="6361"/>
                <w:tab w:val="left" w:pos="6939"/>
              </w:tabs>
              <w:spacing w:before="40"/>
              <w:outlineLvl w:val="0"/>
              <w:rPr>
                <w:bCs/>
              </w:rPr>
            </w:pPr>
            <w:r w:rsidRPr="00980BD7">
              <w:t xml:space="preserve">Geneva, </w:t>
            </w:r>
            <w:r w:rsidR="00365AA6" w:rsidRPr="00980BD7">
              <w:t>29 June-8 July</w:t>
            </w:r>
            <w:r w:rsidRPr="00980BD7">
              <w:t xml:space="preserve"> </w:t>
            </w:r>
            <w:r w:rsidR="00365AA6" w:rsidRPr="00980BD7">
              <w:t>2020</w:t>
            </w:r>
          </w:p>
          <w:p w14:paraId="178DA8E0" w14:textId="44B26514" w:rsidR="00645A0B" w:rsidRPr="00980BD7" w:rsidRDefault="00A83451" w:rsidP="00EA48C4">
            <w:pPr>
              <w:spacing w:before="40"/>
              <w:ind w:left="34" w:hanging="34"/>
            </w:pPr>
            <w:r w:rsidRPr="00980BD7">
              <w:t xml:space="preserve">Item </w:t>
            </w:r>
            <w:r w:rsidR="00090CBF">
              <w:t>3</w:t>
            </w:r>
            <w:r w:rsidR="00EE2966" w:rsidRPr="00980BD7">
              <w:t xml:space="preserve"> </w:t>
            </w:r>
            <w:r w:rsidRPr="00980BD7">
              <w:t>of the provisional agenda</w:t>
            </w:r>
          </w:p>
          <w:p w14:paraId="3094528C" w14:textId="16CAC6DC" w:rsidR="00645A0B" w:rsidRPr="00980BD7" w:rsidRDefault="00090CBF" w:rsidP="00365AA6">
            <w:pPr>
              <w:rPr>
                <w:b/>
                <w:bCs/>
              </w:rPr>
            </w:pPr>
            <w:r>
              <w:rPr>
                <w:b/>
              </w:rPr>
              <w:t>Listing, classification and packing</w:t>
            </w:r>
          </w:p>
        </w:tc>
        <w:tc>
          <w:tcPr>
            <w:tcW w:w="4993" w:type="dxa"/>
            <w:shd w:val="clear" w:color="auto" w:fill="auto"/>
            <w:tcMar>
              <w:top w:w="28" w:type="dxa"/>
              <w:left w:w="108" w:type="dxa"/>
              <w:bottom w:w="0" w:type="dxa"/>
              <w:right w:w="108" w:type="dxa"/>
            </w:tcMar>
          </w:tcPr>
          <w:p w14:paraId="452F8F0A" w14:textId="77777777" w:rsidR="00645A0B" w:rsidRPr="00980BD7" w:rsidRDefault="00645A0B" w:rsidP="000B6AD1">
            <w:pPr>
              <w:spacing w:before="40"/>
              <w:rPr>
                <w:b/>
                <w:bCs/>
              </w:rPr>
            </w:pPr>
          </w:p>
        </w:tc>
      </w:tr>
    </w:tbl>
    <w:p w14:paraId="604AC616" w14:textId="77777777" w:rsidR="005E0BF6" w:rsidRDefault="005E0BF6" w:rsidP="005E0BF6">
      <w:pPr>
        <w:pStyle w:val="HChG"/>
      </w:pPr>
      <w:r>
        <w:tab/>
      </w:r>
      <w:r>
        <w:tab/>
      </w:r>
      <w:r w:rsidRPr="006132C3">
        <w:t>New</w:t>
      </w:r>
      <w:r>
        <w:t xml:space="preserve"> entry for a</w:t>
      </w:r>
      <w:r w:rsidRPr="00FE7FFE">
        <w:t>erosol generating, fire suppression device</w:t>
      </w:r>
      <w:r>
        <w:t>s</w:t>
      </w:r>
    </w:p>
    <w:p w14:paraId="2F9E309B" w14:textId="2F6F81DA" w:rsidR="005E0BF6" w:rsidRDefault="005E0BF6" w:rsidP="005E0BF6">
      <w:pPr>
        <w:pStyle w:val="H1G"/>
      </w:pPr>
      <w:r>
        <w:tab/>
      </w:r>
      <w:r>
        <w:tab/>
        <w:t>Transmitted by the Council on Safe Transportation of Hazardous Articles (COSTHA)</w:t>
      </w:r>
    </w:p>
    <w:p w14:paraId="62BB7DDA" w14:textId="77777777" w:rsidR="005E0BF6" w:rsidRPr="00EA6200" w:rsidRDefault="005E0BF6" w:rsidP="005E0BF6">
      <w:pPr>
        <w:pStyle w:val="HChG"/>
      </w:pPr>
      <w:r>
        <w:tab/>
      </w:r>
      <w:r>
        <w:tab/>
        <w:t>Introduction</w:t>
      </w:r>
    </w:p>
    <w:p w14:paraId="4DD80257" w14:textId="4E40F421" w:rsidR="005E0BF6" w:rsidRDefault="005E0BF6" w:rsidP="005E0BF6">
      <w:pPr>
        <w:pStyle w:val="SingleTxtG"/>
        <w:numPr>
          <w:ilvl w:val="0"/>
          <w:numId w:val="34"/>
        </w:numPr>
        <w:ind w:left="1134" w:right="1138" w:firstLine="0"/>
      </w:pPr>
      <w:r>
        <w:t xml:space="preserve">A proposal </w:t>
      </w:r>
      <w:r w:rsidR="00CC76A4">
        <w:t xml:space="preserve">from the expert from France </w:t>
      </w:r>
      <w:r>
        <w:t xml:space="preserve">at the </w:t>
      </w:r>
      <w:proofErr w:type="spellStart"/>
      <w:r w:rsidR="00CC76A4">
        <w:rPr>
          <w:lang w:val="fr-CH"/>
        </w:rPr>
        <w:t>fifty-sixth</w:t>
      </w:r>
      <w:proofErr w:type="spellEnd"/>
      <w:r w:rsidR="00CC76A4">
        <w:t xml:space="preserve"> </w:t>
      </w:r>
      <w:r>
        <w:t xml:space="preserve">session </w:t>
      </w:r>
      <w:r w:rsidR="00CC76A4">
        <w:rPr>
          <w:lang w:val="fr-CH"/>
        </w:rPr>
        <w:t xml:space="preserve">of the </w:t>
      </w:r>
      <w:proofErr w:type="spellStart"/>
      <w:r w:rsidR="00CC76A4">
        <w:rPr>
          <w:lang w:val="fr-CH"/>
        </w:rPr>
        <w:t>Sub-Committee</w:t>
      </w:r>
      <w:proofErr w:type="spellEnd"/>
      <w:r w:rsidR="00CC76A4">
        <w:rPr>
          <w:lang w:val="fr-CH"/>
        </w:rPr>
        <w:t xml:space="preserve"> </w:t>
      </w:r>
      <w:r>
        <w:t xml:space="preserve">offered two options for addressing the transport of fire suppression devices. The first option was to recognize fire suppression dispersing devices as "Safety Devices, UN 3268 and the second was to create a specific entry with appropriate requirements in a special provision similar to SP 280 but tailored to the unique characteristics of these articles. COSTHA agrees with France that the new entry should be more-broad to cover fire suppression devices that not only generate an aerosolized dispersion of fire suppression material. This would include fire suppression dispersing devices that are designed to disperse a fire extinguishing medium which may be a solid or liquid fire suppressing material. COSTHA </w:t>
      </w:r>
      <w:proofErr w:type="spellStart"/>
      <w:r>
        <w:t>favors</w:t>
      </w:r>
      <w:proofErr w:type="spellEnd"/>
      <w:r>
        <w:t xml:space="preserve"> the second option offered by France because these articles are shipped in significant quantities and have unique characteristics and there are several innovative fire suppression safety devices that disperse fine particles or liquids using an explosive initiator that are commonly transported worldwide.</w:t>
      </w:r>
    </w:p>
    <w:p w14:paraId="72DE9DE4" w14:textId="1E11EE0E" w:rsidR="005E0BF6" w:rsidRPr="00DE1A93" w:rsidRDefault="005E0BF6" w:rsidP="005E0BF6">
      <w:pPr>
        <w:pStyle w:val="HChG"/>
      </w:pPr>
      <w:r>
        <w:tab/>
      </w:r>
      <w:r>
        <w:tab/>
      </w:r>
      <w:r w:rsidRPr="00DE1A93">
        <w:t>Proposal</w:t>
      </w:r>
    </w:p>
    <w:p w14:paraId="615C2F4F" w14:textId="77777777" w:rsidR="005E0BF6" w:rsidRDefault="005E0BF6" w:rsidP="005E0BF6">
      <w:pPr>
        <w:pStyle w:val="SingleTxtG"/>
      </w:pPr>
      <w:r>
        <w:tab/>
        <w:t>2.</w:t>
      </w:r>
      <w:r>
        <w:tab/>
        <w:t>The new entry name could be amended to be more neutral for example “Fire Suppression Dispersing Device, UN 35XX, Class 9” as it was proposed in the initial informal document INF.48 (55</w:t>
      </w:r>
      <w:r>
        <w:rPr>
          <w:vertAlign w:val="superscript"/>
        </w:rPr>
        <w:t>th</w:t>
      </w:r>
      <w:r>
        <w:t xml:space="preserve"> session).</w:t>
      </w:r>
    </w:p>
    <w:p w14:paraId="288FD0BA" w14:textId="77777777" w:rsidR="005E0BF6" w:rsidRDefault="005E0BF6" w:rsidP="005E0BF6">
      <w:pPr>
        <w:pStyle w:val="SingleTxtG"/>
      </w:pPr>
      <w:r>
        <w:t>It is proposed that a new entry be added in the Dangerous Goods List as follows:</w:t>
      </w:r>
    </w:p>
    <w:tbl>
      <w:tblPr>
        <w:tblStyle w:val="TableGrid"/>
        <w:tblW w:w="8587" w:type="dxa"/>
        <w:tblInd w:w="1062" w:type="dxa"/>
        <w:tblLook w:val="04A0" w:firstRow="1" w:lastRow="0" w:firstColumn="1" w:lastColumn="0" w:noHBand="0" w:noVBand="1"/>
      </w:tblPr>
      <w:tblGrid>
        <w:gridCol w:w="499"/>
        <w:gridCol w:w="1210"/>
        <w:gridCol w:w="609"/>
        <w:gridCol w:w="833"/>
        <w:gridCol w:w="714"/>
        <w:gridCol w:w="811"/>
        <w:gridCol w:w="368"/>
        <w:gridCol w:w="428"/>
        <w:gridCol w:w="735"/>
        <w:gridCol w:w="22"/>
        <w:gridCol w:w="713"/>
        <w:gridCol w:w="882"/>
        <w:gridCol w:w="763"/>
      </w:tblGrid>
      <w:tr w:rsidR="005E0BF6" w14:paraId="5876B5DE" w14:textId="77777777" w:rsidTr="0094774A">
        <w:tc>
          <w:tcPr>
            <w:tcW w:w="20" w:type="dxa"/>
            <w:vMerge w:val="restart"/>
            <w:tcBorders>
              <w:top w:val="single" w:sz="4" w:space="0" w:color="auto"/>
              <w:left w:val="single" w:sz="4" w:space="0" w:color="auto"/>
              <w:bottom w:val="single" w:sz="4" w:space="0" w:color="auto"/>
              <w:right w:val="single" w:sz="4" w:space="0" w:color="auto"/>
            </w:tcBorders>
            <w:hideMark/>
          </w:tcPr>
          <w:p w14:paraId="3047400B" w14:textId="77777777" w:rsidR="005E0BF6" w:rsidRDefault="005E0BF6" w:rsidP="0094774A">
            <w:pPr>
              <w:rPr>
                <w:lang w:eastAsia="en-GB"/>
              </w:rPr>
            </w:pPr>
            <w:r>
              <w:rPr>
                <w:b/>
                <w:bCs/>
                <w:sz w:val="16"/>
                <w:szCs w:val="16"/>
                <w:lang w:eastAsia="en-GB"/>
              </w:rPr>
              <w:t>UN No.</w:t>
            </w:r>
          </w:p>
        </w:tc>
        <w:tc>
          <w:tcPr>
            <w:tcW w:w="1339" w:type="dxa"/>
            <w:vMerge w:val="restart"/>
            <w:tcBorders>
              <w:top w:val="single" w:sz="4" w:space="0" w:color="auto"/>
              <w:left w:val="single" w:sz="4" w:space="0" w:color="auto"/>
              <w:bottom w:val="single" w:sz="4" w:space="0" w:color="auto"/>
              <w:right w:val="single" w:sz="4" w:space="0" w:color="auto"/>
            </w:tcBorders>
            <w:hideMark/>
          </w:tcPr>
          <w:p w14:paraId="3870C2FC" w14:textId="77777777" w:rsidR="005E0BF6" w:rsidRDefault="005E0BF6" w:rsidP="0094774A">
            <w:pPr>
              <w:rPr>
                <w:lang w:eastAsia="en-GB"/>
              </w:rPr>
            </w:pPr>
            <w:r>
              <w:rPr>
                <w:b/>
                <w:bCs/>
                <w:sz w:val="16"/>
                <w:szCs w:val="16"/>
                <w:lang w:eastAsia="en-GB"/>
              </w:rPr>
              <w:t>Name and description</w:t>
            </w:r>
          </w:p>
        </w:tc>
        <w:tc>
          <w:tcPr>
            <w:tcW w:w="646" w:type="dxa"/>
            <w:vMerge w:val="restart"/>
            <w:tcBorders>
              <w:top w:val="single" w:sz="4" w:space="0" w:color="auto"/>
              <w:left w:val="single" w:sz="4" w:space="0" w:color="auto"/>
              <w:bottom w:val="single" w:sz="4" w:space="0" w:color="auto"/>
              <w:right w:val="single" w:sz="4" w:space="0" w:color="auto"/>
            </w:tcBorders>
            <w:hideMark/>
          </w:tcPr>
          <w:p w14:paraId="58F500FB" w14:textId="77777777" w:rsidR="005E0BF6" w:rsidRDefault="005E0BF6" w:rsidP="0094774A">
            <w:pPr>
              <w:rPr>
                <w:lang w:eastAsia="en-GB"/>
              </w:rPr>
            </w:pPr>
            <w:r>
              <w:rPr>
                <w:b/>
                <w:bCs/>
                <w:sz w:val="16"/>
                <w:szCs w:val="16"/>
                <w:lang w:eastAsia="en-GB"/>
              </w:rPr>
              <w:t>Class or division</w:t>
            </w:r>
          </w:p>
        </w:tc>
        <w:tc>
          <w:tcPr>
            <w:tcW w:w="881" w:type="dxa"/>
            <w:vMerge w:val="restart"/>
            <w:tcBorders>
              <w:top w:val="single" w:sz="4" w:space="0" w:color="auto"/>
              <w:left w:val="single" w:sz="4" w:space="0" w:color="auto"/>
              <w:bottom w:val="single" w:sz="4" w:space="0" w:color="auto"/>
              <w:right w:val="single" w:sz="4" w:space="0" w:color="auto"/>
            </w:tcBorders>
            <w:hideMark/>
          </w:tcPr>
          <w:p w14:paraId="4A33894E" w14:textId="77777777" w:rsidR="005E0BF6" w:rsidRDefault="005E0BF6" w:rsidP="0094774A">
            <w:pPr>
              <w:rPr>
                <w:lang w:eastAsia="en-GB"/>
              </w:rPr>
            </w:pPr>
            <w:r>
              <w:rPr>
                <w:b/>
                <w:bCs/>
                <w:sz w:val="16"/>
                <w:szCs w:val="16"/>
                <w:lang w:eastAsia="en-GB"/>
              </w:rPr>
              <w:t>Subsidiary hazard</w:t>
            </w:r>
          </w:p>
        </w:tc>
        <w:tc>
          <w:tcPr>
            <w:tcW w:w="806" w:type="dxa"/>
            <w:vMerge w:val="restart"/>
            <w:tcBorders>
              <w:top w:val="single" w:sz="4" w:space="0" w:color="auto"/>
              <w:left w:val="single" w:sz="4" w:space="0" w:color="auto"/>
              <w:bottom w:val="single" w:sz="4" w:space="0" w:color="auto"/>
              <w:right w:val="single" w:sz="4" w:space="0" w:color="auto"/>
            </w:tcBorders>
            <w:hideMark/>
          </w:tcPr>
          <w:p w14:paraId="3627534C" w14:textId="77777777" w:rsidR="005E0BF6" w:rsidRDefault="005E0BF6" w:rsidP="0094774A">
            <w:pPr>
              <w:rPr>
                <w:lang w:eastAsia="en-GB"/>
              </w:rPr>
            </w:pPr>
            <w:r>
              <w:rPr>
                <w:b/>
                <w:bCs/>
                <w:sz w:val="16"/>
                <w:szCs w:val="16"/>
                <w:lang w:eastAsia="en-GB"/>
              </w:rPr>
              <w:t>UN packing group</w:t>
            </w:r>
          </w:p>
        </w:tc>
        <w:tc>
          <w:tcPr>
            <w:tcW w:w="867" w:type="dxa"/>
            <w:vMerge w:val="restart"/>
            <w:tcBorders>
              <w:top w:val="single" w:sz="4" w:space="0" w:color="auto"/>
              <w:left w:val="single" w:sz="4" w:space="0" w:color="auto"/>
              <w:bottom w:val="single" w:sz="4" w:space="0" w:color="auto"/>
              <w:right w:val="single" w:sz="4" w:space="0" w:color="auto"/>
            </w:tcBorders>
            <w:hideMark/>
          </w:tcPr>
          <w:p w14:paraId="1DB35BE9" w14:textId="77777777" w:rsidR="005E0BF6" w:rsidRDefault="005E0BF6" w:rsidP="0094774A">
            <w:pPr>
              <w:rPr>
                <w:b/>
                <w:bCs/>
                <w:sz w:val="16"/>
                <w:szCs w:val="16"/>
                <w:lang w:eastAsia="en-GB"/>
              </w:rPr>
            </w:pPr>
            <w:r>
              <w:rPr>
                <w:b/>
                <w:bCs/>
                <w:sz w:val="16"/>
                <w:szCs w:val="16"/>
                <w:lang w:eastAsia="en-GB"/>
              </w:rPr>
              <w:t xml:space="preserve">Special </w:t>
            </w:r>
          </w:p>
          <w:p w14:paraId="04D9B032" w14:textId="77777777" w:rsidR="005E0BF6" w:rsidRDefault="005E0BF6" w:rsidP="0094774A">
            <w:pPr>
              <w:rPr>
                <w:lang w:eastAsia="en-GB"/>
              </w:rPr>
            </w:pPr>
            <w:r>
              <w:rPr>
                <w:b/>
                <w:bCs/>
                <w:sz w:val="16"/>
                <w:szCs w:val="16"/>
                <w:lang w:eastAsia="en-GB"/>
              </w:rPr>
              <w:t>provisions</w:t>
            </w:r>
          </w:p>
        </w:tc>
        <w:tc>
          <w:tcPr>
            <w:tcW w:w="858" w:type="dxa"/>
            <w:gridSpan w:val="2"/>
            <w:vMerge w:val="restart"/>
            <w:tcBorders>
              <w:top w:val="single" w:sz="4" w:space="0" w:color="auto"/>
              <w:left w:val="single" w:sz="4" w:space="0" w:color="auto"/>
              <w:bottom w:val="single" w:sz="4" w:space="0" w:color="auto"/>
              <w:right w:val="single" w:sz="4" w:space="0" w:color="auto"/>
            </w:tcBorders>
            <w:hideMark/>
          </w:tcPr>
          <w:p w14:paraId="2E492AA2" w14:textId="77777777" w:rsidR="005E0BF6" w:rsidRDefault="005E0BF6" w:rsidP="0094774A">
            <w:pPr>
              <w:rPr>
                <w:lang w:eastAsia="en-GB"/>
              </w:rPr>
            </w:pPr>
            <w:r>
              <w:rPr>
                <w:b/>
                <w:bCs/>
                <w:sz w:val="16"/>
                <w:szCs w:val="16"/>
                <w:lang w:eastAsia="en-GB"/>
              </w:rPr>
              <w:t>Limited and excepted quantities</w:t>
            </w:r>
          </w:p>
        </w:tc>
        <w:tc>
          <w:tcPr>
            <w:tcW w:w="1470" w:type="dxa"/>
            <w:gridSpan w:val="3"/>
            <w:tcBorders>
              <w:top w:val="single" w:sz="4" w:space="0" w:color="auto"/>
              <w:left w:val="single" w:sz="4" w:space="0" w:color="auto"/>
              <w:bottom w:val="single" w:sz="4" w:space="0" w:color="auto"/>
              <w:right w:val="single" w:sz="4" w:space="0" w:color="auto"/>
            </w:tcBorders>
            <w:hideMark/>
          </w:tcPr>
          <w:p w14:paraId="47F552BB" w14:textId="77777777" w:rsidR="005E0BF6" w:rsidRDefault="005E0BF6" w:rsidP="0094774A">
            <w:pPr>
              <w:rPr>
                <w:b/>
                <w:bCs/>
                <w:sz w:val="16"/>
                <w:szCs w:val="16"/>
                <w:lang w:eastAsia="en-GB"/>
              </w:rPr>
            </w:pPr>
            <w:r>
              <w:rPr>
                <w:b/>
                <w:bCs/>
                <w:sz w:val="16"/>
                <w:szCs w:val="16"/>
                <w:lang w:eastAsia="en-GB"/>
              </w:rPr>
              <w:t xml:space="preserve">Packagings </w:t>
            </w:r>
          </w:p>
          <w:p w14:paraId="2973AD85" w14:textId="77777777" w:rsidR="005E0BF6" w:rsidRDefault="005E0BF6" w:rsidP="0094774A">
            <w:pPr>
              <w:rPr>
                <w:lang w:eastAsia="en-GB"/>
              </w:rPr>
            </w:pPr>
            <w:r>
              <w:rPr>
                <w:b/>
                <w:bCs/>
                <w:sz w:val="16"/>
                <w:szCs w:val="16"/>
                <w:lang w:eastAsia="en-GB"/>
              </w:rPr>
              <w:t>and IBCs</w:t>
            </w:r>
          </w:p>
        </w:tc>
        <w:tc>
          <w:tcPr>
            <w:tcW w:w="1700" w:type="dxa"/>
            <w:gridSpan w:val="2"/>
            <w:tcBorders>
              <w:top w:val="single" w:sz="4" w:space="0" w:color="auto"/>
              <w:left w:val="single" w:sz="4" w:space="0" w:color="auto"/>
              <w:bottom w:val="single" w:sz="4" w:space="0" w:color="auto"/>
              <w:right w:val="single" w:sz="4" w:space="0" w:color="auto"/>
            </w:tcBorders>
            <w:hideMark/>
          </w:tcPr>
          <w:p w14:paraId="55D49C22" w14:textId="77777777" w:rsidR="005E0BF6" w:rsidRDefault="005E0BF6" w:rsidP="0094774A">
            <w:pPr>
              <w:rPr>
                <w:lang w:eastAsia="en-GB"/>
              </w:rPr>
            </w:pPr>
            <w:r>
              <w:rPr>
                <w:b/>
                <w:bCs/>
                <w:sz w:val="16"/>
                <w:szCs w:val="16"/>
                <w:lang w:eastAsia="en-GB"/>
              </w:rPr>
              <w:t>Portable tanks and bulk containers</w:t>
            </w:r>
          </w:p>
        </w:tc>
      </w:tr>
      <w:tr w:rsidR="005E0BF6" w14:paraId="6EA8F138" w14:textId="77777777" w:rsidTr="0094774A">
        <w:tc>
          <w:tcPr>
            <w:tcW w:w="20" w:type="dxa"/>
            <w:vMerge/>
            <w:tcBorders>
              <w:top w:val="single" w:sz="4" w:space="0" w:color="auto"/>
              <w:left w:val="single" w:sz="4" w:space="0" w:color="auto"/>
              <w:bottom w:val="single" w:sz="4" w:space="0" w:color="auto"/>
              <w:right w:val="single" w:sz="4" w:space="0" w:color="auto"/>
            </w:tcBorders>
            <w:vAlign w:val="center"/>
            <w:hideMark/>
          </w:tcPr>
          <w:p w14:paraId="5D2BE69B" w14:textId="77777777" w:rsidR="005E0BF6" w:rsidRDefault="005E0BF6" w:rsidP="0094774A">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AA3CB" w14:textId="77777777" w:rsidR="005E0BF6" w:rsidRDefault="005E0BF6" w:rsidP="0094774A">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A9AA1" w14:textId="77777777" w:rsidR="005E0BF6" w:rsidRDefault="005E0BF6" w:rsidP="0094774A">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B044E" w14:textId="77777777" w:rsidR="005E0BF6" w:rsidRDefault="005E0BF6" w:rsidP="0094774A">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0FAE1" w14:textId="77777777" w:rsidR="005E0BF6" w:rsidRDefault="005E0BF6" w:rsidP="0094774A">
            <w:pPr>
              <w:rPr>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55BB5" w14:textId="77777777" w:rsidR="005E0BF6" w:rsidRDefault="005E0BF6" w:rsidP="0094774A">
            <w:pPr>
              <w:rPr>
                <w:lang w:eastAsia="en-G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9C2404" w14:textId="77777777" w:rsidR="005E0BF6" w:rsidRDefault="005E0BF6" w:rsidP="0094774A">
            <w:pPr>
              <w:rPr>
                <w:lang w:eastAsia="en-GB"/>
              </w:rPr>
            </w:pPr>
          </w:p>
        </w:tc>
        <w:tc>
          <w:tcPr>
            <w:tcW w:w="757" w:type="dxa"/>
            <w:gridSpan w:val="2"/>
            <w:tcBorders>
              <w:top w:val="single" w:sz="4" w:space="0" w:color="auto"/>
              <w:left w:val="single" w:sz="4" w:space="0" w:color="auto"/>
              <w:bottom w:val="single" w:sz="4" w:space="0" w:color="auto"/>
              <w:right w:val="single" w:sz="4" w:space="0" w:color="auto"/>
            </w:tcBorders>
            <w:hideMark/>
          </w:tcPr>
          <w:p w14:paraId="2A1E918F" w14:textId="77777777" w:rsidR="005E0BF6" w:rsidRDefault="005E0BF6" w:rsidP="0094774A">
            <w:pPr>
              <w:rPr>
                <w:lang w:eastAsia="en-GB"/>
              </w:rPr>
            </w:pPr>
            <w:r>
              <w:rPr>
                <w:b/>
                <w:bCs/>
                <w:sz w:val="16"/>
                <w:szCs w:val="16"/>
                <w:lang w:eastAsia="en-GB"/>
              </w:rPr>
              <w:t>Packing instruction</w:t>
            </w:r>
          </w:p>
        </w:tc>
        <w:tc>
          <w:tcPr>
            <w:tcW w:w="713" w:type="dxa"/>
            <w:tcBorders>
              <w:top w:val="single" w:sz="4" w:space="0" w:color="auto"/>
              <w:left w:val="single" w:sz="4" w:space="0" w:color="auto"/>
              <w:bottom w:val="single" w:sz="4" w:space="0" w:color="auto"/>
              <w:right w:val="single" w:sz="4" w:space="0" w:color="auto"/>
            </w:tcBorders>
            <w:hideMark/>
          </w:tcPr>
          <w:p w14:paraId="71C2E833" w14:textId="77777777" w:rsidR="005E0BF6" w:rsidRDefault="005E0BF6" w:rsidP="0094774A">
            <w:pPr>
              <w:rPr>
                <w:lang w:eastAsia="en-GB"/>
              </w:rPr>
            </w:pPr>
            <w:r>
              <w:rPr>
                <w:b/>
                <w:bCs/>
                <w:sz w:val="16"/>
                <w:szCs w:val="16"/>
                <w:lang w:eastAsia="en-GB"/>
              </w:rPr>
              <w:t>Special packing provisions</w:t>
            </w:r>
          </w:p>
        </w:tc>
        <w:tc>
          <w:tcPr>
            <w:tcW w:w="908" w:type="dxa"/>
            <w:tcBorders>
              <w:top w:val="single" w:sz="4" w:space="0" w:color="auto"/>
              <w:left w:val="single" w:sz="4" w:space="0" w:color="auto"/>
              <w:bottom w:val="single" w:sz="4" w:space="0" w:color="auto"/>
              <w:right w:val="single" w:sz="4" w:space="0" w:color="auto"/>
            </w:tcBorders>
            <w:hideMark/>
          </w:tcPr>
          <w:p w14:paraId="5D52D0C8" w14:textId="77777777" w:rsidR="005E0BF6" w:rsidRDefault="005E0BF6" w:rsidP="0094774A">
            <w:pPr>
              <w:rPr>
                <w:lang w:eastAsia="en-GB"/>
              </w:rPr>
            </w:pPr>
            <w:r>
              <w:rPr>
                <w:b/>
                <w:bCs/>
                <w:sz w:val="16"/>
                <w:szCs w:val="16"/>
                <w:lang w:eastAsia="en-GB"/>
              </w:rPr>
              <w:t>Instructions</w:t>
            </w:r>
          </w:p>
        </w:tc>
        <w:tc>
          <w:tcPr>
            <w:tcW w:w="792" w:type="dxa"/>
            <w:tcBorders>
              <w:top w:val="single" w:sz="4" w:space="0" w:color="auto"/>
              <w:left w:val="single" w:sz="4" w:space="0" w:color="auto"/>
              <w:bottom w:val="single" w:sz="4" w:space="0" w:color="auto"/>
              <w:right w:val="single" w:sz="4" w:space="0" w:color="auto"/>
            </w:tcBorders>
            <w:hideMark/>
          </w:tcPr>
          <w:p w14:paraId="4D2063FE" w14:textId="77777777" w:rsidR="005E0BF6" w:rsidRDefault="005E0BF6" w:rsidP="0094774A">
            <w:pPr>
              <w:rPr>
                <w:lang w:eastAsia="en-GB"/>
              </w:rPr>
            </w:pPr>
            <w:r>
              <w:rPr>
                <w:b/>
                <w:bCs/>
                <w:sz w:val="16"/>
                <w:szCs w:val="16"/>
                <w:lang w:eastAsia="en-GB"/>
              </w:rPr>
              <w:t>Special provisions</w:t>
            </w:r>
          </w:p>
        </w:tc>
      </w:tr>
      <w:tr w:rsidR="005E0BF6" w14:paraId="3F4C43C2" w14:textId="77777777" w:rsidTr="0094774A">
        <w:tc>
          <w:tcPr>
            <w:tcW w:w="20" w:type="dxa"/>
            <w:tcBorders>
              <w:top w:val="single" w:sz="4" w:space="0" w:color="auto"/>
              <w:left w:val="single" w:sz="4" w:space="0" w:color="auto"/>
              <w:bottom w:val="single" w:sz="4" w:space="0" w:color="auto"/>
              <w:right w:val="single" w:sz="4" w:space="0" w:color="auto"/>
            </w:tcBorders>
            <w:hideMark/>
          </w:tcPr>
          <w:p w14:paraId="623AEB66" w14:textId="77777777" w:rsidR="005E0BF6" w:rsidRDefault="005E0BF6" w:rsidP="0094774A">
            <w:pPr>
              <w:jc w:val="center"/>
              <w:rPr>
                <w:lang w:eastAsia="en-GB"/>
              </w:rPr>
            </w:pPr>
            <w:r>
              <w:rPr>
                <w:lang w:eastAsia="en-GB"/>
              </w:rPr>
              <w:t>35XX</w:t>
            </w:r>
          </w:p>
        </w:tc>
        <w:tc>
          <w:tcPr>
            <w:tcW w:w="1339" w:type="dxa"/>
            <w:tcBorders>
              <w:top w:val="single" w:sz="4" w:space="0" w:color="auto"/>
              <w:left w:val="single" w:sz="4" w:space="0" w:color="auto"/>
              <w:bottom w:val="single" w:sz="4" w:space="0" w:color="auto"/>
              <w:right w:val="single" w:sz="4" w:space="0" w:color="auto"/>
            </w:tcBorders>
            <w:hideMark/>
          </w:tcPr>
          <w:p w14:paraId="0965A437" w14:textId="77777777" w:rsidR="005E0BF6" w:rsidRDefault="005E0BF6" w:rsidP="0094774A">
            <w:pPr>
              <w:jc w:val="center"/>
              <w:rPr>
                <w:u w:val="single"/>
                <w:lang w:eastAsia="en-GB"/>
              </w:rPr>
            </w:pPr>
            <w:r>
              <w:rPr>
                <w:u w:val="single"/>
                <w:lang w:eastAsia="en-GB"/>
              </w:rPr>
              <w:t>Fire Suppression Dispersing Devices</w:t>
            </w:r>
          </w:p>
        </w:tc>
        <w:tc>
          <w:tcPr>
            <w:tcW w:w="646" w:type="dxa"/>
            <w:tcBorders>
              <w:top w:val="single" w:sz="4" w:space="0" w:color="auto"/>
              <w:left w:val="single" w:sz="4" w:space="0" w:color="auto"/>
              <w:bottom w:val="single" w:sz="4" w:space="0" w:color="auto"/>
              <w:right w:val="single" w:sz="4" w:space="0" w:color="auto"/>
            </w:tcBorders>
            <w:hideMark/>
          </w:tcPr>
          <w:p w14:paraId="1B5984A2" w14:textId="77777777" w:rsidR="005E0BF6" w:rsidRDefault="005E0BF6" w:rsidP="0094774A">
            <w:pPr>
              <w:jc w:val="center"/>
              <w:rPr>
                <w:lang w:eastAsia="en-GB"/>
              </w:rPr>
            </w:pPr>
            <w:r>
              <w:rPr>
                <w:lang w:eastAsia="en-GB"/>
              </w:rPr>
              <w:t>9</w:t>
            </w:r>
          </w:p>
        </w:tc>
        <w:tc>
          <w:tcPr>
            <w:tcW w:w="881" w:type="dxa"/>
            <w:tcBorders>
              <w:top w:val="single" w:sz="4" w:space="0" w:color="auto"/>
              <w:left w:val="single" w:sz="4" w:space="0" w:color="auto"/>
              <w:bottom w:val="single" w:sz="4" w:space="0" w:color="auto"/>
              <w:right w:val="single" w:sz="4" w:space="0" w:color="auto"/>
            </w:tcBorders>
          </w:tcPr>
          <w:p w14:paraId="54420C99" w14:textId="77777777" w:rsidR="005E0BF6" w:rsidRDefault="005E0BF6" w:rsidP="0094774A">
            <w:pPr>
              <w:jc w:val="center"/>
              <w:rPr>
                <w:lang w:eastAsia="en-GB"/>
              </w:rPr>
            </w:pPr>
          </w:p>
        </w:tc>
        <w:tc>
          <w:tcPr>
            <w:tcW w:w="806" w:type="dxa"/>
            <w:tcBorders>
              <w:top w:val="single" w:sz="4" w:space="0" w:color="auto"/>
              <w:left w:val="single" w:sz="4" w:space="0" w:color="auto"/>
              <w:bottom w:val="single" w:sz="4" w:space="0" w:color="auto"/>
              <w:right w:val="single" w:sz="4" w:space="0" w:color="auto"/>
            </w:tcBorders>
          </w:tcPr>
          <w:p w14:paraId="04EA29F2" w14:textId="77777777" w:rsidR="005E0BF6" w:rsidRDefault="005E0BF6" w:rsidP="0094774A">
            <w:pPr>
              <w:jc w:val="center"/>
              <w:rPr>
                <w:lang w:eastAsia="en-GB"/>
              </w:rPr>
            </w:pPr>
          </w:p>
        </w:tc>
        <w:tc>
          <w:tcPr>
            <w:tcW w:w="867" w:type="dxa"/>
            <w:tcBorders>
              <w:top w:val="single" w:sz="4" w:space="0" w:color="auto"/>
              <w:left w:val="single" w:sz="4" w:space="0" w:color="auto"/>
              <w:bottom w:val="single" w:sz="4" w:space="0" w:color="auto"/>
              <w:right w:val="single" w:sz="4" w:space="0" w:color="auto"/>
            </w:tcBorders>
            <w:hideMark/>
          </w:tcPr>
          <w:p w14:paraId="2657CCA8" w14:textId="77777777" w:rsidR="005E0BF6" w:rsidRDefault="005E0BF6" w:rsidP="0094774A">
            <w:pPr>
              <w:jc w:val="center"/>
              <w:rPr>
                <w:lang w:eastAsia="en-GB"/>
              </w:rPr>
            </w:pPr>
            <w:r>
              <w:rPr>
                <w:lang w:eastAsia="en-GB"/>
              </w:rPr>
              <w:t>XYZ</w:t>
            </w:r>
          </w:p>
        </w:tc>
        <w:tc>
          <w:tcPr>
            <w:tcW w:w="417" w:type="dxa"/>
            <w:tcBorders>
              <w:top w:val="single" w:sz="4" w:space="0" w:color="auto"/>
              <w:left w:val="single" w:sz="4" w:space="0" w:color="auto"/>
              <w:bottom w:val="single" w:sz="4" w:space="0" w:color="auto"/>
              <w:right w:val="single" w:sz="4" w:space="0" w:color="auto"/>
            </w:tcBorders>
            <w:hideMark/>
          </w:tcPr>
          <w:p w14:paraId="11531529" w14:textId="77777777" w:rsidR="005E0BF6" w:rsidRDefault="005E0BF6" w:rsidP="0094774A">
            <w:pPr>
              <w:jc w:val="center"/>
              <w:rPr>
                <w:lang w:eastAsia="en-GB"/>
              </w:rPr>
            </w:pPr>
            <w:r>
              <w:rPr>
                <w:lang w:eastAsia="en-GB"/>
              </w:rPr>
              <w:t>0</w:t>
            </w:r>
          </w:p>
        </w:tc>
        <w:tc>
          <w:tcPr>
            <w:tcW w:w="441" w:type="dxa"/>
            <w:tcBorders>
              <w:top w:val="single" w:sz="4" w:space="0" w:color="auto"/>
              <w:left w:val="single" w:sz="4" w:space="0" w:color="auto"/>
              <w:bottom w:val="single" w:sz="4" w:space="0" w:color="auto"/>
              <w:right w:val="single" w:sz="4" w:space="0" w:color="auto"/>
            </w:tcBorders>
            <w:hideMark/>
          </w:tcPr>
          <w:p w14:paraId="3B5F8E5A" w14:textId="77777777" w:rsidR="005E0BF6" w:rsidRDefault="005E0BF6" w:rsidP="0094774A">
            <w:pPr>
              <w:jc w:val="center"/>
              <w:rPr>
                <w:lang w:eastAsia="en-GB"/>
              </w:rPr>
            </w:pPr>
            <w:r>
              <w:rPr>
                <w:lang w:eastAsia="en-GB"/>
              </w:rPr>
              <w:t>EO</w:t>
            </w:r>
          </w:p>
        </w:tc>
        <w:tc>
          <w:tcPr>
            <w:tcW w:w="735" w:type="dxa"/>
            <w:tcBorders>
              <w:top w:val="single" w:sz="4" w:space="0" w:color="auto"/>
              <w:left w:val="single" w:sz="4" w:space="0" w:color="auto"/>
              <w:bottom w:val="single" w:sz="4" w:space="0" w:color="auto"/>
              <w:right w:val="single" w:sz="4" w:space="0" w:color="auto"/>
            </w:tcBorders>
            <w:hideMark/>
          </w:tcPr>
          <w:p w14:paraId="5BE4DEF9" w14:textId="77777777" w:rsidR="005E0BF6" w:rsidRDefault="005E0BF6" w:rsidP="0094774A">
            <w:pPr>
              <w:jc w:val="center"/>
              <w:rPr>
                <w:lang w:eastAsia="en-GB"/>
              </w:rPr>
            </w:pPr>
            <w:r>
              <w:rPr>
                <w:lang w:eastAsia="en-GB"/>
              </w:rPr>
              <w:t>P003</w:t>
            </w:r>
          </w:p>
        </w:tc>
        <w:tc>
          <w:tcPr>
            <w:tcW w:w="735" w:type="dxa"/>
            <w:gridSpan w:val="2"/>
            <w:tcBorders>
              <w:top w:val="single" w:sz="4" w:space="0" w:color="auto"/>
              <w:left w:val="single" w:sz="4" w:space="0" w:color="auto"/>
              <w:bottom w:val="single" w:sz="4" w:space="0" w:color="auto"/>
              <w:right w:val="single" w:sz="4" w:space="0" w:color="auto"/>
            </w:tcBorders>
          </w:tcPr>
          <w:p w14:paraId="764ACCD9" w14:textId="77777777" w:rsidR="005E0BF6" w:rsidRDefault="005E0BF6" w:rsidP="0094774A">
            <w:pPr>
              <w:jc w:val="center"/>
              <w:rPr>
                <w:lang w:eastAsia="en-GB"/>
              </w:rPr>
            </w:pPr>
          </w:p>
        </w:tc>
        <w:tc>
          <w:tcPr>
            <w:tcW w:w="908" w:type="dxa"/>
            <w:tcBorders>
              <w:top w:val="single" w:sz="4" w:space="0" w:color="auto"/>
              <w:left w:val="single" w:sz="4" w:space="0" w:color="auto"/>
              <w:bottom w:val="single" w:sz="4" w:space="0" w:color="auto"/>
              <w:right w:val="single" w:sz="4" w:space="0" w:color="auto"/>
            </w:tcBorders>
          </w:tcPr>
          <w:p w14:paraId="2EA18B3B" w14:textId="77777777" w:rsidR="005E0BF6" w:rsidRDefault="005E0BF6" w:rsidP="0094774A">
            <w:pPr>
              <w:jc w:val="center"/>
              <w:rPr>
                <w:lang w:eastAsia="en-GB"/>
              </w:rPr>
            </w:pPr>
          </w:p>
        </w:tc>
        <w:tc>
          <w:tcPr>
            <w:tcW w:w="792" w:type="dxa"/>
            <w:tcBorders>
              <w:top w:val="single" w:sz="4" w:space="0" w:color="auto"/>
              <w:left w:val="single" w:sz="4" w:space="0" w:color="auto"/>
              <w:bottom w:val="single" w:sz="4" w:space="0" w:color="auto"/>
              <w:right w:val="single" w:sz="4" w:space="0" w:color="auto"/>
            </w:tcBorders>
          </w:tcPr>
          <w:p w14:paraId="06672D94" w14:textId="77777777" w:rsidR="005E0BF6" w:rsidRDefault="005E0BF6" w:rsidP="0094774A">
            <w:pPr>
              <w:jc w:val="center"/>
              <w:rPr>
                <w:lang w:eastAsia="en-GB"/>
              </w:rPr>
            </w:pPr>
          </w:p>
        </w:tc>
      </w:tr>
    </w:tbl>
    <w:p w14:paraId="6BD03DC5" w14:textId="77777777" w:rsidR="005E0BF6" w:rsidRDefault="005E0BF6" w:rsidP="005E0BF6">
      <w:pPr>
        <w:pStyle w:val="SingleTxtG"/>
      </w:pPr>
    </w:p>
    <w:p w14:paraId="2EDE95AB" w14:textId="77777777" w:rsidR="005E0BF6" w:rsidRDefault="005E0BF6" w:rsidP="005E0BF6">
      <w:pPr>
        <w:suppressAutoHyphens w:val="0"/>
        <w:spacing w:line="240" w:lineRule="auto"/>
      </w:pPr>
    </w:p>
    <w:p w14:paraId="0D1E59C8" w14:textId="77777777" w:rsidR="005E0BF6" w:rsidRDefault="005E0BF6">
      <w:pPr>
        <w:suppressAutoHyphens w:val="0"/>
        <w:spacing w:line="240" w:lineRule="auto"/>
        <w:rPr>
          <w:lang w:val="x-none"/>
        </w:rPr>
      </w:pPr>
      <w:r>
        <w:br w:type="page"/>
      </w:r>
    </w:p>
    <w:p w14:paraId="2C209890" w14:textId="30E64629" w:rsidR="005E0BF6" w:rsidRDefault="005E0BF6" w:rsidP="005E0BF6">
      <w:pPr>
        <w:pStyle w:val="SingleTxtG"/>
      </w:pPr>
      <w:r>
        <w:lastRenderedPageBreak/>
        <w:t>3.</w:t>
      </w:r>
      <w:r>
        <w:tab/>
        <w:t>A new special provision XYZ is proposed as follows:</w:t>
      </w:r>
    </w:p>
    <w:p w14:paraId="7989A52D" w14:textId="04CF365E" w:rsidR="005E0BF6" w:rsidRPr="000439BC" w:rsidRDefault="005E0BF6" w:rsidP="0071611E">
      <w:pPr>
        <w:pStyle w:val="SingleTxtG"/>
        <w:ind w:left="1701"/>
      </w:pPr>
      <w:r>
        <w:t xml:space="preserve">“XYZ </w:t>
      </w:r>
      <w:r w:rsidRPr="000439BC">
        <w:t>Fire Suppression Dispersing</w:t>
      </w:r>
      <w:r>
        <w:t xml:space="preserve"> devices are intended to provide a safety benefit based on their ability to extinguish flames by dispersing </w:t>
      </w:r>
      <w:r w:rsidRPr="000439BC">
        <w:t>a fire extinguishing agent</w:t>
      </w:r>
      <w:r>
        <w:t xml:space="preserve">. The devices may be either electrically activated or thermally activated and shall be designed to prevent inadvertent activation either by shipping the actuation component separately (e.g. thermally activated head, and the </w:t>
      </w:r>
      <w:r w:rsidRPr="000439BC">
        <w:t>main</w:t>
      </w:r>
      <w:r w:rsidR="00CC76A4">
        <w:rPr>
          <w:u w:val="single"/>
          <w:lang w:val="fr-CH"/>
        </w:rPr>
        <w:t xml:space="preserve"> </w:t>
      </w:r>
      <w:r>
        <w:t xml:space="preserve">unit are shipped separately) or by ensuring that the electrically initiated devices are not electrically connected and there is a secondary means of protection to prevent activation. Devices may contain dangerous goods of Division 1.4, if they have been tested in accordance with Test Series 6(c) of Part 1 of the </w:t>
      </w:r>
      <w:r w:rsidRPr="0071611E">
        <w:t>Manual</w:t>
      </w:r>
      <w:r>
        <w:t xml:space="preserve"> of Tests and Criteria, with no explosion of the device, no fragmentation of device casing or pressure receptacle, and no projection hazard nor thermal effect which would significantly hinder fire-fighting or emergency response efforts in the immediate vicinity.</w:t>
      </w:r>
    </w:p>
    <w:p w14:paraId="03186BFF" w14:textId="3D56C041" w:rsidR="005E0BF6" w:rsidRDefault="005E0BF6" w:rsidP="0071611E">
      <w:pPr>
        <w:pStyle w:val="SingleTxtG"/>
        <w:ind w:left="1701"/>
      </w:pPr>
      <w:r w:rsidRPr="000439BC">
        <w:t xml:space="preserve">This entry does not apply to “SAFETY DEVICES, electrically initiated” described in </w:t>
      </w:r>
      <w:r w:rsidRPr="0071611E">
        <w:t>special</w:t>
      </w:r>
      <w:r w:rsidRPr="000439BC">
        <w:t xml:space="preserve"> provision 280 (UN No</w:t>
      </w:r>
      <w:r w:rsidR="00CC76A4">
        <w:rPr>
          <w:lang w:val="fr-CH"/>
        </w:rPr>
        <w:t>.</w:t>
      </w:r>
      <w:r w:rsidRPr="000439BC">
        <w:t xml:space="preserve"> 3268).”</w:t>
      </w:r>
    </w:p>
    <w:p w14:paraId="540A1FA2" w14:textId="77777777" w:rsidR="005E0BF6" w:rsidRDefault="005E0BF6" w:rsidP="0071611E">
      <w:pPr>
        <w:pStyle w:val="SingleTxtG"/>
      </w:pPr>
      <w:r>
        <w:t>4.</w:t>
      </w:r>
      <w:r>
        <w:tab/>
        <w:t xml:space="preserve">The </w:t>
      </w:r>
      <w:r w:rsidRPr="0071611E">
        <w:t>entry</w:t>
      </w:r>
      <w:r>
        <w:t xml:space="preserve"> name in the index could be amended as following:</w:t>
      </w:r>
    </w:p>
    <w:tbl>
      <w:tblPr>
        <w:tblStyle w:val="TableGrid"/>
        <w:tblW w:w="0" w:type="auto"/>
        <w:tblInd w:w="1696" w:type="dxa"/>
        <w:tblLook w:val="04A0" w:firstRow="1" w:lastRow="0" w:firstColumn="1" w:lastColumn="0" w:noHBand="0" w:noVBand="1"/>
      </w:tblPr>
      <w:tblGrid>
        <w:gridCol w:w="3969"/>
        <w:gridCol w:w="1276"/>
        <w:gridCol w:w="1559"/>
      </w:tblGrid>
      <w:tr w:rsidR="005E0BF6" w14:paraId="313D6DFC" w14:textId="77777777" w:rsidTr="00CC76A4">
        <w:tc>
          <w:tcPr>
            <w:tcW w:w="3969" w:type="dxa"/>
            <w:tcBorders>
              <w:top w:val="single" w:sz="4" w:space="0" w:color="auto"/>
              <w:left w:val="single" w:sz="4" w:space="0" w:color="auto"/>
              <w:bottom w:val="single" w:sz="4" w:space="0" w:color="auto"/>
              <w:right w:val="single" w:sz="4" w:space="0" w:color="auto"/>
            </w:tcBorders>
            <w:hideMark/>
          </w:tcPr>
          <w:p w14:paraId="236C6C89" w14:textId="77777777" w:rsidR="005E0BF6" w:rsidRDefault="005E0BF6" w:rsidP="0094774A">
            <w:pPr>
              <w:rPr>
                <w:b/>
                <w:bCs/>
                <w:lang w:eastAsia="en-GB"/>
              </w:rPr>
            </w:pPr>
            <w:r>
              <w:rPr>
                <w:b/>
                <w:bCs/>
                <w:lang w:eastAsia="en-GB"/>
              </w:rPr>
              <w:t>Name and description</w:t>
            </w:r>
          </w:p>
        </w:tc>
        <w:tc>
          <w:tcPr>
            <w:tcW w:w="1276" w:type="dxa"/>
            <w:tcBorders>
              <w:top w:val="single" w:sz="4" w:space="0" w:color="auto"/>
              <w:left w:val="single" w:sz="4" w:space="0" w:color="auto"/>
              <w:bottom w:val="single" w:sz="4" w:space="0" w:color="auto"/>
              <w:right w:val="single" w:sz="4" w:space="0" w:color="auto"/>
            </w:tcBorders>
            <w:hideMark/>
          </w:tcPr>
          <w:p w14:paraId="118C7FB7" w14:textId="77777777" w:rsidR="005E0BF6" w:rsidRDefault="005E0BF6" w:rsidP="0094774A">
            <w:pPr>
              <w:jc w:val="center"/>
              <w:rPr>
                <w:b/>
                <w:bCs/>
                <w:lang w:eastAsia="en-GB"/>
              </w:rPr>
            </w:pPr>
            <w:r>
              <w:rPr>
                <w:b/>
                <w:bCs/>
                <w:lang w:eastAsia="en-GB"/>
              </w:rPr>
              <w:t>Class</w:t>
            </w:r>
          </w:p>
        </w:tc>
        <w:tc>
          <w:tcPr>
            <w:tcW w:w="1559" w:type="dxa"/>
            <w:tcBorders>
              <w:top w:val="single" w:sz="4" w:space="0" w:color="auto"/>
              <w:left w:val="single" w:sz="4" w:space="0" w:color="auto"/>
              <w:bottom w:val="single" w:sz="4" w:space="0" w:color="auto"/>
              <w:right w:val="single" w:sz="4" w:space="0" w:color="auto"/>
            </w:tcBorders>
            <w:hideMark/>
          </w:tcPr>
          <w:p w14:paraId="560C4EF2" w14:textId="77777777" w:rsidR="005E0BF6" w:rsidRDefault="005E0BF6" w:rsidP="0094774A">
            <w:pPr>
              <w:jc w:val="center"/>
              <w:rPr>
                <w:b/>
                <w:bCs/>
                <w:lang w:eastAsia="en-GB"/>
              </w:rPr>
            </w:pPr>
            <w:r>
              <w:rPr>
                <w:b/>
                <w:bCs/>
                <w:lang w:eastAsia="en-GB"/>
              </w:rPr>
              <w:t>UN Number</w:t>
            </w:r>
          </w:p>
        </w:tc>
      </w:tr>
      <w:tr w:rsidR="005E0BF6" w14:paraId="7F51AED9" w14:textId="77777777" w:rsidTr="00CC76A4">
        <w:tc>
          <w:tcPr>
            <w:tcW w:w="3969" w:type="dxa"/>
            <w:tcBorders>
              <w:top w:val="single" w:sz="4" w:space="0" w:color="auto"/>
              <w:left w:val="single" w:sz="4" w:space="0" w:color="auto"/>
              <w:bottom w:val="single" w:sz="4" w:space="0" w:color="auto"/>
              <w:right w:val="single" w:sz="4" w:space="0" w:color="auto"/>
            </w:tcBorders>
            <w:hideMark/>
          </w:tcPr>
          <w:p w14:paraId="1CB12EBF" w14:textId="77777777" w:rsidR="005E0BF6" w:rsidRPr="000439BC" w:rsidRDefault="005E0BF6" w:rsidP="0094774A">
            <w:pPr>
              <w:rPr>
                <w:strike/>
                <w:lang w:eastAsia="en-GB"/>
              </w:rPr>
            </w:pPr>
            <w:r w:rsidRPr="000439BC">
              <w:rPr>
                <w:lang w:eastAsia="en-GB"/>
              </w:rPr>
              <w:t>Fire Suppression Dispersing devices</w:t>
            </w:r>
          </w:p>
        </w:tc>
        <w:tc>
          <w:tcPr>
            <w:tcW w:w="1276" w:type="dxa"/>
            <w:tcBorders>
              <w:top w:val="single" w:sz="4" w:space="0" w:color="auto"/>
              <w:left w:val="single" w:sz="4" w:space="0" w:color="auto"/>
              <w:bottom w:val="single" w:sz="4" w:space="0" w:color="auto"/>
              <w:right w:val="single" w:sz="4" w:space="0" w:color="auto"/>
            </w:tcBorders>
            <w:hideMark/>
          </w:tcPr>
          <w:p w14:paraId="545B12D4" w14:textId="77777777" w:rsidR="005E0BF6" w:rsidRDefault="005E0BF6" w:rsidP="0094774A">
            <w:pPr>
              <w:jc w:val="center"/>
              <w:rPr>
                <w:lang w:eastAsia="en-GB"/>
              </w:rPr>
            </w:pPr>
            <w:r>
              <w:rPr>
                <w:lang w:eastAsia="en-GB"/>
              </w:rPr>
              <w:t>9</w:t>
            </w:r>
          </w:p>
        </w:tc>
        <w:tc>
          <w:tcPr>
            <w:tcW w:w="1559" w:type="dxa"/>
            <w:tcBorders>
              <w:top w:val="single" w:sz="4" w:space="0" w:color="auto"/>
              <w:left w:val="single" w:sz="4" w:space="0" w:color="auto"/>
              <w:bottom w:val="single" w:sz="4" w:space="0" w:color="auto"/>
              <w:right w:val="single" w:sz="4" w:space="0" w:color="auto"/>
            </w:tcBorders>
            <w:hideMark/>
          </w:tcPr>
          <w:p w14:paraId="44EE26C2" w14:textId="77777777" w:rsidR="005E0BF6" w:rsidRDefault="005E0BF6" w:rsidP="0094774A">
            <w:pPr>
              <w:jc w:val="center"/>
              <w:rPr>
                <w:lang w:eastAsia="en-GB"/>
              </w:rPr>
            </w:pPr>
            <w:r>
              <w:rPr>
                <w:lang w:eastAsia="en-GB"/>
              </w:rPr>
              <w:t>35XX</w:t>
            </w:r>
          </w:p>
        </w:tc>
      </w:tr>
    </w:tbl>
    <w:p w14:paraId="52E75A46" w14:textId="77777777" w:rsidR="005E0BF6" w:rsidRDefault="005E0BF6" w:rsidP="0071611E">
      <w:pPr>
        <w:pStyle w:val="SingleTxtG"/>
        <w:spacing w:before="120"/>
      </w:pPr>
      <w:r>
        <w:t>5.</w:t>
      </w:r>
      <w:r>
        <w:tab/>
        <w:t>Modify the special provision 280 as following:</w:t>
      </w:r>
    </w:p>
    <w:p w14:paraId="107F181C" w14:textId="1B8AF7F2" w:rsidR="005E0BF6" w:rsidRDefault="005E0BF6" w:rsidP="0071611E">
      <w:pPr>
        <w:pStyle w:val="SingleTxtG"/>
        <w:ind w:left="1701"/>
      </w:pPr>
      <w:r>
        <w:t xml:space="preserve">“This entry applies to safety devices for vehicles, vessels or aircraft, e.g. air bag inflators, air bag modules, seat-belt pretensioners, and </w:t>
      </w:r>
      <w:proofErr w:type="spellStart"/>
      <w:r>
        <w:t>pyromechanical</w:t>
      </w:r>
      <w:proofErr w:type="spellEnd"/>
      <w:r>
        <w:t xml:space="preserve"> devices, which contain dangerous goods of Class 1 or of other classes, when transported as component parts and if these articles as </w:t>
      </w:r>
      <w:r w:rsidRPr="0071611E">
        <w:t>presented</w:t>
      </w:r>
      <w:r>
        <w:t xml:space="preserve">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 </w:t>
      </w:r>
      <w:r w:rsidRPr="000439BC">
        <w:t>and Fire Suppression Dispersing devices (UN No.</w:t>
      </w:r>
      <w:r w:rsidR="00CC76A4">
        <w:rPr>
          <w:lang w:val="fr-CH"/>
        </w:rPr>
        <w:t xml:space="preserve"> </w:t>
      </w:r>
      <w:r w:rsidRPr="000439BC">
        <w:t>35XX)</w:t>
      </w:r>
      <w:r>
        <w:t>.”</w:t>
      </w:r>
    </w:p>
    <w:p w14:paraId="76CC9421" w14:textId="10D2768B" w:rsidR="005E0BF6" w:rsidRPr="0071611E" w:rsidRDefault="005E0BF6" w:rsidP="0071611E">
      <w:pPr>
        <w:spacing w:before="240"/>
        <w:jc w:val="center"/>
        <w:rPr>
          <w:u w:val="single"/>
        </w:rPr>
      </w:pPr>
      <w:r>
        <w:tab/>
      </w:r>
      <w:r w:rsidR="0071611E">
        <w:rPr>
          <w:u w:val="single"/>
        </w:rPr>
        <w:tab/>
      </w:r>
      <w:r w:rsidR="0071611E">
        <w:rPr>
          <w:u w:val="single"/>
        </w:rPr>
        <w:tab/>
      </w:r>
      <w:r w:rsidR="0071611E">
        <w:rPr>
          <w:u w:val="single"/>
        </w:rPr>
        <w:tab/>
      </w:r>
    </w:p>
    <w:p w14:paraId="0AE68999" w14:textId="77777777" w:rsidR="005E0BF6" w:rsidRPr="005E0BF6" w:rsidRDefault="005E0BF6" w:rsidP="00CC76A4">
      <w:pPr>
        <w:rPr>
          <w:lang w:val="x-none"/>
        </w:rPr>
      </w:pPr>
    </w:p>
    <w:sectPr w:rsidR="005E0BF6" w:rsidRPr="005E0BF6" w:rsidSect="007A44D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090CBF" w:rsidRDefault="00090CBF"/>
  </w:endnote>
  <w:endnote w:type="continuationSeparator" w:id="0">
    <w:p w14:paraId="257E9CA9" w14:textId="77777777" w:rsidR="00090CBF" w:rsidRDefault="00090CBF"/>
  </w:endnote>
  <w:endnote w:type="continuationNotice" w:id="1">
    <w:p w14:paraId="6E313BBF" w14:textId="77777777" w:rsidR="00090CBF" w:rsidRDefault="0009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1D540E" w:rsidRDefault="00090CBF" w:rsidP="00340E2C">
    <w:pPr>
      <w:pStyle w:val="Footer"/>
      <w:rPr>
        <w:rStyle w:val="PageNumber"/>
        <w:noProof/>
        <w:szCs w:val="18"/>
      </w:rPr>
    </w:pPr>
    <w:r w:rsidRPr="001D540E">
      <w:rPr>
        <w:rStyle w:val="PageNumber"/>
        <w:noProof/>
        <w:szCs w:val="18"/>
      </w:rPr>
      <w:fldChar w:fldCharType="begin"/>
    </w:r>
    <w:r w:rsidRPr="001D540E">
      <w:rPr>
        <w:rStyle w:val="PageNumber"/>
        <w:noProof/>
        <w:szCs w:val="18"/>
      </w:rPr>
      <w:instrText xml:space="preserve"> PAGE  \* MERGEFORMAT </w:instrText>
    </w:r>
    <w:r w:rsidRPr="001D540E">
      <w:rPr>
        <w:rStyle w:val="PageNumber"/>
        <w:noProof/>
        <w:szCs w:val="18"/>
      </w:rPr>
      <w:fldChar w:fldCharType="separate"/>
    </w:r>
    <w:r w:rsidRPr="001D540E">
      <w:rPr>
        <w:rStyle w:val="PageNumber"/>
        <w:noProof/>
        <w:szCs w:val="18"/>
      </w:rPr>
      <w:t>2</w:t>
    </w:r>
    <w:r w:rsidRPr="001D540E">
      <w:rPr>
        <w:rStyle w:val="PageNumber"/>
        <w:noProof/>
        <w:szCs w:val="18"/>
      </w:rPr>
      <w:fldChar w:fldCharType="end"/>
    </w:r>
  </w:p>
  <w:p w14:paraId="6A959F01" w14:textId="28CD09AD" w:rsidR="00090CBF" w:rsidRDefault="001D540E" w:rsidP="001D540E">
    <w:pPr>
      <w:tabs>
        <w:tab w:val="left" w:pos="1150"/>
      </w:tabs>
    </w:pPr>
    <w:r>
      <w:tab/>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B052" w14:textId="77777777" w:rsidR="001D540E" w:rsidRDefault="001D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090CBF" w:rsidRPr="000B175B" w:rsidRDefault="00090CBF" w:rsidP="000B175B">
      <w:pPr>
        <w:tabs>
          <w:tab w:val="right" w:pos="2155"/>
        </w:tabs>
        <w:spacing w:after="80"/>
        <w:ind w:left="680"/>
        <w:rPr>
          <w:u w:val="single"/>
        </w:rPr>
      </w:pPr>
      <w:r>
        <w:rPr>
          <w:u w:val="single"/>
        </w:rPr>
        <w:tab/>
      </w:r>
    </w:p>
  </w:footnote>
  <w:footnote w:type="continuationSeparator" w:id="0">
    <w:p w14:paraId="5A1E7097" w14:textId="77777777" w:rsidR="00090CBF" w:rsidRPr="00FC68B7" w:rsidRDefault="00090CBF" w:rsidP="00FC68B7">
      <w:pPr>
        <w:tabs>
          <w:tab w:val="left" w:pos="2155"/>
        </w:tabs>
        <w:spacing w:after="80"/>
        <w:ind w:left="680"/>
        <w:rPr>
          <w:u w:val="single"/>
        </w:rPr>
      </w:pPr>
      <w:r>
        <w:rPr>
          <w:u w:val="single"/>
        </w:rPr>
        <w:tab/>
      </w:r>
    </w:p>
  </w:footnote>
  <w:footnote w:type="continuationNotice" w:id="1">
    <w:p w14:paraId="05274711" w14:textId="77777777" w:rsidR="00090CBF" w:rsidRDefault="00090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751A64A3" w:rsidR="00090CBF" w:rsidRPr="00B5392B" w:rsidRDefault="00090CBF">
    <w:pPr>
      <w:pStyle w:val="Header"/>
      <w:rPr>
        <w:lang w:val="nl-NL"/>
      </w:rPr>
    </w:pPr>
    <w:r w:rsidRPr="00340E2C">
      <w:rPr>
        <w:lang w:val="nl-NL"/>
      </w:rPr>
      <w:t>UN/SCETDG/5</w:t>
    </w:r>
    <w:r>
      <w:rPr>
        <w:lang w:val="nl-NL"/>
      </w:rPr>
      <w:t>7</w:t>
    </w:r>
    <w:r w:rsidRPr="00340E2C">
      <w:rPr>
        <w:lang w:val="nl-NL"/>
      </w:rPr>
      <w:t>/INF.</w:t>
    </w:r>
    <w:r w:rsidR="0071611E">
      <w:rPr>
        <w:lang w:val="nl-NL"/>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16C7A40E" w:rsidR="00090CBF" w:rsidRPr="000216CC" w:rsidRDefault="00090CBF" w:rsidP="00090CBF">
    <w:pPr>
      <w:pStyle w:val="Header"/>
      <w:jc w:val="right"/>
    </w:pPr>
    <w:r w:rsidRPr="00090CBF">
      <w:t>UN/SCETDG/57/INF.5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0"/>
  </w:num>
  <w:num w:numId="16">
    <w:abstractNumId w:val="16"/>
  </w:num>
  <w:num w:numId="17">
    <w:abstractNumId w:val="10"/>
  </w:num>
  <w:num w:numId="18">
    <w:abstractNumId w:val="31"/>
  </w:num>
  <w:num w:numId="19">
    <w:abstractNumId w:val="29"/>
  </w:num>
  <w:num w:numId="20">
    <w:abstractNumId w:val="11"/>
  </w:num>
  <w:num w:numId="21">
    <w:abstractNumId w:val="27"/>
  </w:num>
  <w:num w:numId="22">
    <w:abstractNumId w:val="13"/>
  </w:num>
  <w:num w:numId="23">
    <w:abstractNumId w:val="28"/>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120"/>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D540E"/>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378DF"/>
    <w:rsid w:val="00A44269"/>
    <w:rsid w:val="00A50077"/>
    <w:rsid w:val="00A54CA8"/>
    <w:rsid w:val="00A60196"/>
    <w:rsid w:val="00A6199C"/>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C76A4"/>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76D76"/>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EF5645"/>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78B1-989B-41AB-84DF-6E87F1AF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2019-09-26T09:05:00Z</cp:lastPrinted>
  <dcterms:created xsi:type="dcterms:W3CDTF">2020-04-17T12:17:00Z</dcterms:created>
  <dcterms:modified xsi:type="dcterms:W3CDTF">2020-04-17T12:17:00Z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