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293F3D35" w14:textId="77777777" w:rsidTr="006476E1">
        <w:trPr>
          <w:trHeight w:val="851"/>
        </w:trPr>
        <w:tc>
          <w:tcPr>
            <w:tcW w:w="1259" w:type="dxa"/>
            <w:tcBorders>
              <w:top w:val="nil"/>
              <w:left w:val="nil"/>
              <w:bottom w:val="single" w:sz="4" w:space="0" w:color="auto"/>
              <w:right w:val="nil"/>
            </w:tcBorders>
          </w:tcPr>
          <w:p w14:paraId="4B6BAECE" w14:textId="77777777" w:rsidR="00E52109" w:rsidRPr="002A32CB" w:rsidRDefault="00E52109" w:rsidP="004858F5"/>
        </w:tc>
        <w:tc>
          <w:tcPr>
            <w:tcW w:w="2236" w:type="dxa"/>
            <w:tcBorders>
              <w:top w:val="nil"/>
              <w:left w:val="nil"/>
              <w:bottom w:val="single" w:sz="4" w:space="0" w:color="auto"/>
              <w:right w:val="nil"/>
            </w:tcBorders>
            <w:vAlign w:val="bottom"/>
          </w:tcPr>
          <w:p w14:paraId="7D1DF74A"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01A4C5A7" w14:textId="02B7F4CA" w:rsidR="00E52109" w:rsidRDefault="00B331C3" w:rsidP="00B331C3">
            <w:pPr>
              <w:suppressAutoHyphens w:val="0"/>
              <w:jc w:val="right"/>
            </w:pPr>
            <w:r w:rsidRPr="00B331C3">
              <w:rPr>
                <w:sz w:val="40"/>
              </w:rPr>
              <w:t>ST</w:t>
            </w:r>
            <w:r>
              <w:t>/SG/AC.10/C.3/2020/7</w:t>
            </w:r>
            <w:r w:rsidR="00B62F64">
              <w:t>4</w:t>
            </w:r>
          </w:p>
        </w:tc>
      </w:tr>
      <w:tr w:rsidR="00E52109" w14:paraId="2DB096F1" w14:textId="77777777" w:rsidTr="006476E1">
        <w:trPr>
          <w:trHeight w:val="2835"/>
        </w:trPr>
        <w:tc>
          <w:tcPr>
            <w:tcW w:w="1259" w:type="dxa"/>
            <w:tcBorders>
              <w:top w:val="single" w:sz="4" w:space="0" w:color="auto"/>
              <w:left w:val="nil"/>
              <w:bottom w:val="single" w:sz="12" w:space="0" w:color="auto"/>
              <w:right w:val="nil"/>
            </w:tcBorders>
          </w:tcPr>
          <w:p w14:paraId="7A1BF42A" w14:textId="77777777" w:rsidR="00E52109" w:rsidRDefault="00E52109" w:rsidP="006476E1">
            <w:pPr>
              <w:spacing w:before="120"/>
              <w:jc w:val="center"/>
            </w:pPr>
            <w:r>
              <w:rPr>
                <w:noProof/>
                <w:lang w:val="fr-CH" w:eastAsia="fr-CH"/>
              </w:rPr>
              <w:drawing>
                <wp:inline distT="0" distB="0" distL="0" distR="0" wp14:anchorId="5EC08C7F" wp14:editId="1BDADB93">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1D72F9C4"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5EE491DE" w14:textId="77777777" w:rsidR="00D94B05" w:rsidRDefault="00B331C3" w:rsidP="00B331C3">
            <w:pPr>
              <w:suppressAutoHyphens w:val="0"/>
              <w:spacing w:before="240" w:line="240" w:lineRule="exact"/>
            </w:pPr>
            <w:r>
              <w:t>Distr.: General</w:t>
            </w:r>
          </w:p>
          <w:p w14:paraId="01BCDE4C" w14:textId="64C20D2D" w:rsidR="00B331C3" w:rsidRDefault="00822731" w:rsidP="00B331C3">
            <w:pPr>
              <w:suppressAutoHyphens w:val="0"/>
              <w:spacing w:line="240" w:lineRule="exact"/>
            </w:pPr>
            <w:r>
              <w:t>1</w:t>
            </w:r>
            <w:r w:rsidR="00AF478C">
              <w:t>6</w:t>
            </w:r>
            <w:r w:rsidR="00B331C3">
              <w:t xml:space="preserve"> September 2020</w:t>
            </w:r>
          </w:p>
          <w:p w14:paraId="45A8CB9F" w14:textId="77777777" w:rsidR="00B331C3" w:rsidRDefault="00B331C3" w:rsidP="00B331C3">
            <w:pPr>
              <w:suppressAutoHyphens w:val="0"/>
              <w:spacing w:line="240" w:lineRule="exact"/>
            </w:pPr>
          </w:p>
          <w:p w14:paraId="77986D93" w14:textId="77777777" w:rsidR="00B331C3" w:rsidRDefault="00B331C3" w:rsidP="00B331C3">
            <w:pPr>
              <w:suppressAutoHyphens w:val="0"/>
              <w:spacing w:line="240" w:lineRule="exact"/>
            </w:pPr>
            <w:r>
              <w:t>Original: English</w:t>
            </w:r>
          </w:p>
        </w:tc>
      </w:tr>
    </w:tbl>
    <w:p w14:paraId="6A9B5CD0" w14:textId="77777777" w:rsidR="00B62F64" w:rsidRPr="006500BA" w:rsidRDefault="00B62F64"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6544796B" w14:textId="77777777" w:rsidR="00B62F64" w:rsidRPr="006500BA" w:rsidRDefault="00B62F64" w:rsidP="004858F5">
      <w:pPr>
        <w:spacing w:before="120"/>
        <w:rPr>
          <w:rFonts w:ascii="Helv" w:hAnsi="Helv" w:cs="Helv"/>
          <w:b/>
          <w:color w:val="000000"/>
        </w:rPr>
      </w:pPr>
      <w:r w:rsidRPr="006500BA">
        <w:rPr>
          <w:b/>
        </w:rPr>
        <w:t xml:space="preserve">Sub-Committee of Experts on the </w:t>
      </w:r>
      <w:r>
        <w:rPr>
          <w:b/>
        </w:rPr>
        <w:t>Transport of Dangerous Goods</w:t>
      </w:r>
    </w:p>
    <w:p w14:paraId="0EF2E041" w14:textId="078E9DE1" w:rsidR="00B62F64" w:rsidRPr="006500BA" w:rsidRDefault="00B62F64" w:rsidP="004858F5">
      <w:pPr>
        <w:spacing w:before="120"/>
        <w:rPr>
          <w:b/>
        </w:rPr>
      </w:pPr>
      <w:r>
        <w:rPr>
          <w:b/>
        </w:rPr>
        <w:t xml:space="preserve">Fifty-seventh </w:t>
      </w:r>
      <w:r w:rsidRPr="006500BA">
        <w:rPr>
          <w:b/>
        </w:rPr>
        <w:t>session</w:t>
      </w:r>
    </w:p>
    <w:p w14:paraId="1691E40C" w14:textId="5FB71B61" w:rsidR="00B62F64" w:rsidRPr="006500BA" w:rsidRDefault="00B62F64" w:rsidP="004858F5">
      <w:r w:rsidRPr="006500BA">
        <w:t xml:space="preserve">Geneva, </w:t>
      </w:r>
      <w:r>
        <w:t xml:space="preserve">30 November-8 December 2020 </w:t>
      </w:r>
    </w:p>
    <w:p w14:paraId="75E6704E" w14:textId="4599FFA2" w:rsidR="00B62F64" w:rsidRPr="006500BA" w:rsidRDefault="00B62F64" w:rsidP="004858F5">
      <w:r w:rsidRPr="006500BA">
        <w:t xml:space="preserve">Item </w:t>
      </w:r>
      <w:r>
        <w:t>7</w:t>
      </w:r>
      <w:r w:rsidRPr="006500BA">
        <w:t xml:space="preserve"> of the provisional agenda</w:t>
      </w:r>
    </w:p>
    <w:p w14:paraId="246F5946" w14:textId="15D2CE13" w:rsidR="00AF5DE1" w:rsidRPr="00B62F64" w:rsidRDefault="00B62F64" w:rsidP="004858F5">
      <w:pPr>
        <w:rPr>
          <w:b/>
          <w:bCs/>
        </w:rPr>
      </w:pPr>
      <w:r w:rsidRPr="00B62F64">
        <w:rPr>
          <w:b/>
          <w:bCs/>
        </w:rPr>
        <w:t xml:space="preserve">Global harmonization of transport of dangerous goods </w:t>
      </w:r>
      <w:r w:rsidRPr="00B62F64">
        <w:rPr>
          <w:b/>
          <w:bCs/>
        </w:rPr>
        <w:br/>
        <w:t>regulations with the Model Regulations</w:t>
      </w:r>
    </w:p>
    <w:p w14:paraId="59C59628" w14:textId="77777777" w:rsidR="00B62F64" w:rsidRPr="006F6375" w:rsidRDefault="00B62F64" w:rsidP="00B62F64">
      <w:pPr>
        <w:pStyle w:val="HChG"/>
        <w:rPr>
          <w:lang w:val="en-CA"/>
        </w:rPr>
      </w:pPr>
      <w:r>
        <w:rPr>
          <w:lang w:val="en-CA"/>
        </w:rPr>
        <w:tab/>
      </w:r>
      <w:r>
        <w:rPr>
          <w:lang w:val="en-CA"/>
        </w:rPr>
        <w:tab/>
        <w:t>Use of footnotes in the Model Regulations</w:t>
      </w:r>
    </w:p>
    <w:p w14:paraId="0C1E661C" w14:textId="19CF4D10" w:rsidR="00B62F64" w:rsidRPr="006F6375" w:rsidRDefault="00B62F64" w:rsidP="00B62F64">
      <w:pPr>
        <w:pStyle w:val="H1G"/>
        <w:rPr>
          <w:lang w:val="en-CA"/>
        </w:rPr>
      </w:pPr>
      <w:r>
        <w:rPr>
          <w:lang w:val="en-CA"/>
        </w:rPr>
        <w:tab/>
      </w:r>
      <w:r>
        <w:rPr>
          <w:lang w:val="en-CA"/>
        </w:rPr>
        <w:tab/>
      </w:r>
      <w:bookmarkStart w:id="0" w:name="_Hlk25593987"/>
      <w:r w:rsidRPr="007C793B">
        <w:t>Submitted by the International Maritime Organization (IMO)</w:t>
      </w:r>
      <w:bookmarkEnd w:id="0"/>
      <w:r>
        <w:rPr>
          <w:rStyle w:val="FootnoteReference"/>
        </w:rPr>
        <w:footnoteReference w:id="2"/>
      </w:r>
    </w:p>
    <w:p w14:paraId="053FF107" w14:textId="77777777" w:rsidR="00B62F64" w:rsidRDefault="00B62F64" w:rsidP="00B62F64">
      <w:pPr>
        <w:pStyle w:val="HChG"/>
        <w:rPr>
          <w:lang w:val="en-CA"/>
        </w:rPr>
      </w:pPr>
      <w:r>
        <w:rPr>
          <w:lang w:val="en-CA"/>
        </w:rPr>
        <w:tab/>
      </w:r>
      <w:r>
        <w:rPr>
          <w:lang w:val="en-CA"/>
        </w:rPr>
        <w:tab/>
      </w:r>
      <w:r w:rsidRPr="006F6375">
        <w:rPr>
          <w:lang w:val="en-CA"/>
        </w:rPr>
        <w:t>Introduction</w:t>
      </w:r>
    </w:p>
    <w:p w14:paraId="010E5D82" w14:textId="0B81FEA3" w:rsidR="00B62F64" w:rsidRPr="008D5C03" w:rsidRDefault="00B62F64" w:rsidP="00B62F64">
      <w:pPr>
        <w:pStyle w:val="SingleTxtG"/>
      </w:pPr>
      <w:r w:rsidRPr="008D5C03">
        <w:t>1.</w:t>
      </w:r>
      <w:r w:rsidRPr="008D5C03">
        <w:tab/>
      </w:r>
      <w:r w:rsidRPr="007C793B">
        <w:t>The thirty-second session of the Editorial and Technical Group (E&amp;T) of the Sub</w:t>
      </w:r>
      <w:r w:rsidRPr="007C793B">
        <w:noBreakHyphen/>
        <w:t>Committee on Carriage of Cargoes and Containers (CCC) met from 16 to 20 September 2019 and was chaired by Mr. Steven Webb (United States</w:t>
      </w:r>
      <w:r w:rsidR="00822731">
        <w:t xml:space="preserve"> of America</w:t>
      </w:r>
      <w:r w:rsidRPr="007C793B">
        <w:t>).</w:t>
      </w:r>
    </w:p>
    <w:p w14:paraId="1F25EE0A" w14:textId="21230892" w:rsidR="00B62F64" w:rsidRDefault="00B62F64" w:rsidP="00B62F64">
      <w:pPr>
        <w:pStyle w:val="SingleTxtG"/>
      </w:pPr>
      <w:r>
        <w:t xml:space="preserve">2. </w:t>
      </w:r>
      <w:r>
        <w:tab/>
        <w:t xml:space="preserve">The E&amp;T Group provided an update on the work done to complete draft amendment 40-20 of the International Maritime Dangerous Goods (IMDG) Code (see </w:t>
      </w:r>
      <w:r w:rsidR="00D82EF0">
        <w:t xml:space="preserve">informal </w:t>
      </w:r>
      <w:r>
        <w:t>document INF.27</w:t>
      </w:r>
      <w:r w:rsidR="00822731">
        <w:t xml:space="preserve"> of the fifty-sixth session</w:t>
      </w:r>
      <w:r>
        <w:t xml:space="preserve">). After consideration, the Sub-Committee, at its </w:t>
      </w:r>
      <w:r w:rsidR="00D82EF0">
        <w:t>fifty-sixth</w:t>
      </w:r>
      <w:r>
        <w:t xml:space="preserve"> session</w:t>
      </w:r>
      <w:r w:rsidR="00822731">
        <w:t>,</w:t>
      </w:r>
      <w:r>
        <w:t xml:space="preserve"> agreed that for any decisions to be taken based on this report, a formal proposal to a future session would be required.</w:t>
      </w:r>
    </w:p>
    <w:p w14:paraId="0D29B6C0" w14:textId="76C04FB1" w:rsidR="00B62F64" w:rsidRDefault="00B62F64" w:rsidP="00B62F64">
      <w:pPr>
        <w:pStyle w:val="SingleTxtG"/>
        <w:rPr>
          <w:lang w:val="en-US"/>
        </w:rPr>
      </w:pPr>
      <w:r w:rsidRPr="00317769">
        <w:t>3.</w:t>
      </w:r>
      <w:r w:rsidRPr="00317769">
        <w:tab/>
        <w:t xml:space="preserve">One of the actions undertaken by the E&amp;T Group was a comprehensive review of all the footnotes contained in the IMDG Code. The group was instructed to perform this review by its parent CCC Sub-Committee, noting advice from the Maritime Safety Committee and the </w:t>
      </w:r>
      <w:r w:rsidR="00822731" w:rsidRPr="00317769">
        <w:t>s</w:t>
      </w:r>
      <w:r w:rsidRPr="00317769">
        <w:t>ecretariat that authentic texts of IMO instruments do not include footnotes, and that regulatory requirements should</w:t>
      </w:r>
      <w:r w:rsidRPr="004D7DFC">
        <w:rPr>
          <w:lang w:val="x-none"/>
        </w:rPr>
        <w:t xml:space="preserve"> not appear in footnotes to the IMDG Code.</w:t>
      </w:r>
    </w:p>
    <w:p w14:paraId="14549CD0" w14:textId="31EE2B55" w:rsidR="00B62F64" w:rsidRPr="00317769" w:rsidRDefault="00B62F64" w:rsidP="00B62F64">
      <w:pPr>
        <w:pStyle w:val="SingleTxtG"/>
      </w:pPr>
      <w:r w:rsidRPr="00317769">
        <w:t>4</w:t>
      </w:r>
      <w:r w:rsidR="00F51983" w:rsidRPr="00317769">
        <w:t>.</w:t>
      </w:r>
      <w:r w:rsidRPr="00317769">
        <w:tab/>
        <w:t xml:space="preserve">It should be noted that the authentic texts of IMO instruments are the legally binding versions of documents that are often to be incorporated by reference into national legislation and thus the legal basis for utilizing and enforcing the IMDG Code requirements in many states. Thus, it is very important that regulatory requirements do not appear in footnotes. </w:t>
      </w:r>
    </w:p>
    <w:p w14:paraId="0D10841C" w14:textId="77777777" w:rsidR="00B62F64" w:rsidRPr="00317769" w:rsidRDefault="00B62F64" w:rsidP="00B62F64">
      <w:pPr>
        <w:pStyle w:val="SingleTxtG"/>
      </w:pPr>
      <w:r w:rsidRPr="00317769">
        <w:t>5.</w:t>
      </w:r>
      <w:r w:rsidRPr="00317769">
        <w:tab/>
        <w:t>Before embarking on the review, the E&amp;T Group had a discussion on the method of work and agreed, in general, to:</w:t>
      </w:r>
    </w:p>
    <w:p w14:paraId="4DA8EC44" w14:textId="71FFCE28" w:rsidR="00B62F64" w:rsidRPr="00317769" w:rsidRDefault="00D82EF0" w:rsidP="00B62F64">
      <w:pPr>
        <w:pStyle w:val="SingleTxtG"/>
        <w:ind w:firstLine="567"/>
      </w:pPr>
      <w:r w:rsidRPr="00317769">
        <w:t>(a)</w:t>
      </w:r>
      <w:r w:rsidRPr="00317769">
        <w:tab/>
      </w:r>
      <w:r w:rsidR="00B62F64" w:rsidRPr="00317769">
        <w:t>retain a footnote when containing references to other instruments;</w:t>
      </w:r>
    </w:p>
    <w:p w14:paraId="647CD6D6" w14:textId="32FFC2DE" w:rsidR="00B62F64" w:rsidRPr="00317769" w:rsidRDefault="00D82EF0" w:rsidP="00B62F64">
      <w:pPr>
        <w:pStyle w:val="SingleTxtG"/>
        <w:ind w:left="2264" w:hanging="563"/>
      </w:pPr>
      <w:r w:rsidRPr="00317769">
        <w:t>(b)</w:t>
      </w:r>
      <w:r w:rsidR="00B62F64" w:rsidRPr="00317769">
        <w:tab/>
        <w:t>inform UNTDG about a footnote when containing regulatory text found in the UN Model Regulations;</w:t>
      </w:r>
    </w:p>
    <w:p w14:paraId="244AC814" w14:textId="36FAB9A4" w:rsidR="00B62F64" w:rsidRPr="00317769" w:rsidRDefault="00862919" w:rsidP="00B62F64">
      <w:pPr>
        <w:pStyle w:val="SingleTxtG"/>
        <w:ind w:firstLine="567"/>
      </w:pPr>
      <w:r w:rsidRPr="00317769">
        <w:lastRenderedPageBreak/>
        <w:t>(c)</w:t>
      </w:r>
      <w:r w:rsidR="00B62F64" w:rsidRPr="00317769">
        <w:tab/>
        <w:t>delete a footnote when containing outdated transitional references;</w:t>
      </w:r>
    </w:p>
    <w:p w14:paraId="63EA762A" w14:textId="5378DBE2" w:rsidR="00B62F64" w:rsidRPr="00317769" w:rsidRDefault="00862919" w:rsidP="00B62F64">
      <w:pPr>
        <w:pStyle w:val="SingleTxtG"/>
        <w:ind w:firstLine="567"/>
      </w:pPr>
      <w:r w:rsidRPr="00317769">
        <w:t>(d)</w:t>
      </w:r>
      <w:r w:rsidR="00B62F64" w:rsidRPr="00317769">
        <w:tab/>
        <w:t>update a footnote if appropriate; and</w:t>
      </w:r>
    </w:p>
    <w:p w14:paraId="34C40D5D" w14:textId="04E548FB" w:rsidR="00B62F64" w:rsidRPr="00317769" w:rsidRDefault="00862919" w:rsidP="00B62F64">
      <w:pPr>
        <w:pStyle w:val="SingleTxtG"/>
        <w:ind w:left="2264" w:hanging="563"/>
      </w:pPr>
      <w:r w:rsidRPr="00317769">
        <w:t>(e)</w:t>
      </w:r>
      <w:r w:rsidR="00B62F64" w:rsidRPr="00317769">
        <w:tab/>
        <w:t>move text in a footnote to the appropriate regulatory part of the IMDG Code if the footnote contains IMDG Code-specific regulatory requirements.</w:t>
      </w:r>
    </w:p>
    <w:p w14:paraId="60417609" w14:textId="276D2C60" w:rsidR="00B62F64" w:rsidRPr="00317769" w:rsidRDefault="00B62F64" w:rsidP="00B62F64">
      <w:pPr>
        <w:pStyle w:val="SingleTxtG"/>
      </w:pPr>
      <w:r w:rsidRPr="00317769">
        <w:t>6.</w:t>
      </w:r>
      <w:r w:rsidRPr="00317769">
        <w:tab/>
        <w:t>After the comprehensive review of the footnotes and based on the above principles, the Group agreed to include the corresponding amendments into the draft amendment (40</w:t>
      </w:r>
      <w:r w:rsidR="00D27954" w:rsidRPr="00317769">
        <w:noBreakHyphen/>
      </w:r>
      <w:r w:rsidRPr="00317769">
        <w:t>20) to the IMDG Code.</w:t>
      </w:r>
    </w:p>
    <w:p w14:paraId="4A5A1B86" w14:textId="5AC9298D" w:rsidR="00B62F64" w:rsidRPr="00317769" w:rsidRDefault="00B62F64" w:rsidP="00B62F64">
      <w:pPr>
        <w:pStyle w:val="SingleTxtG"/>
      </w:pPr>
      <w:r w:rsidRPr="00317769">
        <w:t>7.</w:t>
      </w:r>
      <w:r w:rsidRPr="00317769">
        <w:tab/>
        <w:t xml:space="preserve">This document proposes changes to the </w:t>
      </w:r>
      <w:r w:rsidR="003548A0" w:rsidRPr="00317769">
        <w:t xml:space="preserve">UN </w:t>
      </w:r>
      <w:r w:rsidRPr="00317769">
        <w:t>Model Regulations, where indicated, based on the methodology provided above. New text is shown as underlined and proposed text for deletion is shown in strikethrough below.</w:t>
      </w:r>
    </w:p>
    <w:p w14:paraId="7DDEBEDD" w14:textId="4CC5EF23" w:rsidR="00B62F64" w:rsidRDefault="00B62F64" w:rsidP="00B62F64">
      <w:pPr>
        <w:pStyle w:val="HChG"/>
      </w:pPr>
      <w:r w:rsidRPr="00276257">
        <w:tab/>
      </w:r>
      <w:r w:rsidRPr="00276257">
        <w:tab/>
        <w:t>Proposal</w:t>
      </w:r>
      <w:r w:rsidR="0094707F">
        <w:t>s</w:t>
      </w:r>
    </w:p>
    <w:p w14:paraId="654D26A9" w14:textId="7D33FB1F" w:rsidR="00B62F64" w:rsidRDefault="00B62F64" w:rsidP="00D27954">
      <w:pPr>
        <w:pStyle w:val="SingleTxtG"/>
      </w:pPr>
      <w:r>
        <w:tab/>
      </w:r>
      <w:r w:rsidR="00D27954">
        <w:t>8.</w:t>
      </w:r>
      <w:r w:rsidR="00D27954">
        <w:tab/>
      </w:r>
      <w:r>
        <w:t xml:space="preserve">The Sub-Committee is invited to consider the proposals below, noting that footnotes in the IMDG Code are not considered part of the authentic text and </w:t>
      </w:r>
      <w:r w:rsidRPr="005F014D">
        <w:t xml:space="preserve">are therefore not carried over in many states’ national incorporation process, </w:t>
      </w:r>
      <w:r w:rsidRPr="006751FC">
        <w:t>and make</w:t>
      </w:r>
      <w:r>
        <w:t xml:space="preserve">, if appropriate, </w:t>
      </w:r>
      <w:r w:rsidRPr="006751FC">
        <w:t xml:space="preserve">the </w:t>
      </w:r>
      <w:r>
        <w:t xml:space="preserve">corresponding </w:t>
      </w:r>
      <w:r w:rsidRPr="006751FC">
        <w:t>amendments.</w:t>
      </w:r>
    </w:p>
    <w:p w14:paraId="181B7C20" w14:textId="0D4222E6" w:rsidR="00317769" w:rsidRDefault="00317769" w:rsidP="00317769">
      <w:pPr>
        <w:pStyle w:val="H1G"/>
        <w:rPr>
          <w:lang w:val="en-US"/>
        </w:rPr>
      </w:pPr>
      <w:r>
        <w:rPr>
          <w:lang w:val="en-US"/>
        </w:rPr>
        <w:tab/>
      </w:r>
      <w:r>
        <w:rPr>
          <w:lang w:val="en-US"/>
        </w:rPr>
        <w:tab/>
        <w:t>Proposal 1</w:t>
      </w:r>
    </w:p>
    <w:p w14:paraId="7B937AD8" w14:textId="5DE40C1C" w:rsidR="00B62F64" w:rsidRDefault="00B62F64" w:rsidP="00D27954">
      <w:pPr>
        <w:pStyle w:val="SingleTxtG"/>
      </w:pPr>
      <w:r>
        <w:tab/>
      </w:r>
      <w:r w:rsidR="00F51983">
        <w:t>9</w:t>
      </w:r>
      <w:r>
        <w:t>.</w:t>
      </w:r>
      <w:r>
        <w:tab/>
        <w:t>In 1.4.3.2.3 delete the footnotes and revise the paragraph to read as follows:</w:t>
      </w:r>
    </w:p>
    <w:p w14:paraId="2455C987" w14:textId="7FD19634" w:rsidR="00B62F64" w:rsidRDefault="00822731" w:rsidP="00D27954">
      <w:pPr>
        <w:pStyle w:val="SingleTxtG"/>
        <w:ind w:left="1701"/>
        <w:rPr>
          <w:lang w:val="en-US"/>
        </w:rPr>
      </w:pPr>
      <w:r>
        <w:t>“</w:t>
      </w:r>
      <w:r w:rsidR="00B62F64" w:rsidRPr="00B37138">
        <w:rPr>
          <w:lang w:val="en-US"/>
        </w:rPr>
        <w:t>For radioactive material, the provisions of this chapter are deemed to be compl</w:t>
      </w:r>
      <w:r w:rsidR="00B62F64">
        <w:rPr>
          <w:lang w:val="en-US"/>
        </w:rPr>
        <w:t xml:space="preserve">ied with when the provisions of </w:t>
      </w:r>
      <w:r w:rsidR="00B62F64" w:rsidRPr="00B37138">
        <w:rPr>
          <w:lang w:val="en-US"/>
        </w:rPr>
        <w:t>the Convention on Physical Protection of Nuclear Material</w:t>
      </w:r>
      <w:r w:rsidR="00B62F64" w:rsidRPr="004332F3">
        <w:rPr>
          <w:strike/>
          <w:vertAlign w:val="superscript"/>
          <w:lang w:val="en-US"/>
        </w:rPr>
        <w:t>1</w:t>
      </w:r>
      <w:r w:rsidR="00B62F64">
        <w:rPr>
          <w:lang w:val="en-US"/>
        </w:rPr>
        <w:t xml:space="preserve"> </w:t>
      </w:r>
      <w:r w:rsidR="00B62F64" w:rsidRPr="004332F3">
        <w:rPr>
          <w:u w:val="single"/>
          <w:lang w:val="en-US"/>
        </w:rPr>
        <w:t>(INFCIRC/274/Rev.1, IAEA, Vienna (1980))</w:t>
      </w:r>
      <w:r w:rsidR="00B62F64">
        <w:rPr>
          <w:lang w:val="en-US"/>
        </w:rPr>
        <w:t xml:space="preserve"> </w:t>
      </w:r>
      <w:r w:rsidR="00B62F64" w:rsidRPr="00B37138">
        <w:rPr>
          <w:lang w:val="en-US"/>
        </w:rPr>
        <w:t>and the IAEA circular on The Physical Protection</w:t>
      </w:r>
      <w:r w:rsidR="00B62F64">
        <w:rPr>
          <w:lang w:val="en-US"/>
        </w:rPr>
        <w:t xml:space="preserve"> </w:t>
      </w:r>
      <w:r w:rsidR="00B62F64" w:rsidRPr="00B37138">
        <w:rPr>
          <w:lang w:val="en-US"/>
        </w:rPr>
        <w:t>of Nuclear Material and Nuclear Facilities</w:t>
      </w:r>
      <w:r w:rsidR="00B62F64" w:rsidRPr="00B37138">
        <w:rPr>
          <w:strike/>
          <w:vertAlign w:val="superscript"/>
          <w:lang w:val="en-US"/>
        </w:rPr>
        <w:t>2</w:t>
      </w:r>
      <w:r w:rsidR="00B62F64" w:rsidRPr="00B37138">
        <w:rPr>
          <w:lang w:val="en-US"/>
        </w:rPr>
        <w:t xml:space="preserve"> </w:t>
      </w:r>
      <w:r w:rsidR="00B62F64" w:rsidRPr="004332F3">
        <w:rPr>
          <w:u w:val="single"/>
          <w:lang w:val="en-US"/>
        </w:rPr>
        <w:t>(INFCIRC/225/Rev.4 (Corrected)</w:t>
      </w:r>
      <w:r w:rsidR="00B62F64" w:rsidRPr="00B37138">
        <w:rPr>
          <w:lang w:val="en-US"/>
        </w:rPr>
        <w:t>, IAEA, Vienna (1999)</w:t>
      </w:r>
      <w:r w:rsidR="00B62F64">
        <w:rPr>
          <w:lang w:val="en-US"/>
        </w:rPr>
        <w:t xml:space="preserve">) </w:t>
      </w:r>
      <w:r w:rsidR="00B62F64" w:rsidRPr="00B37138">
        <w:rPr>
          <w:lang w:val="en-US"/>
        </w:rPr>
        <w:t>are applied.</w:t>
      </w:r>
    </w:p>
    <w:p w14:paraId="2E9256D3" w14:textId="77777777" w:rsidR="00B62F64" w:rsidRPr="004332F3" w:rsidRDefault="00B62F64" w:rsidP="00D27954">
      <w:pPr>
        <w:ind w:left="1701"/>
        <w:rPr>
          <w:strike/>
          <w:lang w:val="en-US"/>
        </w:rPr>
      </w:pPr>
      <w:r w:rsidRPr="00822731">
        <w:rPr>
          <w:strike/>
          <w:vertAlign w:val="superscript"/>
          <w:lang w:val="en-US"/>
        </w:rPr>
        <w:t>1</w:t>
      </w:r>
      <w:r w:rsidRPr="004332F3">
        <w:rPr>
          <w:strike/>
          <w:lang w:val="en-US"/>
        </w:rPr>
        <w:t xml:space="preserve"> INFCIRC/274/Rev.1, IAEA, Vienna (1980).</w:t>
      </w:r>
    </w:p>
    <w:p w14:paraId="3F19A5A2" w14:textId="77777777" w:rsidR="00B62F64" w:rsidRDefault="00B62F64" w:rsidP="00D27954">
      <w:pPr>
        <w:ind w:left="1701"/>
        <w:rPr>
          <w:lang w:val="en-US"/>
        </w:rPr>
      </w:pPr>
      <w:r w:rsidRPr="00822731">
        <w:rPr>
          <w:strike/>
          <w:vertAlign w:val="superscript"/>
          <w:lang w:val="en-US"/>
        </w:rPr>
        <w:t>2</w:t>
      </w:r>
      <w:r w:rsidRPr="00B37138">
        <w:rPr>
          <w:lang w:val="en-US"/>
        </w:rPr>
        <w:t xml:space="preserve"> </w:t>
      </w:r>
      <w:r w:rsidRPr="00B37138">
        <w:rPr>
          <w:strike/>
          <w:lang w:val="en-US"/>
        </w:rPr>
        <w:t>INFCIRC/225/Rev.4 (Corrected), IAEA, Vienna (1999)</w:t>
      </w:r>
      <w:r w:rsidRPr="00B37138">
        <w:rPr>
          <w:lang w:val="en-US"/>
        </w:rPr>
        <w:t>.</w:t>
      </w:r>
      <w:r>
        <w:rPr>
          <w:lang w:val="en-US"/>
        </w:rPr>
        <w:t>”</w:t>
      </w:r>
    </w:p>
    <w:p w14:paraId="0E8F84D1" w14:textId="5AC90CD5" w:rsidR="00D27954" w:rsidRDefault="00D27954" w:rsidP="00D27954">
      <w:pPr>
        <w:pStyle w:val="H1G"/>
        <w:rPr>
          <w:lang w:val="en-US"/>
        </w:rPr>
      </w:pPr>
      <w:r>
        <w:rPr>
          <w:lang w:val="en-US"/>
        </w:rPr>
        <w:tab/>
      </w:r>
      <w:r>
        <w:rPr>
          <w:lang w:val="en-US"/>
        </w:rPr>
        <w:tab/>
      </w:r>
      <w:r w:rsidR="00B62F64" w:rsidRPr="00B37138">
        <w:rPr>
          <w:lang w:val="en-US"/>
        </w:rPr>
        <w:t>Justification</w:t>
      </w:r>
    </w:p>
    <w:p w14:paraId="0EDECA68" w14:textId="78DF24EB" w:rsidR="00B62F64" w:rsidRDefault="00D27954" w:rsidP="00D27954">
      <w:pPr>
        <w:pStyle w:val="SingleTxtG"/>
        <w:rPr>
          <w:lang w:val="en-US"/>
        </w:rPr>
      </w:pPr>
      <w:r>
        <w:rPr>
          <w:lang w:val="en-US"/>
        </w:rPr>
        <w:tab/>
      </w:r>
      <w:r w:rsidR="00F51983">
        <w:rPr>
          <w:lang w:val="en-US"/>
        </w:rPr>
        <w:t>10</w:t>
      </w:r>
      <w:r>
        <w:rPr>
          <w:lang w:val="en-US"/>
        </w:rPr>
        <w:t>.</w:t>
      </w:r>
      <w:r>
        <w:rPr>
          <w:lang w:val="en-US"/>
        </w:rPr>
        <w:tab/>
      </w:r>
      <w:r w:rsidR="00B62F64">
        <w:rPr>
          <w:lang w:val="en-US"/>
        </w:rPr>
        <w:t xml:space="preserve">The footnote provides information that helps the user </w:t>
      </w:r>
      <w:proofErr w:type="gramStart"/>
      <w:r w:rsidR="00B62F64">
        <w:rPr>
          <w:lang w:val="en-US"/>
        </w:rPr>
        <w:t>make a determination</w:t>
      </w:r>
      <w:proofErr w:type="gramEnd"/>
      <w:r w:rsidR="00B62F64">
        <w:rPr>
          <w:lang w:val="en-US"/>
        </w:rPr>
        <w:t xml:space="preserve"> of compliance with regulatory requirements. This information is better suited to be within the regulatory text and </w:t>
      </w:r>
      <w:r w:rsidR="00B62F64" w:rsidRPr="00B37138">
        <w:rPr>
          <w:lang w:val="en-US"/>
        </w:rPr>
        <w:t>would facilitate the requirement carrying over to the authentic text of the IMDG Code</w:t>
      </w:r>
      <w:r w:rsidR="00B62F64">
        <w:rPr>
          <w:lang w:val="en-US"/>
        </w:rPr>
        <w:t xml:space="preserve">. It is worth noting that </w:t>
      </w:r>
      <w:r>
        <w:rPr>
          <w:lang w:val="en-US"/>
        </w:rPr>
        <w:t>informal document INF.27 (</w:t>
      </w:r>
      <w:r w:rsidR="00822731">
        <w:rPr>
          <w:lang w:val="en-US"/>
        </w:rPr>
        <w:t xml:space="preserve">fifty-sixth </w:t>
      </w:r>
      <w:r>
        <w:rPr>
          <w:lang w:val="en-US"/>
        </w:rPr>
        <w:t>session)</w:t>
      </w:r>
      <w:r w:rsidR="00B62F64">
        <w:rPr>
          <w:lang w:val="en-US"/>
        </w:rPr>
        <w:t xml:space="preserve"> or the IMO </w:t>
      </w:r>
      <w:r w:rsidR="00822731">
        <w:rPr>
          <w:lang w:val="en-US"/>
        </w:rPr>
        <w:t>s</w:t>
      </w:r>
      <w:r w:rsidR="00B62F64">
        <w:rPr>
          <w:lang w:val="en-US"/>
        </w:rPr>
        <w:t>ecretariat inquired if the most recent version of the standard (</w:t>
      </w:r>
      <w:r w:rsidR="00B62F64" w:rsidRPr="004332F3">
        <w:rPr>
          <w:bCs/>
        </w:rPr>
        <w:t>INFCIRC</w:t>
      </w:r>
      <w:r w:rsidR="00B62F64" w:rsidRPr="004332F3">
        <w:t>/</w:t>
      </w:r>
      <w:r w:rsidR="00B62F64" w:rsidRPr="004332F3">
        <w:rPr>
          <w:bCs/>
        </w:rPr>
        <w:t>274</w:t>
      </w:r>
      <w:r w:rsidR="00B62F64" w:rsidRPr="004332F3">
        <w:t>/</w:t>
      </w:r>
      <w:r w:rsidR="00B62F64" w:rsidRPr="004332F3">
        <w:rPr>
          <w:bCs/>
        </w:rPr>
        <w:t>Rev</w:t>
      </w:r>
      <w:r w:rsidR="00B62F64" w:rsidRPr="004332F3">
        <w:t>.</w:t>
      </w:r>
      <w:r w:rsidR="00B62F64" w:rsidRPr="004332F3">
        <w:rPr>
          <w:bCs/>
        </w:rPr>
        <w:t>1</w:t>
      </w:r>
      <w:r w:rsidR="00B62F64">
        <w:t>/Mod.1)</w:t>
      </w:r>
      <w:r w:rsidR="00B62F64">
        <w:rPr>
          <w:lang w:val="en-US"/>
        </w:rPr>
        <w:t xml:space="preserve"> referenced in footnote </w:t>
      </w:r>
      <w:r w:rsidR="00B62F64" w:rsidRPr="00822731">
        <w:rPr>
          <w:vertAlign w:val="superscript"/>
          <w:lang w:val="en-US"/>
        </w:rPr>
        <w:t>1</w:t>
      </w:r>
      <w:r w:rsidR="00B62F64">
        <w:rPr>
          <w:lang w:val="en-US"/>
        </w:rPr>
        <w:t xml:space="preserve"> of this section should be incorporated, but confirmation is still required.</w:t>
      </w:r>
    </w:p>
    <w:p w14:paraId="187C1458" w14:textId="0D9798DF" w:rsidR="00317769" w:rsidRDefault="00317769" w:rsidP="00317769">
      <w:pPr>
        <w:pStyle w:val="H1G"/>
        <w:rPr>
          <w:lang w:val="en-US"/>
        </w:rPr>
      </w:pPr>
      <w:r>
        <w:rPr>
          <w:lang w:val="en-US"/>
        </w:rPr>
        <w:tab/>
      </w:r>
      <w:r>
        <w:rPr>
          <w:lang w:val="en-US"/>
        </w:rPr>
        <w:tab/>
        <w:t>Proposal 2</w:t>
      </w:r>
    </w:p>
    <w:p w14:paraId="0FF1A1B5" w14:textId="569201E1" w:rsidR="00B62F64" w:rsidRDefault="00D27954" w:rsidP="003548A0">
      <w:pPr>
        <w:pStyle w:val="SingleTxtG"/>
      </w:pPr>
      <w:r>
        <w:rPr>
          <w:lang w:val="en-US"/>
        </w:rPr>
        <w:t>1</w:t>
      </w:r>
      <w:r w:rsidR="00F51983">
        <w:rPr>
          <w:lang w:val="en-US"/>
        </w:rPr>
        <w:t>1</w:t>
      </w:r>
      <w:r w:rsidR="00B62F64">
        <w:rPr>
          <w:lang w:val="en-US"/>
        </w:rPr>
        <w:t>.</w:t>
      </w:r>
      <w:r w:rsidR="00B62F64">
        <w:rPr>
          <w:lang w:val="en-US"/>
        </w:rPr>
        <w:tab/>
      </w:r>
      <w:r w:rsidR="00B62F64" w:rsidRPr="006751FC">
        <w:t xml:space="preserve">In </w:t>
      </w:r>
      <w:r w:rsidR="00B62F64" w:rsidRPr="00CB3197">
        <w:t>5.4.1.5.9.2, 5.4.1.5.15, 6.1.3.8 (h), 6.2.2.7.2 (c), 6.2.2.7.4 (n), 6.2.2.7.7 (a), 6.2.2.9.2 (c), 6.2.2.9.4 (a), 6.3.4.2 (e), 6.4.23.11 (a), 6.5.2.1.1.5, 6.6.3.1 (e), 6.7.2.18.1, 6.7.3.14.1, 6.7.4.13.</w:t>
      </w:r>
      <w:r w:rsidR="00B62F64">
        <w:t>1, 6.7.5.11.1 and 6.9.5.5.1 (e) delete the footnote concerning the “</w:t>
      </w:r>
      <w:r w:rsidR="00B62F64" w:rsidRPr="006751FC">
        <w:t>Distinguishing sign of the State of registration used on motor vehicles and trailers in international road traffic, e.g. in accordance with</w:t>
      </w:r>
      <w:r w:rsidR="003548A0">
        <w:t xml:space="preserve"> t</w:t>
      </w:r>
      <w:r w:rsidR="00B62F64" w:rsidRPr="006751FC">
        <w:t>he Geneva Convention on Road Traffic of 1949 or the Vienna Convention on Road Traffic of 1968” and create a new definition for distinguishing sign used on vehicles in international road traffic in section 1.2.1 to read as follows</w:t>
      </w:r>
      <w:r w:rsidR="00B62F64">
        <w:t>:</w:t>
      </w:r>
    </w:p>
    <w:p w14:paraId="6A960C0B" w14:textId="77777777" w:rsidR="00B62F64" w:rsidRPr="00D27954" w:rsidRDefault="00B62F64" w:rsidP="00D27954">
      <w:pPr>
        <w:pStyle w:val="SingleTxtG"/>
        <w:ind w:left="1701"/>
        <w:rPr>
          <w:u w:val="single"/>
          <w:lang w:val="en-US"/>
        </w:rPr>
      </w:pPr>
      <w:r w:rsidRPr="00D27954">
        <w:rPr>
          <w:i/>
          <w:u w:val="single"/>
        </w:rPr>
        <w:t>“Distinguishing sign used on vehicles in international road traffic</w:t>
      </w:r>
      <w:r w:rsidRPr="00D27954">
        <w:rPr>
          <w:u w:val="single"/>
        </w:rPr>
        <w:t xml:space="preserve"> means a sign </w:t>
      </w:r>
      <w:r w:rsidRPr="00D27954">
        <w:rPr>
          <w:u w:val="single"/>
          <w:lang w:val="en-US"/>
        </w:rPr>
        <w:t>in accordance with the Geneva Convention on Road Traffic of 1949 or the Vienna Convention on Road Traffic of 1968.”</w:t>
      </w:r>
    </w:p>
    <w:p w14:paraId="117C51D5" w14:textId="0131F90A" w:rsidR="00D27954" w:rsidRDefault="00D27954" w:rsidP="00D27954">
      <w:pPr>
        <w:pStyle w:val="H1G"/>
        <w:rPr>
          <w:lang w:val="en-US"/>
        </w:rPr>
      </w:pPr>
      <w:r>
        <w:rPr>
          <w:lang w:val="en-US"/>
        </w:rPr>
        <w:lastRenderedPageBreak/>
        <w:tab/>
      </w:r>
      <w:r>
        <w:rPr>
          <w:lang w:val="en-US"/>
        </w:rPr>
        <w:tab/>
      </w:r>
      <w:r w:rsidR="00B62F64" w:rsidRPr="00CB3197">
        <w:rPr>
          <w:lang w:val="en-US"/>
        </w:rPr>
        <w:t>Justification</w:t>
      </w:r>
    </w:p>
    <w:p w14:paraId="01C2893C" w14:textId="724BF052" w:rsidR="00B62F64" w:rsidRDefault="00D27954" w:rsidP="00D27954">
      <w:pPr>
        <w:pStyle w:val="SingleTxtG"/>
        <w:rPr>
          <w:lang w:val="en-US"/>
        </w:rPr>
      </w:pPr>
      <w:r>
        <w:rPr>
          <w:lang w:val="en-US"/>
        </w:rPr>
        <w:tab/>
        <w:t>1</w:t>
      </w:r>
      <w:r w:rsidR="003548A0">
        <w:rPr>
          <w:lang w:val="en-US"/>
        </w:rPr>
        <w:t>2</w:t>
      </w:r>
      <w:r>
        <w:rPr>
          <w:lang w:val="en-US"/>
        </w:rPr>
        <w:t>.</w:t>
      </w:r>
      <w:r>
        <w:rPr>
          <w:lang w:val="en-US"/>
        </w:rPr>
        <w:tab/>
      </w:r>
      <w:r w:rsidR="00B62F64" w:rsidRPr="00CB3197">
        <w:rPr>
          <w:lang w:val="en-US"/>
        </w:rPr>
        <w:t xml:space="preserve">The </w:t>
      </w:r>
      <w:r w:rsidR="00B62F64">
        <w:rPr>
          <w:lang w:val="en-US"/>
        </w:rPr>
        <w:t xml:space="preserve">footnote is replicated 17 times in the </w:t>
      </w:r>
      <w:r w:rsidR="003548A0">
        <w:rPr>
          <w:lang w:val="en-US"/>
        </w:rPr>
        <w:t xml:space="preserve">UN </w:t>
      </w:r>
      <w:r w:rsidR="00B62F64">
        <w:rPr>
          <w:lang w:val="en-US"/>
        </w:rPr>
        <w:t>Model Regulations and can be addressed through a definition once. Such an amendment would</w:t>
      </w:r>
      <w:r w:rsidR="00B62F64" w:rsidRPr="00CB3197">
        <w:rPr>
          <w:lang w:val="en-US"/>
        </w:rPr>
        <w:t xml:space="preserve"> facilitate the </w:t>
      </w:r>
      <w:r w:rsidR="00B62F64">
        <w:rPr>
          <w:lang w:val="en-US"/>
        </w:rPr>
        <w:t>defining criteria for this phrase being</w:t>
      </w:r>
      <w:r w:rsidR="00B62F64" w:rsidRPr="00CB3197">
        <w:rPr>
          <w:lang w:val="en-US"/>
        </w:rPr>
        <w:t xml:space="preserve"> </w:t>
      </w:r>
      <w:r w:rsidR="00B62F64">
        <w:rPr>
          <w:lang w:val="en-US"/>
        </w:rPr>
        <w:t>carried</w:t>
      </w:r>
      <w:r w:rsidR="00B62F64" w:rsidRPr="00CB3197">
        <w:rPr>
          <w:lang w:val="en-US"/>
        </w:rPr>
        <w:t xml:space="preserve"> over to the authentic text of the IMDG Code.</w:t>
      </w:r>
    </w:p>
    <w:p w14:paraId="0BD05824" w14:textId="5E92D79D" w:rsidR="00317769" w:rsidRDefault="00317769" w:rsidP="00317769">
      <w:pPr>
        <w:pStyle w:val="H1G"/>
        <w:rPr>
          <w:lang w:val="en-US"/>
        </w:rPr>
      </w:pPr>
      <w:r>
        <w:rPr>
          <w:lang w:val="en-US"/>
        </w:rPr>
        <w:tab/>
      </w:r>
      <w:r>
        <w:rPr>
          <w:lang w:val="en-US"/>
        </w:rPr>
        <w:tab/>
        <w:t>Proposal 3</w:t>
      </w:r>
    </w:p>
    <w:p w14:paraId="6434F52D" w14:textId="3E34B453" w:rsidR="00B62F64" w:rsidRDefault="00B62F64" w:rsidP="003548A0">
      <w:pPr>
        <w:pStyle w:val="SingleTxtG"/>
        <w:keepNext/>
        <w:keepLines/>
      </w:pPr>
      <w:r>
        <w:t>1</w:t>
      </w:r>
      <w:r w:rsidR="003548A0">
        <w:t>3</w:t>
      </w:r>
      <w:r>
        <w:t>.</w:t>
      </w:r>
      <w:r>
        <w:tab/>
        <w:t>Amend the second paragraph of 5.4.1.6.1 to read as follows:</w:t>
      </w:r>
    </w:p>
    <w:p w14:paraId="6F53A8C6" w14:textId="77777777" w:rsidR="00B62F64" w:rsidRDefault="00B62F64" w:rsidP="003548A0">
      <w:pPr>
        <w:pStyle w:val="SingleTxtG"/>
        <w:keepNext/>
        <w:keepLines/>
        <w:ind w:left="1701"/>
      </w:pPr>
      <w:r>
        <w:t xml:space="preserve">“I hereby declare that the contents of this consignment are fully and accurately described </w:t>
      </w:r>
      <w:r w:rsidRPr="003450AE">
        <w:rPr>
          <w:strike/>
        </w:rPr>
        <w:t>above</w:t>
      </w:r>
      <w:r w:rsidRPr="003450AE">
        <w:rPr>
          <w:strike/>
          <w:vertAlign w:val="superscript"/>
        </w:rPr>
        <w:t>4</w:t>
      </w:r>
      <w:r>
        <w:t xml:space="preserve"> </w:t>
      </w:r>
      <w:r w:rsidRPr="003450AE">
        <w:rPr>
          <w:u w:val="single"/>
        </w:rPr>
        <w:t>herein</w:t>
      </w:r>
      <w:r>
        <w:t xml:space="preserve"> by the proper shipping name, and are classified, packaged, marked and labelled/</w:t>
      </w:r>
      <w:proofErr w:type="spellStart"/>
      <w:r>
        <w:t>placarded</w:t>
      </w:r>
      <w:proofErr w:type="spellEnd"/>
      <w:r>
        <w:t>, and are in all respects in proper condition for transport according to applicable international and national government regulations.”</w:t>
      </w:r>
    </w:p>
    <w:p w14:paraId="50EE63D3" w14:textId="77777777" w:rsidR="00B62F64" w:rsidRDefault="00B62F64" w:rsidP="00D27954">
      <w:pPr>
        <w:pStyle w:val="SingleTxtG"/>
        <w:ind w:left="1701"/>
        <w:rPr>
          <w:strike/>
        </w:rPr>
      </w:pPr>
      <w:r w:rsidRPr="003548A0">
        <w:rPr>
          <w:strike/>
        </w:rPr>
        <w:t>“</w:t>
      </w:r>
      <w:r w:rsidRPr="003450AE">
        <w:rPr>
          <w:strike/>
          <w:vertAlign w:val="superscript"/>
        </w:rPr>
        <w:t>4</w:t>
      </w:r>
      <w:r w:rsidRPr="003450AE">
        <w:rPr>
          <w:strike/>
        </w:rPr>
        <w:t xml:space="preserve"> or below</w:t>
      </w:r>
      <w:r>
        <w:rPr>
          <w:strike/>
        </w:rPr>
        <w:t>”</w:t>
      </w:r>
    </w:p>
    <w:p w14:paraId="46258526" w14:textId="7180D7A7" w:rsidR="00D27954" w:rsidRDefault="00D27954" w:rsidP="00D27954">
      <w:pPr>
        <w:pStyle w:val="H1G"/>
        <w:rPr>
          <w:lang w:val="en-US"/>
        </w:rPr>
      </w:pPr>
      <w:r>
        <w:rPr>
          <w:lang w:val="en-US"/>
        </w:rPr>
        <w:tab/>
      </w:r>
      <w:r>
        <w:rPr>
          <w:lang w:val="en-US"/>
        </w:rPr>
        <w:tab/>
      </w:r>
      <w:r w:rsidR="00B62F64" w:rsidRPr="001F5FA9">
        <w:rPr>
          <w:lang w:val="en-US"/>
        </w:rPr>
        <w:t>Justification</w:t>
      </w:r>
    </w:p>
    <w:p w14:paraId="7C9BF7F5" w14:textId="00031078" w:rsidR="00B62F64" w:rsidRDefault="00D27954" w:rsidP="00D27954">
      <w:pPr>
        <w:pStyle w:val="SingleTxtG"/>
        <w:rPr>
          <w:lang w:val="en-US"/>
        </w:rPr>
      </w:pPr>
      <w:r>
        <w:rPr>
          <w:lang w:val="en-US"/>
        </w:rPr>
        <w:tab/>
        <w:t>1</w:t>
      </w:r>
      <w:r w:rsidR="003548A0">
        <w:rPr>
          <w:lang w:val="en-US"/>
        </w:rPr>
        <w:t>4</w:t>
      </w:r>
      <w:r>
        <w:rPr>
          <w:lang w:val="en-US"/>
        </w:rPr>
        <w:t>.</w:t>
      </w:r>
      <w:r>
        <w:rPr>
          <w:lang w:val="en-US"/>
        </w:rPr>
        <w:tab/>
      </w:r>
      <w:r w:rsidR="00B62F64">
        <w:rPr>
          <w:lang w:val="en-US"/>
        </w:rPr>
        <w:t>The footnote provides an acceptable alternative to a regulatory requirement (i.e., specific text). These regulatory alternatives are better addressed in regulatory text. Using a more general term such as “herein” covers scenarios where the information required is located either above or below the certification on the transport document. If this is undesirable because of the need for changes to existing preprinted documents or possible software updates, it should be considered if the text from the footnote could be made a note instead.</w:t>
      </w:r>
    </w:p>
    <w:p w14:paraId="42667881" w14:textId="0B7F92AC" w:rsidR="00317769" w:rsidRDefault="00317769" w:rsidP="00317769">
      <w:pPr>
        <w:pStyle w:val="H1G"/>
        <w:rPr>
          <w:lang w:val="en-US"/>
        </w:rPr>
      </w:pPr>
      <w:r>
        <w:rPr>
          <w:lang w:val="en-US"/>
        </w:rPr>
        <w:tab/>
      </w:r>
      <w:r>
        <w:rPr>
          <w:lang w:val="en-US"/>
        </w:rPr>
        <w:tab/>
        <w:t>Proposal 4</w:t>
      </w:r>
    </w:p>
    <w:p w14:paraId="21DEEFD9" w14:textId="376F7256" w:rsidR="00B62F64" w:rsidRDefault="00B62F64" w:rsidP="00B62F64">
      <w:pPr>
        <w:pStyle w:val="SingleTxtG"/>
      </w:pPr>
      <w:r>
        <w:t>1</w:t>
      </w:r>
      <w:r w:rsidR="003548A0">
        <w:t>5</w:t>
      </w:r>
      <w:r>
        <w:t>.</w:t>
      </w:r>
      <w:r>
        <w:tab/>
        <w:t xml:space="preserve">In </w:t>
      </w:r>
      <w:r w:rsidRPr="003450AE">
        <w:t>6.2.4.3 (c)</w:t>
      </w:r>
      <w:r>
        <w:t xml:space="preserve"> amend to read as follows:</w:t>
      </w:r>
    </w:p>
    <w:p w14:paraId="33636411" w14:textId="1106DD21" w:rsidR="00B62F64" w:rsidRDefault="003548A0" w:rsidP="00D27954">
      <w:pPr>
        <w:pStyle w:val="SingleTxtG"/>
        <w:ind w:left="1701"/>
        <w:rPr>
          <w:u w:val="single"/>
        </w:rPr>
      </w:pPr>
      <w:r>
        <w:t>“</w:t>
      </w:r>
      <w:r w:rsidR="00B62F64">
        <w:t>For pharmaceutical products according to (a)(</w:t>
      </w:r>
      <w:proofErr w:type="spellStart"/>
      <w:r w:rsidR="00B62F64">
        <w:t>i</w:t>
      </w:r>
      <w:proofErr w:type="spellEnd"/>
      <w:r w:rsidR="00B62F64">
        <w:t xml:space="preserve">) and (iii) above, they are manufactured under the authority of a national health administration. If required by the competent authority, the principles of </w:t>
      </w:r>
      <w:r w:rsidR="00B62F64" w:rsidRPr="00D27954">
        <w:t>Good</w:t>
      </w:r>
      <w:r w:rsidR="00B62F64">
        <w:t xml:space="preserve"> Manufacturing Practice (GMP) established by the World Health Organization (WHO)</w:t>
      </w:r>
      <w:r w:rsidR="00B62F64" w:rsidRPr="003450AE">
        <w:rPr>
          <w:strike/>
          <w:vertAlign w:val="superscript"/>
        </w:rPr>
        <w:t>3</w:t>
      </w:r>
      <w:r w:rsidR="00B62F64">
        <w:t xml:space="preserve"> shall be followed </w:t>
      </w:r>
      <w:r w:rsidR="00B62F64" w:rsidRPr="003450AE">
        <w:rPr>
          <w:u w:val="single"/>
        </w:rPr>
        <w:t xml:space="preserve">(see </w:t>
      </w:r>
      <w:r w:rsidR="00B62F64" w:rsidRPr="003450AE">
        <w:rPr>
          <w:u w:val="single"/>
          <w:lang w:val="en-US"/>
        </w:rPr>
        <w:t>WHO publication: Quality assurance of pharmaceuticals. A compendium of guidelines and related materials. Volume 2: Good manufacturing practices and inspection)</w:t>
      </w:r>
      <w:r w:rsidR="00B62F64" w:rsidRPr="003450AE">
        <w:rPr>
          <w:u w:val="single"/>
        </w:rPr>
        <w:t>.</w:t>
      </w:r>
      <w:r>
        <w:t>”</w:t>
      </w:r>
    </w:p>
    <w:p w14:paraId="0CB5BF01" w14:textId="77777777" w:rsidR="00B62F64" w:rsidRDefault="00B62F64" w:rsidP="00D27954">
      <w:pPr>
        <w:pStyle w:val="SingleTxtG"/>
        <w:ind w:left="1701"/>
        <w:rPr>
          <w:strike/>
          <w:lang w:val="en-US"/>
        </w:rPr>
      </w:pPr>
      <w:r>
        <w:rPr>
          <w:strike/>
        </w:rPr>
        <w:t>“</w:t>
      </w:r>
      <w:proofErr w:type="gramStart"/>
      <w:r w:rsidRPr="003548A0">
        <w:rPr>
          <w:strike/>
          <w:vertAlign w:val="superscript"/>
        </w:rPr>
        <w:t>3</w:t>
      </w:r>
      <w:r w:rsidRPr="003450AE">
        <w:rPr>
          <w:strike/>
        </w:rPr>
        <w:t xml:space="preserve">  </w:t>
      </w:r>
      <w:r w:rsidRPr="003450AE">
        <w:rPr>
          <w:strike/>
          <w:lang w:val="en-US"/>
        </w:rPr>
        <w:t>Refer</w:t>
      </w:r>
      <w:proofErr w:type="gramEnd"/>
      <w:r w:rsidRPr="003450AE">
        <w:rPr>
          <w:strike/>
          <w:lang w:val="en-US"/>
        </w:rPr>
        <w:t xml:space="preserve"> to WHO publication: Quality assurance of pharmaceuticals. A compendium of guidelines and related materials. Volume 2: Good manufacturing practices and inspection.</w:t>
      </w:r>
      <w:r>
        <w:rPr>
          <w:strike/>
          <w:lang w:val="en-US"/>
        </w:rPr>
        <w:t>”</w:t>
      </w:r>
    </w:p>
    <w:p w14:paraId="3DD812FE" w14:textId="6A839C7E" w:rsidR="00D27954" w:rsidRDefault="00D27954" w:rsidP="00D27954">
      <w:pPr>
        <w:pStyle w:val="H1G"/>
        <w:rPr>
          <w:lang w:val="en-US"/>
        </w:rPr>
      </w:pPr>
      <w:r>
        <w:rPr>
          <w:lang w:val="en-US"/>
        </w:rPr>
        <w:tab/>
      </w:r>
      <w:r>
        <w:rPr>
          <w:lang w:val="en-US"/>
        </w:rPr>
        <w:tab/>
      </w:r>
      <w:r w:rsidR="00B62F64" w:rsidRPr="001F5FA9">
        <w:rPr>
          <w:lang w:val="en-US"/>
        </w:rPr>
        <w:t>Justification</w:t>
      </w:r>
    </w:p>
    <w:p w14:paraId="008048D2" w14:textId="14FA532F" w:rsidR="00B62F64" w:rsidRPr="001F5FA9" w:rsidRDefault="00D27954" w:rsidP="00D27954">
      <w:pPr>
        <w:pStyle w:val="SingleTxtG"/>
        <w:rPr>
          <w:lang w:val="en-US"/>
        </w:rPr>
      </w:pPr>
      <w:r>
        <w:rPr>
          <w:lang w:val="en-US"/>
        </w:rPr>
        <w:tab/>
        <w:t>1</w:t>
      </w:r>
      <w:r w:rsidR="003548A0">
        <w:rPr>
          <w:lang w:val="en-US"/>
        </w:rPr>
        <w:t>6</w:t>
      </w:r>
      <w:r>
        <w:rPr>
          <w:lang w:val="en-US"/>
        </w:rPr>
        <w:t>.</w:t>
      </w:r>
      <w:r>
        <w:rPr>
          <w:lang w:val="en-US"/>
        </w:rPr>
        <w:tab/>
      </w:r>
      <w:r w:rsidR="00B62F64">
        <w:rPr>
          <w:lang w:val="en-US"/>
        </w:rPr>
        <w:t xml:space="preserve">While contingent on the competent authority (CA) making use of the document a requirement, if the CA does make such a determination, then the reference is more appropriately placed </w:t>
      </w:r>
      <w:r w:rsidR="00B62F64" w:rsidRPr="00D27954">
        <w:t>within</w:t>
      </w:r>
      <w:r w:rsidR="00B62F64">
        <w:rPr>
          <w:lang w:val="en-US"/>
        </w:rPr>
        <w:t xml:space="preserve"> the regulatory text. The placement of the reference should have no impact on shippers or </w:t>
      </w:r>
      <w:r w:rsidR="003548A0">
        <w:rPr>
          <w:lang w:val="en-US"/>
        </w:rPr>
        <w:t>carriers but</w:t>
      </w:r>
      <w:r w:rsidR="00B62F64">
        <w:rPr>
          <w:lang w:val="en-US"/>
        </w:rPr>
        <w:t xml:space="preserve"> would facilitate the reference carrying over to the authentic text of the IMDG Code.</w:t>
      </w:r>
    </w:p>
    <w:p w14:paraId="382A8DDA" w14:textId="717B6096" w:rsidR="00317769" w:rsidRDefault="00317769" w:rsidP="00317769">
      <w:pPr>
        <w:pStyle w:val="H1G"/>
        <w:rPr>
          <w:lang w:val="en-US"/>
        </w:rPr>
      </w:pPr>
      <w:r>
        <w:rPr>
          <w:lang w:val="en-US"/>
        </w:rPr>
        <w:tab/>
      </w:r>
      <w:r>
        <w:rPr>
          <w:lang w:val="en-US"/>
        </w:rPr>
        <w:tab/>
        <w:t>Proposal 5</w:t>
      </w:r>
    </w:p>
    <w:p w14:paraId="54765440" w14:textId="1EE1D7DA" w:rsidR="00B62F64" w:rsidRDefault="00B62F64" w:rsidP="00D27954">
      <w:pPr>
        <w:pStyle w:val="SingleTxtG"/>
      </w:pPr>
      <w:r>
        <w:rPr>
          <w:lang w:val="en-US"/>
        </w:rPr>
        <w:t>1</w:t>
      </w:r>
      <w:r w:rsidR="003548A0">
        <w:rPr>
          <w:lang w:val="en-US"/>
        </w:rPr>
        <w:t>7</w:t>
      </w:r>
      <w:r>
        <w:rPr>
          <w:lang w:val="en-US"/>
        </w:rPr>
        <w:t>.</w:t>
      </w:r>
      <w:r>
        <w:rPr>
          <w:lang w:val="en-US"/>
        </w:rPr>
        <w:tab/>
        <w:t xml:space="preserve">In </w:t>
      </w:r>
      <w:r w:rsidRPr="003450AE">
        <w:t>6.7.2.20.1</w:t>
      </w:r>
      <w:r>
        <w:t xml:space="preserve">, 6.7.3.16.1, 6.7.4.15.1, and </w:t>
      </w:r>
      <w:r w:rsidRPr="004300FD">
        <w:t>6.7.5.13.1</w:t>
      </w:r>
      <w:r>
        <w:t xml:space="preserve"> replace each instance of footnote “</w:t>
      </w:r>
      <w:r w:rsidRPr="003548A0">
        <w:rPr>
          <w:vertAlign w:val="superscript"/>
        </w:rPr>
        <w:t>3</w:t>
      </w:r>
      <w:r>
        <w:t>” with “</w:t>
      </w:r>
      <w:r w:rsidRPr="008535A3">
        <w:rPr>
          <w:u w:val="single"/>
        </w:rPr>
        <w:t>the unit shall be indicated</w:t>
      </w:r>
      <w:r>
        <w:t>” and delete existing footnote “</w:t>
      </w:r>
      <w:r w:rsidRPr="003548A0">
        <w:rPr>
          <w:vertAlign w:val="superscript"/>
        </w:rPr>
        <w:t>3</w:t>
      </w:r>
      <w:r>
        <w:t>”.</w:t>
      </w:r>
    </w:p>
    <w:p w14:paraId="7DD68B62" w14:textId="49A54E83" w:rsidR="00D27954" w:rsidRDefault="00D27954" w:rsidP="00D27954">
      <w:pPr>
        <w:pStyle w:val="H1G"/>
        <w:rPr>
          <w:lang w:val="en-US"/>
        </w:rPr>
      </w:pPr>
      <w:r>
        <w:rPr>
          <w:lang w:val="en-US"/>
        </w:rPr>
        <w:lastRenderedPageBreak/>
        <w:tab/>
      </w:r>
      <w:r>
        <w:rPr>
          <w:lang w:val="en-US"/>
        </w:rPr>
        <w:tab/>
      </w:r>
      <w:r w:rsidR="00B62F64" w:rsidRPr="001F5FA9">
        <w:rPr>
          <w:lang w:val="en-US"/>
        </w:rPr>
        <w:t>Justification</w:t>
      </w:r>
    </w:p>
    <w:p w14:paraId="2299C18F" w14:textId="4A2CA738" w:rsidR="00B62F64" w:rsidRDefault="00D27954" w:rsidP="00D27954">
      <w:pPr>
        <w:pStyle w:val="SingleTxtG"/>
        <w:rPr>
          <w:lang w:val="en-US"/>
        </w:rPr>
      </w:pPr>
      <w:r>
        <w:rPr>
          <w:lang w:val="en-US"/>
        </w:rPr>
        <w:tab/>
        <w:t>1</w:t>
      </w:r>
      <w:r w:rsidR="003548A0">
        <w:rPr>
          <w:lang w:val="en-US"/>
        </w:rPr>
        <w:t>8</w:t>
      </w:r>
      <w:r>
        <w:rPr>
          <w:lang w:val="en-US"/>
        </w:rPr>
        <w:t>.</w:t>
      </w:r>
      <w:r>
        <w:rPr>
          <w:lang w:val="en-US"/>
        </w:rPr>
        <w:tab/>
      </w:r>
      <w:r w:rsidR="00B62F64">
        <w:rPr>
          <w:lang w:val="en-US"/>
        </w:rPr>
        <w:t>Each instance of footnote “</w:t>
      </w:r>
      <w:r w:rsidR="00B62F64" w:rsidRPr="003548A0">
        <w:rPr>
          <w:vertAlign w:val="superscript"/>
          <w:lang w:val="en-US"/>
        </w:rPr>
        <w:t>3</w:t>
      </w:r>
      <w:r w:rsidR="00B62F64">
        <w:rPr>
          <w:lang w:val="en-US"/>
        </w:rPr>
        <w:t xml:space="preserve">” requires the user to indicate the correct unit of measure (e.g., </w:t>
      </w:r>
      <w:r w:rsidR="00B62F64" w:rsidRPr="001F5FA9">
        <w:rPr>
          <w:lang w:val="en-US"/>
        </w:rPr>
        <w:t xml:space="preserve">bar </w:t>
      </w:r>
      <w:r w:rsidR="00B62F64" w:rsidRPr="00D27954">
        <w:t>gauge</w:t>
      </w:r>
      <w:r w:rsidR="00B62F64" w:rsidRPr="001F5FA9">
        <w:rPr>
          <w:lang w:val="en-US"/>
        </w:rPr>
        <w:t xml:space="preserve"> or kPa gauge</w:t>
      </w:r>
      <w:r w:rsidR="00B62F64">
        <w:rPr>
          <w:lang w:val="en-US"/>
        </w:rPr>
        <w:t xml:space="preserve">) on various data plates for portable tanks or MEGCs. This information is regulatory in nature and is better suited for inclusion within the section and </w:t>
      </w:r>
      <w:r w:rsidR="00B62F64" w:rsidRPr="001F5FA9">
        <w:rPr>
          <w:lang w:val="en-US"/>
        </w:rPr>
        <w:t xml:space="preserve">would facilitate the </w:t>
      </w:r>
      <w:r w:rsidR="00B62F64">
        <w:rPr>
          <w:lang w:val="en-US"/>
        </w:rPr>
        <w:t>requirement</w:t>
      </w:r>
      <w:r w:rsidR="00B62F64" w:rsidRPr="001F5FA9">
        <w:rPr>
          <w:lang w:val="en-US"/>
        </w:rPr>
        <w:t xml:space="preserve"> carrying over to the authentic text of the IMDG Code.</w:t>
      </w:r>
    </w:p>
    <w:p w14:paraId="25355A2C" w14:textId="118F4766" w:rsidR="00317769" w:rsidRDefault="00317769" w:rsidP="00317769">
      <w:pPr>
        <w:pStyle w:val="H1G"/>
        <w:rPr>
          <w:lang w:val="en-US"/>
        </w:rPr>
      </w:pPr>
      <w:r>
        <w:rPr>
          <w:lang w:val="en-US"/>
        </w:rPr>
        <w:tab/>
      </w:r>
      <w:r>
        <w:rPr>
          <w:lang w:val="en-US"/>
        </w:rPr>
        <w:tab/>
        <w:t>Proposal 6</w:t>
      </w:r>
    </w:p>
    <w:p w14:paraId="357083D4" w14:textId="6DEF59B7" w:rsidR="00B62F64" w:rsidRDefault="003548A0" w:rsidP="00B62F64">
      <w:pPr>
        <w:pStyle w:val="SingleTxtG"/>
        <w:ind w:left="1701" w:hanging="567"/>
      </w:pPr>
      <w:r>
        <w:t>19</w:t>
      </w:r>
      <w:r w:rsidR="00D27954">
        <w:t>.</w:t>
      </w:r>
      <w:r w:rsidR="00B62F64">
        <w:tab/>
        <w:t xml:space="preserve">In </w:t>
      </w:r>
      <w:r w:rsidR="00B62F64" w:rsidRPr="008535A3">
        <w:t>6.7.3.8.1.1</w:t>
      </w:r>
      <w:r w:rsidR="00B62F64">
        <w:t xml:space="preserve"> delete footnote “</w:t>
      </w:r>
      <w:r w:rsidR="00B62F64" w:rsidRPr="00F614EA">
        <w:rPr>
          <w:vertAlign w:val="superscript"/>
        </w:rPr>
        <w:t>4</w:t>
      </w:r>
      <w:r w:rsidR="00B62F64">
        <w:t>” and move existing footnote text to the end of the section to read as follows:</w:t>
      </w:r>
    </w:p>
    <w:p w14:paraId="5DBF5A66" w14:textId="4A5719F6" w:rsidR="00B62F64" w:rsidRPr="00D27954" w:rsidRDefault="00317769" w:rsidP="00B62F64">
      <w:pPr>
        <w:pStyle w:val="SingleTxtG"/>
        <w:ind w:left="1701"/>
        <w:rPr>
          <w:i/>
          <w:iCs/>
          <w:u w:val="single"/>
          <w:lang w:val="en-US"/>
        </w:rPr>
      </w:pPr>
      <w:r>
        <w:t>“</w:t>
      </w:r>
      <w:r w:rsidR="00B62F64" w:rsidRPr="00D27954">
        <w:rPr>
          <w:i/>
          <w:iCs/>
          <w:u w:val="single"/>
        </w:rPr>
        <w:t xml:space="preserve">Note: </w:t>
      </w:r>
      <w:r w:rsidR="00B62F64" w:rsidRPr="00D27954">
        <w:rPr>
          <w:i/>
          <w:iCs/>
          <w:u w:val="single"/>
          <w:lang w:val="en-US"/>
        </w:rPr>
        <w:t>This formula applies only to non-refrigerated liquefied gases which have critical temperatures well above the temperature at the accumulating condition. For gases which have critical temperatures near or below the temperature at the accumulating condition, the calculation of the pressure-relief device delivery capacity shall consider further thermodynamic properties of the gas (see, e.g. CGA S-1.2-2003 Pressure Relief Device Standards – Part 2 – Cargo and Portable Tanks for Compressed Gases).</w:t>
      </w:r>
      <w:r>
        <w:t>”</w:t>
      </w:r>
    </w:p>
    <w:p w14:paraId="10FBF484" w14:textId="77777777" w:rsidR="00B62F64" w:rsidRDefault="00B62F64" w:rsidP="00B62F64">
      <w:pPr>
        <w:pStyle w:val="SingleTxtG"/>
        <w:ind w:left="1701"/>
        <w:rPr>
          <w:u w:val="single"/>
          <w:lang w:val="en-US"/>
        </w:rPr>
      </w:pPr>
    </w:p>
    <w:p w14:paraId="7E47D033" w14:textId="70D1FEEA" w:rsidR="00D27954" w:rsidRDefault="00D27954" w:rsidP="00D27954">
      <w:pPr>
        <w:pStyle w:val="H1G"/>
        <w:rPr>
          <w:lang w:val="en-US"/>
        </w:rPr>
      </w:pPr>
      <w:r>
        <w:rPr>
          <w:lang w:val="en-US"/>
        </w:rPr>
        <w:tab/>
      </w:r>
      <w:r>
        <w:rPr>
          <w:lang w:val="en-US"/>
        </w:rPr>
        <w:tab/>
      </w:r>
      <w:r w:rsidR="00B62F64" w:rsidRPr="001F5FA9">
        <w:rPr>
          <w:lang w:val="en-US"/>
        </w:rPr>
        <w:t>Justification</w:t>
      </w:r>
    </w:p>
    <w:p w14:paraId="2CE0304A" w14:textId="7777122B" w:rsidR="00B62F64" w:rsidRDefault="00D27954" w:rsidP="00D27954">
      <w:pPr>
        <w:pStyle w:val="SingleTxtG"/>
        <w:rPr>
          <w:lang w:val="en-US"/>
        </w:rPr>
      </w:pPr>
      <w:r>
        <w:rPr>
          <w:lang w:val="en-US"/>
        </w:rPr>
        <w:tab/>
        <w:t>2</w:t>
      </w:r>
      <w:r w:rsidR="00317769">
        <w:rPr>
          <w:lang w:val="en-US"/>
        </w:rPr>
        <w:t>0</w:t>
      </w:r>
      <w:r>
        <w:rPr>
          <w:lang w:val="en-US"/>
        </w:rPr>
        <w:t>.</w:t>
      </w:r>
      <w:r>
        <w:rPr>
          <w:lang w:val="en-US"/>
        </w:rPr>
        <w:tab/>
      </w:r>
      <w:r w:rsidR="00B62F64" w:rsidRPr="001F5FA9">
        <w:rPr>
          <w:lang w:val="en-US"/>
        </w:rPr>
        <w:t xml:space="preserve">The </w:t>
      </w:r>
      <w:r w:rsidR="00B62F64">
        <w:rPr>
          <w:lang w:val="en-US"/>
        </w:rPr>
        <w:t xml:space="preserve">information noted in the footnote is required for the user to </w:t>
      </w:r>
      <w:proofErr w:type="gramStart"/>
      <w:r w:rsidR="00B62F64">
        <w:rPr>
          <w:lang w:val="en-US"/>
        </w:rPr>
        <w:t>make a determination</w:t>
      </w:r>
      <w:proofErr w:type="gramEnd"/>
      <w:r w:rsidR="00B62F64">
        <w:rPr>
          <w:lang w:val="en-US"/>
        </w:rPr>
        <w:t xml:space="preserve"> on the applicability of the formula to their shipment</w:t>
      </w:r>
      <w:r w:rsidR="00B62F64" w:rsidRPr="001F5FA9">
        <w:rPr>
          <w:lang w:val="en-US"/>
        </w:rPr>
        <w:t>.</w:t>
      </w:r>
      <w:r w:rsidR="00B62F64">
        <w:rPr>
          <w:lang w:val="en-US"/>
        </w:rPr>
        <w:t xml:space="preserve"> Moving the text from a footnote to a note </w:t>
      </w:r>
      <w:r w:rsidR="00B62F64" w:rsidRPr="00B37138">
        <w:rPr>
          <w:lang w:val="en-US"/>
        </w:rPr>
        <w:t xml:space="preserve">should have no impact on shippers or </w:t>
      </w:r>
      <w:r w:rsidR="00317769" w:rsidRPr="00B37138">
        <w:rPr>
          <w:lang w:val="en-US"/>
        </w:rPr>
        <w:t>carriers but</w:t>
      </w:r>
      <w:r w:rsidR="00B62F64" w:rsidRPr="00B37138">
        <w:rPr>
          <w:lang w:val="en-US"/>
        </w:rPr>
        <w:t xml:space="preserve"> would facilitate the </w:t>
      </w:r>
      <w:r w:rsidR="00B62F64">
        <w:rPr>
          <w:lang w:val="en-US"/>
        </w:rPr>
        <w:t xml:space="preserve">information and associated </w:t>
      </w:r>
      <w:r w:rsidR="00B62F64" w:rsidRPr="00B37138">
        <w:rPr>
          <w:lang w:val="en-US"/>
        </w:rPr>
        <w:t>reference carrying over to the authentic text of the IMDG Code.</w:t>
      </w:r>
    </w:p>
    <w:p w14:paraId="40B2DFA8" w14:textId="5A8BCF73" w:rsidR="00317769" w:rsidRDefault="00317769" w:rsidP="00317769">
      <w:pPr>
        <w:pStyle w:val="H1G"/>
        <w:rPr>
          <w:lang w:val="en-US"/>
        </w:rPr>
      </w:pPr>
      <w:r>
        <w:rPr>
          <w:lang w:val="en-US"/>
        </w:rPr>
        <w:tab/>
      </w:r>
      <w:r>
        <w:rPr>
          <w:lang w:val="en-US"/>
        </w:rPr>
        <w:tab/>
        <w:t>Proposal 7</w:t>
      </w:r>
    </w:p>
    <w:p w14:paraId="44D8465F" w14:textId="27B7B1B0" w:rsidR="00B62F64" w:rsidRDefault="00D27954" w:rsidP="00D27954">
      <w:pPr>
        <w:pStyle w:val="SingleTxtG"/>
        <w:rPr>
          <w:lang w:val="en-US"/>
        </w:rPr>
      </w:pPr>
      <w:r>
        <w:rPr>
          <w:lang w:val="en-US"/>
        </w:rPr>
        <w:t>2</w:t>
      </w:r>
      <w:r w:rsidR="00317769">
        <w:rPr>
          <w:lang w:val="en-US"/>
        </w:rPr>
        <w:t>1</w:t>
      </w:r>
      <w:r w:rsidR="00B62F64">
        <w:rPr>
          <w:lang w:val="en-US"/>
        </w:rPr>
        <w:t>.</w:t>
      </w:r>
      <w:r w:rsidR="00B62F64">
        <w:rPr>
          <w:lang w:val="en-US"/>
        </w:rPr>
        <w:tab/>
        <w:t>In 7.1.5.3.2(b) (7.3.7.2.3 of the IMDG Code) delete the footnote to read as follows:</w:t>
      </w:r>
    </w:p>
    <w:p w14:paraId="38108387" w14:textId="77777777" w:rsidR="00B62F64" w:rsidRDefault="00B62F64" w:rsidP="00B62F64">
      <w:pPr>
        <w:pStyle w:val="SingleTxtG"/>
        <w:ind w:left="1701"/>
        <w:rPr>
          <w:lang w:val="en-US"/>
        </w:rPr>
      </w:pPr>
      <w:r>
        <w:rPr>
          <w:lang w:val="en-US"/>
        </w:rPr>
        <w:t>“(b) T</w:t>
      </w:r>
      <w:r w:rsidRPr="006556ED">
        <w:rPr>
          <w:lang w:val="en-US"/>
        </w:rPr>
        <w:t>he self-accelerating decomposition temperature (SADT) or the s</w:t>
      </w:r>
      <w:r>
        <w:rPr>
          <w:lang w:val="en-US"/>
        </w:rPr>
        <w:t xml:space="preserve">elf-accelerating polymerization </w:t>
      </w:r>
      <w:r w:rsidRPr="006556ED">
        <w:rPr>
          <w:lang w:val="en-US"/>
        </w:rPr>
        <w:t>temperature (SAPT)</w:t>
      </w:r>
      <w:r w:rsidRPr="006556ED">
        <w:rPr>
          <w:strike/>
          <w:vertAlign w:val="superscript"/>
          <w:lang w:val="en-US"/>
        </w:rPr>
        <w:t>1</w:t>
      </w:r>
      <w:r w:rsidRPr="006556ED">
        <w:rPr>
          <w:strike/>
          <w:lang w:val="en-US"/>
        </w:rPr>
        <w:t xml:space="preserve"> </w:t>
      </w:r>
      <w:r w:rsidRPr="006556ED">
        <w:rPr>
          <w:lang w:val="en-US"/>
        </w:rPr>
        <w:t>determined for the substance (with or without chemica</w:t>
      </w:r>
      <w:r>
        <w:rPr>
          <w:lang w:val="en-US"/>
        </w:rPr>
        <w:t xml:space="preserve">l stabilization) as offered for </w:t>
      </w:r>
      <w:r w:rsidRPr="006556ED">
        <w:rPr>
          <w:lang w:val="en-US"/>
        </w:rPr>
        <w:t>transport is:</w:t>
      </w:r>
    </w:p>
    <w:p w14:paraId="50A25CBD" w14:textId="77777777" w:rsidR="00B62F64" w:rsidRPr="006556ED" w:rsidRDefault="00B62F64" w:rsidP="00B62F64">
      <w:pPr>
        <w:pStyle w:val="SingleTxtG"/>
        <w:ind w:firstLine="567"/>
        <w:rPr>
          <w:lang w:val="en-US"/>
        </w:rPr>
      </w:pPr>
      <w:r>
        <w:rPr>
          <w:lang w:val="en-US"/>
        </w:rPr>
        <w:t>(</w:t>
      </w:r>
      <w:proofErr w:type="spellStart"/>
      <w:r>
        <w:rPr>
          <w:lang w:val="en-US"/>
        </w:rPr>
        <w:t>i</w:t>
      </w:r>
      <w:proofErr w:type="spellEnd"/>
      <w:r>
        <w:rPr>
          <w:lang w:val="en-US"/>
        </w:rPr>
        <w:t>)</w:t>
      </w:r>
      <w:r w:rsidRPr="006556ED">
        <w:rPr>
          <w:lang w:val="en-US"/>
        </w:rPr>
        <w:t xml:space="preserve"> 50°C or less for single packagings and IBCs; or</w:t>
      </w:r>
    </w:p>
    <w:p w14:paraId="7FCCAF46" w14:textId="77777777" w:rsidR="00B62F64" w:rsidRDefault="00B62F64" w:rsidP="00B62F64">
      <w:pPr>
        <w:pStyle w:val="SingleTxtG"/>
        <w:ind w:firstLine="567"/>
        <w:rPr>
          <w:lang w:val="en-US"/>
        </w:rPr>
      </w:pPr>
      <w:r>
        <w:rPr>
          <w:lang w:val="en-US"/>
        </w:rPr>
        <w:t>(ii)</w:t>
      </w:r>
      <w:r w:rsidRPr="006556ED">
        <w:rPr>
          <w:lang w:val="en-US"/>
        </w:rPr>
        <w:t xml:space="preserve"> 45°C or less for portable tanks.</w:t>
      </w:r>
    </w:p>
    <w:p w14:paraId="752C8848" w14:textId="1172F408" w:rsidR="00B62F64" w:rsidRDefault="00B62F64" w:rsidP="00B62F64">
      <w:pPr>
        <w:pStyle w:val="SingleTxtG"/>
        <w:ind w:left="1701"/>
        <w:rPr>
          <w:lang w:val="en-US"/>
        </w:rPr>
      </w:pPr>
      <w:r w:rsidRPr="006556ED">
        <w:rPr>
          <w:lang w:val="en-US"/>
        </w:rPr>
        <w:t xml:space="preserve">When chemical inhibition is not used to stabilize </w:t>
      </w:r>
      <w:r w:rsidRPr="00F91D63">
        <w:t>a reactive substance</w:t>
      </w:r>
      <w:r w:rsidR="00F91D63">
        <w:t>,</w:t>
      </w:r>
      <w:r w:rsidRPr="00F91D63">
        <w:t xml:space="preserve"> which may generate dangerous amounts of heat and gas, or vapour, under normal transport conditions, these substances need to be transported under temperature control. These provisions do not apply to substances which are stabilized by the addition</w:t>
      </w:r>
      <w:r w:rsidRPr="006556ED">
        <w:rPr>
          <w:lang w:val="en-US"/>
        </w:rPr>
        <w:t xml:space="preserve"> of chemical inhibitors such that the SADT or the SAPT is </w:t>
      </w:r>
      <w:r>
        <w:rPr>
          <w:lang w:val="en-US"/>
        </w:rPr>
        <w:t xml:space="preserve">greater than that prescribed in </w:t>
      </w:r>
      <w:r w:rsidRPr="006556ED">
        <w:rPr>
          <w:lang w:val="en-US"/>
        </w:rPr>
        <w:t>paragraphs 7.3.7.2.3.2.1 or 7.3.7.2.3.2.2.</w:t>
      </w:r>
    </w:p>
    <w:p w14:paraId="5344E34E" w14:textId="77777777" w:rsidR="00B62F64" w:rsidRDefault="00B62F64" w:rsidP="00B62F64">
      <w:pPr>
        <w:pStyle w:val="SingleTxtG"/>
        <w:ind w:left="1701"/>
        <w:rPr>
          <w:lang w:val="en-US"/>
        </w:rPr>
      </w:pPr>
      <w:r w:rsidRPr="006556ED">
        <w:rPr>
          <w:strike/>
          <w:vertAlign w:val="superscript"/>
          <w:lang w:val="en-US"/>
        </w:rPr>
        <w:t>1</w:t>
      </w:r>
      <w:r w:rsidRPr="006556ED">
        <w:rPr>
          <w:strike/>
          <w:lang w:val="en-US"/>
        </w:rPr>
        <w:t xml:space="preserve"> The SAPT shall be determined in accordance with the test procedures established for the SADT for self-reactive substances in accordance with part II, section 28 of the Manual of Tests and Criteria</w:t>
      </w:r>
      <w:r w:rsidRPr="006556ED">
        <w:rPr>
          <w:lang w:val="en-US"/>
        </w:rPr>
        <w:t>.</w:t>
      </w:r>
      <w:r>
        <w:rPr>
          <w:lang w:val="en-US"/>
        </w:rPr>
        <w:t>”</w:t>
      </w:r>
    </w:p>
    <w:p w14:paraId="7FF6000C" w14:textId="09E9ABE6" w:rsidR="00D27954" w:rsidRDefault="00D27954" w:rsidP="00D27954">
      <w:pPr>
        <w:pStyle w:val="H1G"/>
        <w:rPr>
          <w:lang w:val="en-US"/>
        </w:rPr>
      </w:pPr>
      <w:r>
        <w:rPr>
          <w:lang w:val="en-US"/>
        </w:rPr>
        <w:tab/>
      </w:r>
      <w:r>
        <w:rPr>
          <w:lang w:val="en-US"/>
        </w:rPr>
        <w:tab/>
      </w:r>
      <w:r w:rsidR="00B62F64" w:rsidRPr="006556ED">
        <w:rPr>
          <w:lang w:val="en-US"/>
        </w:rPr>
        <w:t>Justification</w:t>
      </w:r>
    </w:p>
    <w:p w14:paraId="2FA89E39" w14:textId="760EC7E1" w:rsidR="00B62F64" w:rsidRPr="006556ED" w:rsidRDefault="00D27954" w:rsidP="00B62F64">
      <w:pPr>
        <w:pStyle w:val="SingleTxtG"/>
        <w:rPr>
          <w:b/>
          <w:lang w:val="en-US"/>
        </w:rPr>
      </w:pPr>
      <w:r>
        <w:rPr>
          <w:lang w:val="en-US"/>
        </w:rPr>
        <w:tab/>
        <w:t>2</w:t>
      </w:r>
      <w:r w:rsidR="00317769">
        <w:rPr>
          <w:lang w:val="en-US"/>
        </w:rPr>
        <w:t>2</w:t>
      </w:r>
      <w:r>
        <w:rPr>
          <w:lang w:val="en-US"/>
        </w:rPr>
        <w:t>.</w:t>
      </w:r>
      <w:r>
        <w:rPr>
          <w:lang w:val="en-US"/>
        </w:rPr>
        <w:tab/>
      </w:r>
      <w:r w:rsidR="00B62F64">
        <w:rPr>
          <w:lang w:val="en-US"/>
        </w:rPr>
        <w:t>The definition of self-accelerating polymerization temperature in section 1.2.1 already contains this exact wording and applies to any use of the term.</w:t>
      </w:r>
    </w:p>
    <w:p w14:paraId="3C2F34FB" w14:textId="77777777" w:rsidR="00B62F64" w:rsidRPr="006B1BE6" w:rsidRDefault="00B62F64" w:rsidP="00B62F64">
      <w:pPr>
        <w:spacing w:before="240"/>
        <w:jc w:val="center"/>
        <w:rPr>
          <w:u w:val="single"/>
        </w:rPr>
      </w:pPr>
      <w:r>
        <w:rPr>
          <w:u w:val="single"/>
        </w:rPr>
        <w:tab/>
      </w:r>
      <w:r>
        <w:rPr>
          <w:u w:val="single"/>
        </w:rPr>
        <w:tab/>
      </w:r>
      <w:r>
        <w:rPr>
          <w:u w:val="single"/>
        </w:rPr>
        <w:tab/>
      </w:r>
    </w:p>
    <w:sectPr w:rsidR="00B62F64" w:rsidRPr="006B1BE6" w:rsidSect="00B331C3">
      <w:headerReference w:type="even" r:id="rId9"/>
      <w:headerReference w:type="default" r:id="rId10"/>
      <w:footerReference w:type="even" r:id="rId11"/>
      <w:footerReference w:type="default" r:id="rId12"/>
      <w:headerReference w:type="first" r:id="rId13"/>
      <w:footerReference w:type="first" r:id="rId14"/>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A82CA" w14:textId="77777777" w:rsidR="00B331C3" w:rsidRPr="00C47B2E" w:rsidRDefault="00B331C3" w:rsidP="00C47B2E">
      <w:pPr>
        <w:pStyle w:val="Footer"/>
      </w:pPr>
    </w:p>
  </w:endnote>
  <w:endnote w:type="continuationSeparator" w:id="0">
    <w:p w14:paraId="0449F1D4" w14:textId="77777777" w:rsidR="00B331C3" w:rsidRPr="00C47B2E" w:rsidRDefault="00B331C3" w:rsidP="00C47B2E">
      <w:pPr>
        <w:pStyle w:val="Footer"/>
      </w:pPr>
    </w:p>
  </w:endnote>
  <w:endnote w:type="continuationNotice" w:id="1">
    <w:p w14:paraId="59E70F5D" w14:textId="77777777" w:rsidR="00B331C3" w:rsidRPr="00C47B2E" w:rsidRDefault="00B331C3"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89D35" w14:textId="77777777" w:rsidR="00D94B05" w:rsidRPr="00B331C3" w:rsidRDefault="00B331C3" w:rsidP="00B331C3">
    <w:pPr>
      <w:pStyle w:val="Footer"/>
      <w:tabs>
        <w:tab w:val="right" w:pos="9598"/>
        <w:tab w:val="right" w:pos="9638"/>
      </w:tabs>
      <w:rPr>
        <w:sz w:val="18"/>
      </w:rPr>
    </w:pPr>
    <w:r w:rsidRPr="00B331C3">
      <w:rPr>
        <w:b/>
        <w:sz w:val="18"/>
      </w:rPr>
      <w:fldChar w:fldCharType="begin"/>
    </w:r>
    <w:r w:rsidRPr="00B331C3">
      <w:rPr>
        <w:b/>
        <w:sz w:val="18"/>
      </w:rPr>
      <w:instrText xml:space="preserve"> PAGE  \* MERGEFORMAT </w:instrText>
    </w:r>
    <w:r w:rsidRPr="00B331C3">
      <w:rPr>
        <w:b/>
        <w:sz w:val="18"/>
      </w:rPr>
      <w:fldChar w:fldCharType="separate"/>
    </w:r>
    <w:r w:rsidRPr="00B331C3">
      <w:rPr>
        <w:b/>
        <w:noProof/>
        <w:sz w:val="18"/>
      </w:rPr>
      <w:t>2</w:t>
    </w:r>
    <w:r w:rsidRPr="00B331C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41314" w14:textId="77777777" w:rsidR="00D94B05" w:rsidRPr="00B331C3" w:rsidRDefault="00B331C3" w:rsidP="00B331C3">
    <w:pPr>
      <w:pStyle w:val="Footer"/>
      <w:tabs>
        <w:tab w:val="left" w:pos="5775"/>
        <w:tab w:val="right" w:pos="9598"/>
        <w:tab w:val="right" w:pos="9638"/>
      </w:tabs>
      <w:rPr>
        <w:sz w:val="18"/>
      </w:rPr>
    </w:pPr>
    <w:r>
      <w:rPr>
        <w:b/>
        <w:sz w:val="18"/>
      </w:rPr>
      <w:tab/>
    </w:r>
    <w:r w:rsidRPr="00B331C3">
      <w:rPr>
        <w:sz w:val="18"/>
      </w:rPr>
      <w:fldChar w:fldCharType="begin"/>
    </w:r>
    <w:r w:rsidRPr="00B331C3">
      <w:rPr>
        <w:sz w:val="18"/>
      </w:rPr>
      <w:instrText xml:space="preserve"> PAGE  \* MERGEFORMAT </w:instrText>
    </w:r>
    <w:r w:rsidRPr="00B331C3">
      <w:rPr>
        <w:sz w:val="18"/>
      </w:rPr>
      <w:fldChar w:fldCharType="separate"/>
    </w:r>
    <w:r w:rsidRPr="00B331C3">
      <w:rPr>
        <w:noProof/>
        <w:sz w:val="18"/>
      </w:rPr>
      <w:t>3</w:t>
    </w:r>
    <w:r w:rsidRPr="00B331C3">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60A48" w14:textId="77777777" w:rsidR="00D94B05" w:rsidRPr="00B331C3"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1C818FC3" wp14:editId="3174EA08">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FF65C" w14:textId="77777777" w:rsidR="00B331C3" w:rsidRPr="00C47B2E" w:rsidRDefault="00B331C3" w:rsidP="00C47B2E">
      <w:pPr>
        <w:tabs>
          <w:tab w:val="right" w:pos="2155"/>
        </w:tabs>
        <w:spacing w:after="80" w:line="240" w:lineRule="auto"/>
        <w:ind w:left="680"/>
      </w:pPr>
      <w:r>
        <w:rPr>
          <w:u w:val="single"/>
        </w:rPr>
        <w:tab/>
      </w:r>
    </w:p>
  </w:footnote>
  <w:footnote w:type="continuationSeparator" w:id="0">
    <w:p w14:paraId="29272243" w14:textId="77777777" w:rsidR="00B331C3" w:rsidRPr="00C47B2E" w:rsidRDefault="00B331C3" w:rsidP="005E716E">
      <w:pPr>
        <w:tabs>
          <w:tab w:val="right" w:pos="2155"/>
        </w:tabs>
        <w:spacing w:after="80" w:line="240" w:lineRule="auto"/>
        <w:ind w:left="680"/>
      </w:pPr>
      <w:r>
        <w:rPr>
          <w:u w:val="single"/>
        </w:rPr>
        <w:tab/>
      </w:r>
    </w:p>
  </w:footnote>
  <w:footnote w:type="continuationNotice" w:id="1">
    <w:p w14:paraId="64C3796C" w14:textId="77777777" w:rsidR="00B331C3" w:rsidRPr="00C47B2E" w:rsidRDefault="00B331C3" w:rsidP="00C47B2E">
      <w:pPr>
        <w:pStyle w:val="Footer"/>
      </w:pPr>
    </w:p>
  </w:footnote>
  <w:footnote w:id="2">
    <w:p w14:paraId="40CC17E8" w14:textId="0E9543C3" w:rsidR="00B62F64" w:rsidRPr="00B62F64" w:rsidRDefault="00B62F64" w:rsidP="00B62F64">
      <w:pPr>
        <w:pStyle w:val="FootnoteText"/>
        <w:tabs>
          <w:tab w:val="left" w:pos="1418"/>
        </w:tabs>
        <w:ind w:firstLine="0"/>
        <w:rPr>
          <w:lang w:val="fr-CH"/>
        </w:rPr>
      </w:pPr>
      <w:r>
        <w:rPr>
          <w:rStyle w:val="FootnoteReference"/>
        </w:rPr>
        <w:footnoteRef/>
      </w:r>
      <w:r>
        <w:t xml:space="preserve"> </w:t>
      </w:r>
      <w:r>
        <w:tab/>
      </w:r>
      <w:r w:rsidRPr="00493B59">
        <w:rPr>
          <w:lang w:val="en-US"/>
        </w:rPr>
        <w:t xml:space="preserve">2020 (A/74/6 (Sect.20) and Supplementary, </w:t>
      </w:r>
      <w:proofErr w:type="spellStart"/>
      <w:r w:rsidRPr="00493B59">
        <w:rPr>
          <w:lang w:val="en-US"/>
        </w:rPr>
        <w:t>Subprogramme</w:t>
      </w:r>
      <w:proofErr w:type="spellEnd"/>
      <w:r w:rsidRPr="00493B59">
        <w:rPr>
          <w:lang w:val="en-US"/>
        </w:rPr>
        <w:t xml:space="preserve"> 2</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3D81D" w14:textId="5E0DE5A3" w:rsidR="00B331C3" w:rsidRPr="00D82EF0" w:rsidRDefault="00D82EF0">
    <w:pPr>
      <w:pStyle w:val="Header"/>
      <w:rPr>
        <w:iCs/>
        <w:lang w:val="fr-CH"/>
      </w:rPr>
    </w:pPr>
    <w:r>
      <w:rPr>
        <w:iCs/>
        <w:lang w:val="fr-CH"/>
      </w:rPr>
      <w:t>ST/SG/AC.10/</w:t>
    </w:r>
    <w:bookmarkStart w:id="1" w:name="_GoBack"/>
    <w:bookmarkEnd w:id="1"/>
    <w:r>
      <w:rPr>
        <w:iCs/>
        <w:lang w:val="fr-CH"/>
      </w:rPr>
      <w:t>C.3/2020/74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D2C67" w14:textId="339DC9CE" w:rsidR="00D94B05" w:rsidRPr="00AF478C" w:rsidRDefault="00AF478C" w:rsidP="00B331C3">
    <w:pPr>
      <w:pStyle w:val="Header"/>
      <w:jc w:val="right"/>
      <w:rPr>
        <w:lang w:val="fr-CH"/>
      </w:rPr>
    </w:pPr>
    <w:r>
      <w:rPr>
        <w:lang w:val="fr-CH"/>
      </w:rPr>
      <w:t>ST/SG/AC.10/C.3/2020/74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C63BD" w14:textId="77777777" w:rsidR="00AF478C" w:rsidRDefault="00AF47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6"/>
  </w:num>
  <w:num w:numId="5">
    <w:abstractNumId w:val="7"/>
  </w:num>
  <w:num w:numId="6">
    <w:abstractNumId w:val="9"/>
  </w:num>
  <w:num w:numId="7">
    <w:abstractNumId w:val="3"/>
  </w:num>
  <w:num w:numId="8">
    <w:abstractNumId w:val="1"/>
  </w:num>
  <w:num w:numId="9">
    <w:abstractNumId w:val="8"/>
  </w:num>
  <w:num w:numId="10">
    <w:abstractNumId w:val="1"/>
  </w:num>
  <w:num w:numId="11">
    <w:abstractNumId w:val="8"/>
  </w:num>
  <w:num w:numId="12">
    <w:abstractNumId w:val="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567"/>
  <w:hyphenationZone w:val="425"/>
  <w:evenAndOddHeaders/>
  <w:characterSpacingControl w:val="doNotCompress"/>
  <w:hdrShapeDefaults>
    <o:shapedefaults v:ext="edit" spidmax="8193"/>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1C3"/>
    <w:rsid w:val="00046E92"/>
    <w:rsid w:val="00063C90"/>
    <w:rsid w:val="00101B98"/>
    <w:rsid w:val="001514D1"/>
    <w:rsid w:val="00247E2C"/>
    <w:rsid w:val="002A32CB"/>
    <w:rsid w:val="002D5B2C"/>
    <w:rsid w:val="002D6C53"/>
    <w:rsid w:val="002F5595"/>
    <w:rsid w:val="00317769"/>
    <w:rsid w:val="00334F6A"/>
    <w:rsid w:val="00342AC8"/>
    <w:rsid w:val="00343302"/>
    <w:rsid w:val="003548A0"/>
    <w:rsid w:val="003979DE"/>
    <w:rsid w:val="003B4550"/>
    <w:rsid w:val="003D2A18"/>
    <w:rsid w:val="00413386"/>
    <w:rsid w:val="00461253"/>
    <w:rsid w:val="004858F5"/>
    <w:rsid w:val="004A2814"/>
    <w:rsid w:val="004C0622"/>
    <w:rsid w:val="005042C2"/>
    <w:rsid w:val="005E716E"/>
    <w:rsid w:val="006476E1"/>
    <w:rsid w:val="006604DF"/>
    <w:rsid w:val="00671529"/>
    <w:rsid w:val="0070489D"/>
    <w:rsid w:val="007268F9"/>
    <w:rsid w:val="00750282"/>
    <w:rsid w:val="00764440"/>
    <w:rsid w:val="0077101B"/>
    <w:rsid w:val="007C52B0"/>
    <w:rsid w:val="007C6033"/>
    <w:rsid w:val="008147C8"/>
    <w:rsid w:val="0081753A"/>
    <w:rsid w:val="00822731"/>
    <w:rsid w:val="00857D23"/>
    <w:rsid w:val="00862919"/>
    <w:rsid w:val="009411B4"/>
    <w:rsid w:val="00946F1D"/>
    <w:rsid w:val="0094707F"/>
    <w:rsid w:val="009D0139"/>
    <w:rsid w:val="009D717D"/>
    <w:rsid w:val="009F5CDC"/>
    <w:rsid w:val="00A072D7"/>
    <w:rsid w:val="00A775CF"/>
    <w:rsid w:val="00AD1A9C"/>
    <w:rsid w:val="00AF478C"/>
    <w:rsid w:val="00AF5DE1"/>
    <w:rsid w:val="00B06045"/>
    <w:rsid w:val="00B206DD"/>
    <w:rsid w:val="00B331C3"/>
    <w:rsid w:val="00B52EF4"/>
    <w:rsid w:val="00B62F64"/>
    <w:rsid w:val="00B777AD"/>
    <w:rsid w:val="00C03015"/>
    <w:rsid w:val="00C0358D"/>
    <w:rsid w:val="00C35A27"/>
    <w:rsid w:val="00C47B2E"/>
    <w:rsid w:val="00D27954"/>
    <w:rsid w:val="00D36EE6"/>
    <w:rsid w:val="00D63CD2"/>
    <w:rsid w:val="00D82EF0"/>
    <w:rsid w:val="00D87DC2"/>
    <w:rsid w:val="00D94B05"/>
    <w:rsid w:val="00E02C2B"/>
    <w:rsid w:val="00E21C27"/>
    <w:rsid w:val="00E26BCF"/>
    <w:rsid w:val="00E52109"/>
    <w:rsid w:val="00E75317"/>
    <w:rsid w:val="00EC0CE6"/>
    <w:rsid w:val="00EC7C1D"/>
    <w:rsid w:val="00ED6C48"/>
    <w:rsid w:val="00EE3045"/>
    <w:rsid w:val="00F51983"/>
    <w:rsid w:val="00F614EA"/>
    <w:rsid w:val="00F65F5D"/>
    <w:rsid w:val="00F86A3A"/>
    <w:rsid w:val="00F91D63"/>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43059A"/>
  <w15:docId w15:val="{01D11BF5-B45D-481F-BE15-9DEB3ABA6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B62F64"/>
    <w:rPr>
      <w:b/>
      <w:sz w:val="28"/>
    </w:rPr>
  </w:style>
  <w:style w:type="character" w:customStyle="1" w:styleId="SingleTxtGChar">
    <w:name w:val="_ Single Txt_G Char"/>
    <w:link w:val="SingleTxtG"/>
    <w:qFormat/>
    <w:rsid w:val="00B62F64"/>
  </w:style>
  <w:style w:type="character" w:customStyle="1" w:styleId="H1GChar">
    <w:name w:val="_ H_1_G Char"/>
    <w:link w:val="H1G"/>
    <w:locked/>
    <w:rsid w:val="00B62F64"/>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2E65C-556C-4B93-AF1F-CCA05EAB0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60</TotalTime>
  <Pages>4</Pages>
  <Words>1573</Words>
  <Characters>8802</Characters>
  <Application>Microsoft Office Word</Application>
  <DocSecurity>0</DocSecurity>
  <Lines>166</Lines>
  <Paragraphs>71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ST/SG/AC.10/C.3/2020/75</vt:lpstr>
      <vt:lpstr>ST/SG/AC.10/C.3/2020/75</vt:lpstr>
    </vt:vector>
  </TitlesOfParts>
  <Company/>
  <LinksUpToDate>false</LinksUpToDate>
  <CharactersWithSpaces>10359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ST/SG/AC.10/C.3/2020/75</dc:title>
  <dc:subject/>
  <dc:creator>Editorial</dc:creator>
  <cp:lastModifiedBy>Laurence Berthet</cp:lastModifiedBy>
  <cp:revision>9</cp:revision>
  <cp:lastPrinted>2020-09-15T16:52:00Z</cp:lastPrinted>
  <dcterms:created xsi:type="dcterms:W3CDTF">2020-09-06T16:58:00Z</dcterms:created>
  <dcterms:modified xsi:type="dcterms:W3CDTF">2020-09-15T16:55:00Z</dcterms:modified>
</cp:coreProperties>
</file>