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55A5DBD" w14:textId="77777777" w:rsidTr="006476E1">
        <w:trPr>
          <w:trHeight w:val="851"/>
        </w:trPr>
        <w:tc>
          <w:tcPr>
            <w:tcW w:w="1259" w:type="dxa"/>
            <w:tcBorders>
              <w:top w:val="nil"/>
              <w:left w:val="nil"/>
              <w:bottom w:val="single" w:sz="4" w:space="0" w:color="auto"/>
              <w:right w:val="nil"/>
            </w:tcBorders>
          </w:tcPr>
          <w:p w14:paraId="28137F32" w14:textId="77777777" w:rsidR="00E52109" w:rsidRPr="002A32CB" w:rsidRDefault="00E52109" w:rsidP="004858F5"/>
        </w:tc>
        <w:tc>
          <w:tcPr>
            <w:tcW w:w="2236" w:type="dxa"/>
            <w:tcBorders>
              <w:top w:val="nil"/>
              <w:left w:val="nil"/>
              <w:bottom w:val="single" w:sz="4" w:space="0" w:color="auto"/>
              <w:right w:val="nil"/>
            </w:tcBorders>
            <w:vAlign w:val="bottom"/>
          </w:tcPr>
          <w:p w14:paraId="0F03624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FDE11B7" w14:textId="13B6D4C8" w:rsidR="00E52109" w:rsidRDefault="006A2EE1" w:rsidP="006A2EE1">
            <w:pPr>
              <w:suppressAutoHyphens w:val="0"/>
              <w:jc w:val="right"/>
            </w:pPr>
            <w:r w:rsidRPr="006A2EE1">
              <w:rPr>
                <w:sz w:val="40"/>
              </w:rPr>
              <w:t>ST</w:t>
            </w:r>
            <w:r>
              <w:t>/SG/AC.10/C.3/2020/72</w:t>
            </w:r>
          </w:p>
        </w:tc>
      </w:tr>
      <w:tr w:rsidR="00E52109" w14:paraId="01E02860" w14:textId="77777777" w:rsidTr="006476E1">
        <w:trPr>
          <w:trHeight w:val="2835"/>
        </w:trPr>
        <w:tc>
          <w:tcPr>
            <w:tcW w:w="1259" w:type="dxa"/>
            <w:tcBorders>
              <w:top w:val="single" w:sz="4" w:space="0" w:color="auto"/>
              <w:left w:val="nil"/>
              <w:bottom w:val="single" w:sz="12" w:space="0" w:color="auto"/>
              <w:right w:val="nil"/>
            </w:tcBorders>
          </w:tcPr>
          <w:p w14:paraId="06CB07B6" w14:textId="77777777" w:rsidR="00E52109" w:rsidRDefault="00E52109" w:rsidP="006476E1">
            <w:pPr>
              <w:spacing w:before="120"/>
              <w:jc w:val="center"/>
            </w:pPr>
            <w:r>
              <w:rPr>
                <w:noProof/>
                <w:lang w:val="fr-CH" w:eastAsia="fr-CH"/>
              </w:rPr>
              <w:drawing>
                <wp:inline distT="0" distB="0" distL="0" distR="0" wp14:anchorId="499CBEC6" wp14:editId="1D4F7E4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5F381B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BEB4C8F" w14:textId="77777777" w:rsidR="00D94B05" w:rsidRDefault="006A2EE1" w:rsidP="006A2EE1">
            <w:pPr>
              <w:suppressAutoHyphens w:val="0"/>
              <w:spacing w:before="240" w:line="240" w:lineRule="exact"/>
            </w:pPr>
            <w:r>
              <w:t>Distr.: General</w:t>
            </w:r>
          </w:p>
          <w:p w14:paraId="07B73834" w14:textId="77777777" w:rsidR="006A2EE1" w:rsidRDefault="006A2EE1" w:rsidP="006A2EE1">
            <w:pPr>
              <w:suppressAutoHyphens w:val="0"/>
              <w:spacing w:line="240" w:lineRule="exact"/>
            </w:pPr>
            <w:r>
              <w:t>7 September 2020</w:t>
            </w:r>
          </w:p>
          <w:p w14:paraId="18C9B66F" w14:textId="77777777" w:rsidR="006A2EE1" w:rsidRDefault="006A2EE1" w:rsidP="006A2EE1">
            <w:pPr>
              <w:suppressAutoHyphens w:val="0"/>
              <w:spacing w:line="240" w:lineRule="exact"/>
            </w:pPr>
          </w:p>
          <w:p w14:paraId="59C551CE" w14:textId="0D687BAC" w:rsidR="006A2EE1" w:rsidRDefault="006A2EE1" w:rsidP="006A2EE1">
            <w:pPr>
              <w:suppressAutoHyphens w:val="0"/>
              <w:spacing w:line="240" w:lineRule="exact"/>
            </w:pPr>
            <w:r>
              <w:t>Original: English</w:t>
            </w:r>
          </w:p>
        </w:tc>
      </w:tr>
    </w:tbl>
    <w:p w14:paraId="7F58EB87" w14:textId="77777777" w:rsidR="002A55A6" w:rsidRPr="006500BA" w:rsidRDefault="002A55A6"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15088F1" w14:textId="77777777" w:rsidR="002A55A6" w:rsidRPr="006500BA" w:rsidRDefault="002A55A6" w:rsidP="004858F5">
      <w:pPr>
        <w:spacing w:before="120"/>
        <w:rPr>
          <w:rFonts w:ascii="Helv" w:hAnsi="Helv" w:cs="Helv"/>
          <w:b/>
          <w:color w:val="000000"/>
        </w:rPr>
      </w:pPr>
      <w:r w:rsidRPr="006500BA">
        <w:rPr>
          <w:b/>
        </w:rPr>
        <w:t xml:space="preserve">Sub-Committee of Experts on the </w:t>
      </w:r>
      <w:r>
        <w:rPr>
          <w:b/>
        </w:rPr>
        <w:t>Transport of Dangerous Goods</w:t>
      </w:r>
    </w:p>
    <w:p w14:paraId="59A2326E" w14:textId="695A89DE" w:rsidR="002A55A6" w:rsidRPr="006500BA" w:rsidRDefault="002A55A6" w:rsidP="004858F5">
      <w:pPr>
        <w:spacing w:before="120"/>
        <w:rPr>
          <w:b/>
        </w:rPr>
      </w:pPr>
      <w:r>
        <w:rPr>
          <w:b/>
        </w:rPr>
        <w:t xml:space="preserve">Fifty-seventh </w:t>
      </w:r>
      <w:r w:rsidRPr="006500BA">
        <w:rPr>
          <w:b/>
        </w:rPr>
        <w:t>session</w:t>
      </w:r>
    </w:p>
    <w:p w14:paraId="3E759E99" w14:textId="4900D7C4" w:rsidR="002A55A6" w:rsidRPr="006500BA" w:rsidRDefault="002A55A6" w:rsidP="004858F5">
      <w:r w:rsidRPr="006500BA">
        <w:t xml:space="preserve">Geneva, </w:t>
      </w:r>
      <w:r>
        <w:t xml:space="preserve">30 November-8 December 2020 </w:t>
      </w:r>
    </w:p>
    <w:p w14:paraId="415217FE" w14:textId="273D1A8B" w:rsidR="002A55A6" w:rsidRPr="006500BA" w:rsidRDefault="002A55A6" w:rsidP="004858F5">
      <w:r w:rsidRPr="006500BA">
        <w:t xml:space="preserve">Item </w:t>
      </w:r>
      <w:r>
        <w:t>3</w:t>
      </w:r>
      <w:r w:rsidRPr="006500BA">
        <w:t xml:space="preserve"> of the provisional agenda</w:t>
      </w:r>
    </w:p>
    <w:p w14:paraId="17CBA911" w14:textId="621E4256" w:rsidR="00AF5DE1" w:rsidRPr="002A55A6" w:rsidRDefault="002A55A6" w:rsidP="004858F5">
      <w:pPr>
        <w:rPr>
          <w:b/>
          <w:bCs/>
        </w:rPr>
      </w:pPr>
      <w:r w:rsidRPr="002A55A6">
        <w:rPr>
          <w:b/>
          <w:bCs/>
        </w:rPr>
        <w:t>Listing, classification and packing</w:t>
      </w:r>
    </w:p>
    <w:p w14:paraId="1D8CD9B6" w14:textId="5E1A9F7D" w:rsidR="002A55A6" w:rsidRDefault="002A55A6" w:rsidP="002A55A6">
      <w:pPr>
        <w:pStyle w:val="HChG"/>
        <w:rPr>
          <w:lang w:val="en-US"/>
        </w:rPr>
      </w:pPr>
      <w:r>
        <w:rPr>
          <w:lang w:val="en-US"/>
        </w:rPr>
        <w:tab/>
      </w:r>
      <w:r>
        <w:rPr>
          <w:lang w:val="en-US"/>
        </w:rPr>
        <w:tab/>
        <w:t>Classification of UN</w:t>
      </w:r>
      <w:r w:rsidR="00AC1CA0">
        <w:rPr>
          <w:lang w:val="en-US"/>
        </w:rPr>
        <w:t xml:space="preserve"> </w:t>
      </w:r>
      <w:r>
        <w:rPr>
          <w:lang w:val="en-US"/>
        </w:rPr>
        <w:t>1891 ETHYL BROMIDE</w:t>
      </w:r>
    </w:p>
    <w:p w14:paraId="01F3D4F2" w14:textId="583875CB" w:rsidR="002A55A6" w:rsidRDefault="002A55A6" w:rsidP="002A55A6">
      <w:pPr>
        <w:pStyle w:val="H1G"/>
        <w:rPr>
          <w:lang w:val="en-US"/>
        </w:rPr>
      </w:pPr>
      <w:r>
        <w:rPr>
          <w:lang w:val="en-US"/>
        </w:rPr>
        <w:tab/>
      </w:r>
      <w:r>
        <w:rPr>
          <w:lang w:val="en-US"/>
        </w:rPr>
        <w:tab/>
      </w:r>
      <w:r w:rsidRPr="00CD33CA">
        <w:rPr>
          <w:lang w:val="en-US"/>
        </w:rPr>
        <w:t>Transmitted by the expert from Belgium</w:t>
      </w:r>
      <w:r>
        <w:rPr>
          <w:rStyle w:val="FootnoteReference"/>
          <w:lang w:val="en-US"/>
        </w:rPr>
        <w:footnoteReference w:id="2"/>
      </w:r>
    </w:p>
    <w:p w14:paraId="7DFD3F4E" w14:textId="6CE22D2A" w:rsidR="002A55A6" w:rsidRDefault="002A55A6" w:rsidP="002A55A6">
      <w:pPr>
        <w:pStyle w:val="H1G"/>
      </w:pPr>
      <w:r>
        <w:tab/>
      </w:r>
      <w:r>
        <w:tab/>
        <w:t>Introduction</w:t>
      </w:r>
    </w:p>
    <w:p w14:paraId="77727E7B" w14:textId="69861CCC" w:rsidR="002A55A6" w:rsidRDefault="002A55A6" w:rsidP="002A55A6">
      <w:pPr>
        <w:pStyle w:val="SingleTxtG"/>
      </w:pPr>
      <w:r>
        <w:t>1.</w:t>
      </w:r>
      <w:r>
        <w:tab/>
        <w:t>During the fifty-sixth session</w:t>
      </w:r>
      <w:r w:rsidR="00D609C2">
        <w:t>,</w:t>
      </w:r>
      <w:r>
        <w:t xml:space="preserve"> Belgium presented informal document </w:t>
      </w:r>
      <w:r w:rsidRPr="00CC110F">
        <w:t>INF.1</w:t>
      </w:r>
      <w:r>
        <w:t>1 (</w:t>
      </w:r>
      <w:r w:rsidR="00D609C2">
        <w:t>fifty-sixth</w:t>
      </w:r>
      <w:r>
        <w:t xml:space="preserve"> session) in which it was explained that there are scientific data indicating that UN</w:t>
      </w:r>
      <w:r w:rsidR="00D609C2">
        <w:t> </w:t>
      </w:r>
      <w:r>
        <w:t>1891 ETHYL BROMIDE is currently not classified according to the dangers it holds.</w:t>
      </w:r>
    </w:p>
    <w:p w14:paraId="7068CAC3" w14:textId="6B1CFAEF" w:rsidR="002A55A6" w:rsidRDefault="002A55A6" w:rsidP="002A55A6">
      <w:pPr>
        <w:pStyle w:val="SingleTxtG"/>
      </w:pPr>
      <w:r>
        <w:tab/>
        <w:t>2.</w:t>
      </w:r>
      <w:r>
        <w:tab/>
        <w:t>More specifically, different data sources show that its flash point (-20</w:t>
      </w:r>
      <w:r w:rsidR="00D609C2">
        <w:t> </w:t>
      </w:r>
      <w:r>
        <w:t>°C) and its boiling point (38</w:t>
      </w:r>
      <w:r w:rsidR="00D609C2">
        <w:t xml:space="preserve"> </w:t>
      </w:r>
      <w:r>
        <w:t>°C) clearly meet the criteria for inclusion in class 3, PGII (i.e. flash point &lt;</w:t>
      </w:r>
      <w:r w:rsidR="00D609C2">
        <w:t> </w:t>
      </w:r>
      <w:r>
        <w:t>23</w:t>
      </w:r>
      <w:r w:rsidR="00D609C2">
        <w:t> </w:t>
      </w:r>
      <w:r>
        <w:t>°C and boiling point &gt;</w:t>
      </w:r>
      <w:r w:rsidR="00D609C2">
        <w:t xml:space="preserve"> </w:t>
      </w:r>
      <w:r>
        <w:t>35</w:t>
      </w:r>
      <w:r w:rsidR="00D609C2">
        <w:t xml:space="preserve"> </w:t>
      </w:r>
      <w:r>
        <w:t xml:space="preserve">°C, see 2.3.2.6.). </w:t>
      </w:r>
      <w:r w:rsidR="00D609C2">
        <w:t>Further</w:t>
      </w:r>
      <w:r>
        <w:t xml:space="preserve">more, as also explained in informal document </w:t>
      </w:r>
      <w:r w:rsidRPr="00CC110F">
        <w:t>INF.1</w:t>
      </w:r>
      <w:r>
        <w:t>1 (</w:t>
      </w:r>
      <w:r w:rsidR="00D609C2">
        <w:t xml:space="preserve">fifty-sixth </w:t>
      </w:r>
      <w:r>
        <w:t>session), when taking into account the current classification of UN</w:t>
      </w:r>
      <w:r w:rsidR="00D609C2">
        <w:t> </w:t>
      </w:r>
      <w:r>
        <w:t>1891 as a division 6.1, PGII substance, it seems that UN</w:t>
      </w:r>
      <w:r w:rsidR="00D609C2">
        <w:t xml:space="preserve"> </w:t>
      </w:r>
      <w:r>
        <w:t>1891 should rather be classified as a class 3, PGII substance with division 6.1 as a subsidiary hazard</w:t>
      </w:r>
      <w:r w:rsidR="00D609C2">
        <w:t>,</w:t>
      </w:r>
      <w:r>
        <w:t xml:space="preserve"> when applying the precedence of hazard principles given in 2.0.3.3.</w:t>
      </w:r>
    </w:p>
    <w:p w14:paraId="12D0CBEB" w14:textId="06B4AC95" w:rsidR="002A55A6" w:rsidRDefault="002A55A6" w:rsidP="002A55A6">
      <w:pPr>
        <w:pStyle w:val="SingleTxtG"/>
      </w:pPr>
      <w:r>
        <w:tab/>
        <w:t>3.</w:t>
      </w:r>
      <w:r>
        <w:tab/>
        <w:t xml:space="preserve">As already pointed out in informal document </w:t>
      </w:r>
      <w:r w:rsidRPr="00CC110F">
        <w:t>INF.1</w:t>
      </w:r>
      <w:r>
        <w:t>1 (</w:t>
      </w:r>
      <w:r w:rsidR="00D609C2">
        <w:t xml:space="preserve">fifty-sixth </w:t>
      </w:r>
      <w:r>
        <w:t>session)</w:t>
      </w:r>
      <w:r w:rsidR="00D609C2">
        <w:t>,</w:t>
      </w:r>
      <w:r>
        <w:t xml:space="preserve"> the European CLP-regulation also indicates that the primary hazard of this substance is flammability rather than toxicity, because it is categorized as a category 2 flammable liquid, while classifying as category 4 for both acute oral toxicity and acute toxicity by inhalation.</w:t>
      </w:r>
    </w:p>
    <w:p w14:paraId="7BD19C76" w14:textId="70A58AC7" w:rsidR="002A55A6" w:rsidRDefault="002A55A6" w:rsidP="002A55A6">
      <w:pPr>
        <w:pStyle w:val="SingleTxtG"/>
      </w:pPr>
      <w:r>
        <w:tab/>
        <w:t>4.</w:t>
      </w:r>
      <w:r>
        <w:tab/>
        <w:t>Besides showing that the primary hazard should be flammability rather than toxicity</w:t>
      </w:r>
      <w:r w:rsidRPr="00EC4421">
        <w:t xml:space="preserve">, the scientific data obtained </w:t>
      </w:r>
      <w:r>
        <w:t xml:space="preserve">raise doubts whether </w:t>
      </w:r>
      <w:r w:rsidRPr="00EC4421">
        <w:t>UN</w:t>
      </w:r>
      <w:r w:rsidR="00D609C2">
        <w:t xml:space="preserve"> </w:t>
      </w:r>
      <w:r w:rsidRPr="00EC4421">
        <w:t xml:space="preserve">1891 actually meets the criteria for inclusion into </w:t>
      </w:r>
      <w:r>
        <w:t xml:space="preserve">division </w:t>
      </w:r>
      <w:r w:rsidRPr="00EC4421">
        <w:t xml:space="preserve">6.1 according to the principles of classification in the </w:t>
      </w:r>
      <w:r w:rsidR="00D609C2">
        <w:t xml:space="preserve">UN </w:t>
      </w:r>
      <w:r w:rsidRPr="00EC4421">
        <w:t>Model Regulations. The obtained value for the LD</w:t>
      </w:r>
      <w:r w:rsidRPr="00EC4421">
        <w:rPr>
          <w:vertAlign w:val="subscript"/>
        </w:rPr>
        <w:t>50</w:t>
      </w:r>
      <w:r w:rsidRPr="00EC4421">
        <w:t xml:space="preserve"> for oral toxicity (1350 mg/kg) is clearly above the upper limit for inclusion into </w:t>
      </w:r>
      <w:r>
        <w:t>division</w:t>
      </w:r>
      <w:r w:rsidRPr="00EC4421">
        <w:t xml:space="preserve"> 6.1 by oral toxicity (300 mg/kg, see 2.6.2.2.4.1). Additionally, none of the obtained data sources indicate that UN</w:t>
      </w:r>
      <w:r w:rsidR="00F85638">
        <w:t xml:space="preserve"> </w:t>
      </w:r>
      <w:r w:rsidRPr="00EC4421">
        <w:t>1891 is toxic through the dermal route.</w:t>
      </w:r>
    </w:p>
    <w:p w14:paraId="158E8DF0" w14:textId="018441D9" w:rsidR="002A55A6" w:rsidRPr="00EC4421" w:rsidRDefault="002A55A6" w:rsidP="002A55A6">
      <w:pPr>
        <w:pStyle w:val="SingleTxtG"/>
      </w:pPr>
      <w:r>
        <w:tab/>
        <w:t>5.</w:t>
      </w:r>
      <w:r>
        <w:tab/>
        <w:t>However</w:t>
      </w:r>
      <w:r w:rsidRPr="00EC4421">
        <w:t>, a</w:t>
      </w:r>
      <w:r>
        <w:t>fter reanalysing the obtained data for toxicity by inhalation</w:t>
      </w:r>
      <w:r w:rsidR="00F85638">
        <w:t>,</w:t>
      </w:r>
      <w:r>
        <w:t xml:space="preserve"> doubt still exists whether one can conclude that ethyl bromide does or does not meet the criteria for toxicity by inhalation of vapours given in 2.6.2.2.4.3 of the Model Regulations. Nevertheless, the classification according to the CLP-regulation (i.e. category 4 for acute toxicity by </w:t>
      </w:r>
      <w:r>
        <w:lastRenderedPageBreak/>
        <w:t>inhalation) suggests that UN</w:t>
      </w:r>
      <w:r w:rsidR="00F85638">
        <w:t xml:space="preserve"> </w:t>
      </w:r>
      <w:r>
        <w:t>1891 ETHYL BROMIDE should indeed not be classified as toxic by inhalation according to the Model Regulations because table A1.18 of the Annex 1 to the GHS indicates that category 4 for acute toxicity does not require classification as a division 6.1 substance according to the Model Regulations.</w:t>
      </w:r>
    </w:p>
    <w:p w14:paraId="129FE7BC" w14:textId="1F981C64" w:rsidR="002A55A6" w:rsidRDefault="002A55A6" w:rsidP="002A55A6">
      <w:pPr>
        <w:pStyle w:val="SingleTxtG"/>
      </w:pPr>
      <w:r>
        <w:tab/>
        <w:t>6.</w:t>
      </w:r>
      <w:r>
        <w:tab/>
        <w:t xml:space="preserve">When informal document </w:t>
      </w:r>
      <w:r w:rsidRPr="00CC110F">
        <w:t>INF.1</w:t>
      </w:r>
      <w:r>
        <w:t>1 (</w:t>
      </w:r>
      <w:r w:rsidR="00F85638">
        <w:t xml:space="preserve">fifty-sixth </w:t>
      </w:r>
      <w:r>
        <w:t>session) was discussed, the Sub-Committee agreed that the classification should be reconsidered and</w:t>
      </w:r>
      <w:r w:rsidR="00F85638">
        <w:t>,</w:t>
      </w:r>
      <w:r>
        <w:t xml:space="preserve"> with some reservation</w:t>
      </w:r>
      <w:r w:rsidR="00F85638">
        <w:t>,</w:t>
      </w:r>
      <w:r>
        <w:t xml:space="preserve"> support was expressed to reclassify UN</w:t>
      </w:r>
      <w:r w:rsidR="00F85638">
        <w:t xml:space="preserve"> </w:t>
      </w:r>
      <w:r>
        <w:t xml:space="preserve">1891 ETHYL BROMIDE as a class 3, packing group II substance. For the classification as a division 6.1 substance, a need for more data and a need to know the rationale or data supporting the original classification as a division 6.1 substance was expressed (see </w:t>
      </w:r>
      <w:r w:rsidRPr="00165632">
        <w:t>ST/SG/AC.10/C.3/112</w:t>
      </w:r>
      <w:r>
        <w:t xml:space="preserve">, </w:t>
      </w:r>
      <w:r w:rsidR="00F85638">
        <w:t xml:space="preserve">para. </w:t>
      </w:r>
      <w:r>
        <w:t>39).</w:t>
      </w:r>
    </w:p>
    <w:p w14:paraId="1276A59C" w14:textId="30E657EF" w:rsidR="002A55A6" w:rsidRDefault="002A55A6" w:rsidP="002A55A6">
      <w:pPr>
        <w:pStyle w:val="SingleTxtG"/>
      </w:pPr>
      <w:r>
        <w:tab/>
        <w:t>7.</w:t>
      </w:r>
      <w:r>
        <w:tab/>
        <w:t>Considering the flammability, some data sources mention that the value of -20</w:t>
      </w:r>
      <w:r w:rsidR="00F85638">
        <w:t> </w:t>
      </w:r>
      <w:r>
        <w:t>°C for the flash point was obtained using the closed cup method, as such being in line with the requirements of table 2.3.2.6 of the Model Regulations. Additionally, in 2009, during the twenty</w:t>
      </w:r>
      <w:r w:rsidR="00F85638">
        <w:t>-</w:t>
      </w:r>
      <w:r>
        <w:t xml:space="preserve">second session of the </w:t>
      </w:r>
      <w:r w:rsidR="00F85638" w:rsidRPr="00F85638">
        <w:t xml:space="preserve">International Civil Aviation Organization </w:t>
      </w:r>
      <w:r w:rsidR="00F85638">
        <w:t>(</w:t>
      </w:r>
      <w:r>
        <w:t>ICAO</w:t>
      </w:r>
      <w:r w:rsidR="00F85638">
        <w:t>)</w:t>
      </w:r>
      <w:r>
        <w:t xml:space="preserve"> Dangerous Goods Panel, Working Paper 44 on the classification of UN</w:t>
      </w:r>
      <w:r w:rsidR="00F85638">
        <w:t xml:space="preserve"> </w:t>
      </w:r>
      <w:r>
        <w:t>1891 ETHYL BROMIDE was discussed</w:t>
      </w:r>
      <w:r w:rsidR="005F200A">
        <w:t xml:space="preserve"> (informal document </w:t>
      </w:r>
      <w:r w:rsidR="005F200A" w:rsidRPr="00CC110F">
        <w:t>INF.</w:t>
      </w:r>
      <w:r w:rsidR="005F200A">
        <w:t>21)</w:t>
      </w:r>
      <w:r>
        <w:t>, providing additional evidence that UN</w:t>
      </w:r>
      <w:r w:rsidR="00F85638">
        <w:t xml:space="preserve"> </w:t>
      </w:r>
      <w:r>
        <w:t xml:space="preserve">1891 indeed meets the criteria to be classified as a class 3, packing group II substance. </w:t>
      </w:r>
      <w:r w:rsidR="00F85638">
        <w:t>However, i</w:t>
      </w:r>
      <w:r>
        <w:t>t was noted in the report of the ICAO Dangerous Goods Panel, that this proposal was withdrawn because it needed to be considered by the UN Sub-Committee (see 2.3.4.1 of that report).</w:t>
      </w:r>
    </w:p>
    <w:p w14:paraId="0665DA3A" w14:textId="5A85E029" w:rsidR="002A55A6" w:rsidRDefault="002A55A6" w:rsidP="002A55A6">
      <w:pPr>
        <w:pStyle w:val="SingleTxtG"/>
      </w:pPr>
      <w:r>
        <w:tab/>
        <w:t>8.</w:t>
      </w:r>
      <w:r>
        <w:tab/>
        <w:t xml:space="preserve">A quest was undertaken by the secretariat and the library services of the UN and it seems that ethyl bromide was initially included in the “UN list of dangerous goods” by the “Committee of experts for further work on the transport of dangerous goods” at its second session in 1961. This was based on its appearance on a list transmitted by </w:t>
      </w:r>
      <w:r w:rsidR="0084196E">
        <w:t xml:space="preserve">the </w:t>
      </w:r>
      <w:r w:rsidR="0084196E" w:rsidRPr="0084196E">
        <w:t xml:space="preserve">International Air Transport Association </w:t>
      </w:r>
      <w:r w:rsidR="0084196E">
        <w:t>(</w:t>
      </w:r>
      <w:r>
        <w:t>IATA</w:t>
      </w:r>
      <w:r w:rsidR="0084196E">
        <w:t>)</w:t>
      </w:r>
      <w:r>
        <w:t xml:space="preserve"> as an “Other restricted article” which meant it was considered </w:t>
      </w:r>
      <w:r w:rsidR="0084196E">
        <w:t xml:space="preserve">as </w:t>
      </w:r>
      <w:r>
        <w:t>a hazardous item for transport in some cases. A rationale why this substance was subsequentially classified as a class 6.1 substance was not provided</w:t>
      </w:r>
      <w:r w:rsidR="005F200A">
        <w:t xml:space="preserve"> (informal document </w:t>
      </w:r>
      <w:r w:rsidR="005F200A" w:rsidRPr="00CC110F">
        <w:t>INF.</w:t>
      </w:r>
      <w:r w:rsidR="005F200A">
        <w:t>22)</w:t>
      </w:r>
      <w:r>
        <w:t>.</w:t>
      </w:r>
    </w:p>
    <w:p w14:paraId="7DB77E5F" w14:textId="281DA88C" w:rsidR="002A55A6" w:rsidRDefault="002A55A6" w:rsidP="002A55A6">
      <w:pPr>
        <w:pStyle w:val="SingleTxtG"/>
      </w:pPr>
      <w:r>
        <w:tab/>
        <w:t>9.</w:t>
      </w:r>
      <w:r>
        <w:tab/>
        <w:t>Even though research was undertaken, no further data supporting or undisputedly disproving the classification of UN</w:t>
      </w:r>
      <w:r w:rsidR="0084196E">
        <w:t xml:space="preserve"> </w:t>
      </w:r>
      <w:r>
        <w:t xml:space="preserve">1891 ETHYL BROMIDE as a substance meeting the criteria of 2.6.2.2.4.3 for toxicity by inhalation was retrieved at the time being. In </w:t>
      </w:r>
      <w:r w:rsidR="0084196E">
        <w:t xml:space="preserve">the </w:t>
      </w:r>
      <w:r>
        <w:t xml:space="preserve">case such data are to be obtained before the next session, they will be provided in the form of an </w:t>
      </w:r>
      <w:r w:rsidR="0084196E">
        <w:t xml:space="preserve">informal </w:t>
      </w:r>
      <w:r>
        <w:t>document.</w:t>
      </w:r>
    </w:p>
    <w:p w14:paraId="23347F8E" w14:textId="14D7D9B4" w:rsidR="002A55A6" w:rsidRDefault="002A55A6" w:rsidP="002A55A6">
      <w:pPr>
        <w:pStyle w:val="H1G"/>
      </w:pPr>
      <w:r>
        <w:tab/>
      </w:r>
      <w:r>
        <w:tab/>
      </w:r>
      <w:r w:rsidRPr="003064B6">
        <w:t>Consequences of reclassifying UN</w:t>
      </w:r>
      <w:r w:rsidR="0084196E">
        <w:t xml:space="preserve"> </w:t>
      </w:r>
      <w:r w:rsidRPr="003064B6">
        <w:t>1891 as a class 3, PGII substance</w:t>
      </w:r>
    </w:p>
    <w:p w14:paraId="28E35AA4" w14:textId="7ECD70C9" w:rsidR="002A55A6" w:rsidRPr="000865D3" w:rsidRDefault="002A55A6" w:rsidP="002A55A6">
      <w:pPr>
        <w:pStyle w:val="SingleTxtG"/>
      </w:pPr>
      <w:r>
        <w:tab/>
        <w:t>10.</w:t>
      </w:r>
      <w:r>
        <w:tab/>
      </w:r>
      <w:r w:rsidRPr="000865D3">
        <w:t>To have a clear</w:t>
      </w:r>
      <w:r>
        <w:t>er</w:t>
      </w:r>
      <w:r w:rsidRPr="000865D3">
        <w:t xml:space="preserve"> </w:t>
      </w:r>
      <w:r>
        <w:t>understanding of</w:t>
      </w:r>
      <w:r w:rsidRPr="000865D3">
        <w:t xml:space="preserve"> what the consequences would be of </w:t>
      </w:r>
      <w:r>
        <w:t>deciding whether or not to reclassify</w:t>
      </w:r>
      <w:r w:rsidRPr="000865D3">
        <w:t xml:space="preserve"> UN</w:t>
      </w:r>
      <w:r w:rsidR="0084196E">
        <w:t xml:space="preserve"> </w:t>
      </w:r>
      <w:r w:rsidRPr="000865D3">
        <w:t xml:space="preserve">1891 </w:t>
      </w:r>
      <w:r>
        <w:t>for</w:t>
      </w:r>
      <w:r w:rsidRPr="000865D3">
        <w:t xml:space="preserve"> the reasons provided above, it seemed </w:t>
      </w:r>
      <w:r>
        <w:t>interesting</w:t>
      </w:r>
      <w:r w:rsidRPr="000865D3">
        <w:t xml:space="preserve"> to analyse the changes in the Dangerous Goods List </w:t>
      </w:r>
      <w:r>
        <w:t>that would occur as a consequence of</w:t>
      </w:r>
      <w:r w:rsidRPr="000865D3">
        <w:t xml:space="preserve"> this reclassification. For reasons of easy comparison, the current entry for UN</w:t>
      </w:r>
      <w:r w:rsidR="0084196E">
        <w:t xml:space="preserve"> </w:t>
      </w:r>
      <w:r w:rsidRPr="000865D3">
        <w:t>1891 in the Model Regulations is given in Figure 1.</w:t>
      </w:r>
    </w:p>
    <w:p w14:paraId="1DAF3660" w14:textId="2EEFB0E2" w:rsidR="002A55A6" w:rsidRPr="00A15F9A" w:rsidRDefault="002A55A6" w:rsidP="0084196E">
      <w:pPr>
        <w:pStyle w:val="ListParagraph"/>
        <w:ind w:left="1137"/>
        <w:rPr>
          <w:b/>
          <w:bCs/>
        </w:rPr>
      </w:pPr>
      <w:r w:rsidRPr="00A15F9A">
        <w:rPr>
          <w:b/>
          <w:bCs/>
        </w:rPr>
        <w:t>Fig</w:t>
      </w:r>
      <w:r w:rsidR="0084196E">
        <w:rPr>
          <w:b/>
          <w:bCs/>
        </w:rPr>
        <w:t>ure</w:t>
      </w:r>
      <w:r w:rsidRPr="00A15F9A">
        <w:rPr>
          <w:b/>
          <w:bCs/>
        </w:rPr>
        <w:t xml:space="preserve"> 1</w:t>
      </w:r>
      <w:r w:rsidR="0084196E">
        <w:rPr>
          <w:b/>
          <w:bCs/>
        </w:rPr>
        <w:t>:</w:t>
      </w:r>
      <w:r w:rsidRPr="0084196E">
        <w:t xml:space="preserve"> Current entry for UN</w:t>
      </w:r>
      <w:r w:rsidR="0084196E" w:rsidRPr="0084196E">
        <w:t xml:space="preserve"> </w:t>
      </w:r>
      <w:r w:rsidRPr="0084196E">
        <w:t>1891 in the Dangerous Goods List</w:t>
      </w:r>
    </w:p>
    <w:p w14:paraId="65C5CBE0" w14:textId="77777777" w:rsidR="002A55A6" w:rsidRDefault="002A55A6" w:rsidP="002A55A6">
      <w:pPr>
        <w:pStyle w:val="ListParagraph"/>
      </w:pPr>
      <w:r w:rsidRPr="007D2F54">
        <w:rPr>
          <w:noProof/>
        </w:rPr>
        <w:drawing>
          <wp:anchor distT="0" distB="0" distL="114300" distR="114300" simplePos="0" relativeHeight="251659264" behindDoc="1" locked="0" layoutInCell="1" allowOverlap="1" wp14:anchorId="65170B88" wp14:editId="5DBFD7AF">
            <wp:simplePos x="0" y="0"/>
            <wp:positionH relativeFrom="column">
              <wp:posOffset>728980</wp:posOffset>
            </wp:positionH>
            <wp:positionV relativeFrom="paragraph">
              <wp:posOffset>107777</wp:posOffset>
            </wp:positionV>
            <wp:extent cx="4690745" cy="294640"/>
            <wp:effectExtent l="0" t="0" r="0" b="0"/>
            <wp:wrapTight wrapText="bothSides">
              <wp:wrapPolygon edited="0">
                <wp:start x="0" y="0"/>
                <wp:lineTo x="0" y="19552"/>
                <wp:lineTo x="21492" y="19552"/>
                <wp:lineTo x="2149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32786" t="52049" r="33618" b="44840"/>
                    <a:stretch/>
                  </pic:blipFill>
                  <pic:spPr bwMode="auto">
                    <a:xfrm>
                      <a:off x="0" y="0"/>
                      <a:ext cx="4690745" cy="29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02B49C2" w14:textId="77777777" w:rsidR="002A55A6" w:rsidRPr="0084196E" w:rsidRDefault="002A55A6" w:rsidP="002A55A6">
      <w:pPr>
        <w:jc w:val="both"/>
      </w:pPr>
    </w:p>
    <w:p w14:paraId="31B8711A" w14:textId="32DF2D2B" w:rsidR="002A55A6" w:rsidRPr="000F4BFE" w:rsidRDefault="002A55A6" w:rsidP="002A55A6">
      <w:pPr>
        <w:pStyle w:val="H1G"/>
      </w:pPr>
      <w:r>
        <w:tab/>
      </w:r>
      <w:r>
        <w:tab/>
      </w:r>
      <w:r w:rsidRPr="000F4BFE">
        <w:t>E</w:t>
      </w:r>
      <w:r w:rsidR="0084196E">
        <w:t xml:space="preserve">xcepted </w:t>
      </w:r>
      <w:r w:rsidRPr="000F4BFE">
        <w:t>Q</w:t>
      </w:r>
      <w:r w:rsidR="00FF6D78">
        <w:t>uantity</w:t>
      </w:r>
      <w:r w:rsidRPr="000F4BFE">
        <w:t xml:space="preserve"> </w:t>
      </w:r>
      <w:r w:rsidR="00FF6D78">
        <w:t>(EQ) and</w:t>
      </w:r>
      <w:r w:rsidRPr="000F4BFE">
        <w:t xml:space="preserve"> L</w:t>
      </w:r>
      <w:r w:rsidR="00FF6D78">
        <w:t xml:space="preserve">imited </w:t>
      </w:r>
      <w:r w:rsidRPr="000F4BFE">
        <w:t>Q</w:t>
      </w:r>
      <w:r w:rsidR="00FF6D78">
        <w:t>uantity (LQ)</w:t>
      </w:r>
    </w:p>
    <w:p w14:paraId="0BD7CBEA" w14:textId="1E2AF902" w:rsidR="002A55A6" w:rsidRDefault="002A55A6" w:rsidP="002A55A6">
      <w:pPr>
        <w:pStyle w:val="SingleTxtG"/>
      </w:pPr>
      <w:r>
        <w:tab/>
        <w:t>11.</w:t>
      </w:r>
      <w:r>
        <w:tab/>
        <w:t>Based on its current classification as a division 6.1 PGII substance, UN</w:t>
      </w:r>
      <w:r w:rsidR="0084196E">
        <w:t xml:space="preserve"> </w:t>
      </w:r>
      <w:r>
        <w:t>1891 has 100</w:t>
      </w:r>
      <w:r w:rsidR="0084196E">
        <w:t> </w:t>
      </w:r>
      <w:r>
        <w:t>ml assigned as the upper limit for LQ and E4 assigned for EQ. To be in line with the Guiding Principles for a Class 3, PGII substance an upper limit of 1</w:t>
      </w:r>
      <w:r w:rsidR="00FF6D78">
        <w:t xml:space="preserve"> litre</w:t>
      </w:r>
      <w:r>
        <w:t xml:space="preserve"> should be assigned for LQ and E2 for EQ.</w:t>
      </w:r>
    </w:p>
    <w:p w14:paraId="20EA45B0" w14:textId="77777777" w:rsidR="007B3961" w:rsidRDefault="007B3961">
      <w:pPr>
        <w:suppressAutoHyphens w:val="0"/>
        <w:kinsoku/>
        <w:overflowPunct/>
        <w:autoSpaceDE/>
        <w:autoSpaceDN/>
        <w:adjustRightInd/>
        <w:snapToGrid/>
        <w:spacing w:after="200" w:line="276" w:lineRule="auto"/>
        <w:rPr>
          <w:b/>
          <w:sz w:val="24"/>
        </w:rPr>
      </w:pPr>
      <w:bookmarkStart w:id="0" w:name="_GoBack"/>
      <w:bookmarkEnd w:id="0"/>
      <w:r>
        <w:br w:type="page"/>
      </w:r>
    </w:p>
    <w:p w14:paraId="48E02CC8" w14:textId="0D974175" w:rsidR="002A55A6" w:rsidRPr="00641CED" w:rsidRDefault="007B3961" w:rsidP="007B3961">
      <w:pPr>
        <w:pStyle w:val="H1G"/>
      </w:pPr>
      <w:r>
        <w:lastRenderedPageBreak/>
        <w:tab/>
      </w:r>
      <w:r>
        <w:tab/>
      </w:r>
      <w:r w:rsidR="002A55A6">
        <w:t xml:space="preserve">Packing instruction </w:t>
      </w:r>
      <w:r w:rsidR="002A55A6" w:rsidRPr="00641CED">
        <w:t>P001</w:t>
      </w:r>
    </w:p>
    <w:p w14:paraId="5B22D1A4" w14:textId="102EBD3C" w:rsidR="002A55A6" w:rsidRDefault="007B3961" w:rsidP="007B3961">
      <w:pPr>
        <w:pStyle w:val="SingleTxtG"/>
      </w:pPr>
      <w:r>
        <w:tab/>
        <w:t>12.</w:t>
      </w:r>
      <w:r>
        <w:tab/>
      </w:r>
      <w:r w:rsidR="002A55A6">
        <w:t>UN</w:t>
      </w:r>
      <w:r w:rsidR="0084196E">
        <w:t xml:space="preserve"> </w:t>
      </w:r>
      <w:r w:rsidR="002A55A6">
        <w:t>1891 is currently assigned P001, a general packing instruction for liquids which is used as packing instruction for liquids from different Dangerous Goods classes and is already assigned to many other class 3 substances. As such reclassification of UN</w:t>
      </w:r>
      <w:r w:rsidR="00FF6D78">
        <w:t xml:space="preserve"> </w:t>
      </w:r>
      <w:r w:rsidR="002A55A6">
        <w:t>1891 as a class 3, PGII substance does not seem to necessitate any change to the assignment of P001 to UN</w:t>
      </w:r>
      <w:r w:rsidR="00FF6D78">
        <w:t xml:space="preserve"> </w:t>
      </w:r>
      <w:r w:rsidR="002A55A6">
        <w:t>1891 in the Dangerous Goods List.</w:t>
      </w:r>
    </w:p>
    <w:p w14:paraId="39EAD0FF" w14:textId="7B586CF4" w:rsidR="002A55A6" w:rsidRPr="00A828B9" w:rsidRDefault="007B3961" w:rsidP="007B3961">
      <w:pPr>
        <w:pStyle w:val="H1G"/>
      </w:pPr>
      <w:r>
        <w:tab/>
      </w:r>
      <w:r>
        <w:tab/>
      </w:r>
      <w:r w:rsidR="002A55A6">
        <w:t xml:space="preserve">IBC packing instruction </w:t>
      </w:r>
      <w:r w:rsidR="002A55A6" w:rsidRPr="00316918">
        <w:t>IBC02</w:t>
      </w:r>
    </w:p>
    <w:p w14:paraId="0060A49A" w14:textId="54419B07" w:rsidR="002A55A6" w:rsidRDefault="007B3961" w:rsidP="007B3961">
      <w:pPr>
        <w:pStyle w:val="SingleTxtG"/>
      </w:pPr>
      <w:r>
        <w:tab/>
        <w:t>13.</w:t>
      </w:r>
      <w:r>
        <w:tab/>
      </w:r>
      <w:r w:rsidR="002A55A6">
        <w:t>Given its current classification as a liquid division 6.1 substance and in line with Chapter 4.2 of the Guiding Principles, that mentions IBC02 should be assigned to a division 6.1, packing group II liquid, UN</w:t>
      </w:r>
      <w:r w:rsidR="00FF6D78">
        <w:t xml:space="preserve"> </w:t>
      </w:r>
      <w:r w:rsidR="002A55A6">
        <w:t>1891 currently has IBC02 assigned to it. Nevertheless, assignment of IBC02 to a class 3 PGII substance is also in line with Chapter 4.2 of the Guiding Principles. As such</w:t>
      </w:r>
      <w:r w:rsidR="00FF6D78">
        <w:t>,</w:t>
      </w:r>
      <w:r w:rsidR="002A55A6">
        <w:t xml:space="preserve"> changing the classification of UN</w:t>
      </w:r>
      <w:r w:rsidR="00FF6D78">
        <w:t xml:space="preserve"> </w:t>
      </w:r>
      <w:r w:rsidR="002A55A6">
        <w:t xml:space="preserve">1891 to a class 3 PGII substance would not require </w:t>
      </w:r>
      <w:r w:rsidR="00AC1CA0">
        <w:t>changing</w:t>
      </w:r>
      <w:r w:rsidR="002A55A6">
        <w:t xml:space="preserve"> the assignment of IBC02 in the Dangerous Goods List.</w:t>
      </w:r>
    </w:p>
    <w:p w14:paraId="0762F782" w14:textId="511DD30B" w:rsidR="002A55A6" w:rsidRPr="00EA1CBD" w:rsidRDefault="007B3961" w:rsidP="007B3961">
      <w:pPr>
        <w:pStyle w:val="H1G"/>
      </w:pPr>
      <w:r>
        <w:tab/>
      </w:r>
      <w:r>
        <w:tab/>
      </w:r>
      <w:r w:rsidR="002A55A6">
        <w:t xml:space="preserve">IBC special packing provision </w:t>
      </w:r>
      <w:r w:rsidR="002A55A6" w:rsidRPr="00EA1CBD">
        <w:t>B8</w:t>
      </w:r>
    </w:p>
    <w:p w14:paraId="7ABDDCD0" w14:textId="231755DB" w:rsidR="002A55A6" w:rsidRDefault="007B3961" w:rsidP="007B3961">
      <w:pPr>
        <w:pStyle w:val="SingleTxtG"/>
      </w:pPr>
      <w:r>
        <w:tab/>
        <w:t>14.</w:t>
      </w:r>
      <w:r>
        <w:tab/>
      </w:r>
      <w:r w:rsidR="002A55A6">
        <w:t>IBC special packing provision B8 is currently assigned to UN</w:t>
      </w:r>
      <w:r w:rsidR="00FF6D78">
        <w:t xml:space="preserve"> </w:t>
      </w:r>
      <w:r w:rsidR="002A55A6">
        <w:t>1891 and reads</w:t>
      </w:r>
      <w:r w:rsidR="00FF6D78">
        <w:t>:</w:t>
      </w:r>
      <w:r w:rsidR="002A55A6">
        <w:t xml:space="preserve"> “The pure form of this substance shall not be transported in IBCs since it is known to have a vapour pressure of more than 110 kPa at 50 °C or 130 kPa at 55 °C.” Reclassifying this substance as a class 3 PGII substance does of course not change its physical properties and as such, it seems logical to keep B8 assigned to UN</w:t>
      </w:r>
      <w:r w:rsidR="00FF6D78">
        <w:t xml:space="preserve"> </w:t>
      </w:r>
      <w:r w:rsidR="002A55A6">
        <w:t>1891.</w:t>
      </w:r>
    </w:p>
    <w:p w14:paraId="729348FB" w14:textId="2D3F4387" w:rsidR="002A55A6" w:rsidRPr="00B84300" w:rsidRDefault="007B3961" w:rsidP="007B3961">
      <w:pPr>
        <w:pStyle w:val="H1G"/>
      </w:pPr>
      <w:r>
        <w:tab/>
      </w:r>
      <w:r>
        <w:tab/>
      </w:r>
      <w:r w:rsidR="002A55A6">
        <w:t xml:space="preserve">Portable tank instruction </w:t>
      </w:r>
      <w:r w:rsidR="002A55A6" w:rsidRPr="00B84300">
        <w:t>T7</w:t>
      </w:r>
    </w:p>
    <w:p w14:paraId="1763A6F8" w14:textId="0CD201D7" w:rsidR="002A55A6" w:rsidRDefault="007B3961" w:rsidP="007B3961">
      <w:pPr>
        <w:pStyle w:val="SingleTxtG"/>
      </w:pPr>
      <w:r>
        <w:tab/>
        <w:t>15.</w:t>
      </w:r>
      <w:r>
        <w:tab/>
      </w:r>
      <w:r w:rsidR="002A55A6">
        <w:t>In line with the guidance given by the Guiding Principles, UN</w:t>
      </w:r>
      <w:r w:rsidR="00FF6D78">
        <w:t xml:space="preserve"> </w:t>
      </w:r>
      <w:r w:rsidR="002A55A6">
        <w:t xml:space="preserve">1891 has currently been assigned portable tank instruction T7. When reclassifying as a class 3 PGII substance and taking into account the guidance given in the Guiding Principles, the proper choice of the portable tank instruction depends on whether or not it is decided to keep into account the current classification as a toxic substance or not. If division 6.1 is kept as a subsidiary hazard, portable tank instruction T7 should be kept assigned. In </w:t>
      </w:r>
      <w:r w:rsidR="00FF6D78">
        <w:t xml:space="preserve">the </w:t>
      </w:r>
      <w:r w:rsidR="002A55A6">
        <w:t>case</w:t>
      </w:r>
      <w:r w:rsidR="00FF6D78">
        <w:t>,</w:t>
      </w:r>
      <w:r w:rsidR="002A55A6">
        <w:t xml:space="preserve"> it is decided not to keep division 6.1 as a subsidiary hazard, portable tank instruction T4 should be assigned to UN</w:t>
      </w:r>
      <w:r w:rsidR="00FF6D78">
        <w:t> </w:t>
      </w:r>
      <w:r w:rsidR="002A55A6">
        <w:t>1891.</w:t>
      </w:r>
    </w:p>
    <w:p w14:paraId="452DA61A" w14:textId="4E6EA4BE" w:rsidR="002A55A6" w:rsidRPr="008E6BD7" w:rsidRDefault="007B3961" w:rsidP="007B3961">
      <w:pPr>
        <w:pStyle w:val="H1G"/>
      </w:pPr>
      <w:r>
        <w:tab/>
      </w:r>
      <w:r>
        <w:tab/>
      </w:r>
      <w:r w:rsidR="002A55A6" w:rsidRPr="008E6BD7">
        <w:t>Portable tanks special provision</w:t>
      </w:r>
      <w:r w:rsidR="002A55A6">
        <w:t>s</w:t>
      </w:r>
      <w:r w:rsidR="002A55A6" w:rsidRPr="008E6BD7">
        <w:t xml:space="preserve"> TP2 and TP13</w:t>
      </w:r>
    </w:p>
    <w:p w14:paraId="034A09EB" w14:textId="4B80A7F1" w:rsidR="002A55A6" w:rsidRDefault="007B3961" w:rsidP="007B3961">
      <w:pPr>
        <w:pStyle w:val="SingleTxtG"/>
      </w:pPr>
      <w:r>
        <w:t>16</w:t>
      </w:r>
      <w:r w:rsidR="00FF6D78">
        <w:t>.</w:t>
      </w:r>
      <w:r>
        <w:tab/>
      </w:r>
      <w:r w:rsidR="002A55A6">
        <w:t>Portable tank special provisions TP2 and TP13 are currently assigned to UN</w:t>
      </w:r>
      <w:r w:rsidR="00A974A7">
        <w:t xml:space="preserve"> </w:t>
      </w:r>
      <w:r w:rsidR="002A55A6">
        <w:t>1891. TP2 requires that the degree of filling prescribed in 4.2.1.9.3 shall not be exceeded. It is noted in the Guiding Principles that it is assigned to substances with a vapour pressure greater than 175 kPa at 65</w:t>
      </w:r>
      <w:r w:rsidR="00A974A7">
        <w:t xml:space="preserve"> </w:t>
      </w:r>
      <w:r w:rsidR="002A55A6">
        <w:t xml:space="preserve">°C and also to substances of division 6.1 or Class 8 in PGI or PGII. Currently data on the vapour pressure </w:t>
      </w:r>
      <w:r w:rsidR="00A974A7">
        <w:t xml:space="preserve">greater </w:t>
      </w:r>
      <w:r w:rsidR="002A55A6">
        <w:t>at 65</w:t>
      </w:r>
      <w:r w:rsidR="00A974A7">
        <w:t xml:space="preserve"> </w:t>
      </w:r>
      <w:r w:rsidR="002A55A6">
        <w:t>°C are lacking</w:t>
      </w:r>
      <w:r w:rsidR="00A974A7">
        <w:t>,</w:t>
      </w:r>
      <w:r w:rsidR="002A55A6">
        <w:t xml:space="preserve"> so it is not clear whether the assignment of TP2 depends on the classification of UN</w:t>
      </w:r>
      <w:r w:rsidR="00A974A7">
        <w:t xml:space="preserve"> </w:t>
      </w:r>
      <w:r w:rsidR="002A55A6">
        <w:t>1891 as a division 6.1, PGII substance or not.</w:t>
      </w:r>
    </w:p>
    <w:p w14:paraId="4A6B2103" w14:textId="4F31F973" w:rsidR="002A55A6" w:rsidRDefault="00A974A7" w:rsidP="007B3961">
      <w:pPr>
        <w:pStyle w:val="SingleTxtG"/>
      </w:pPr>
      <w:r>
        <w:t>17.</w:t>
      </w:r>
      <w:r>
        <w:tab/>
      </w:r>
      <w:r w:rsidR="002A55A6">
        <w:t>TP13 prescribes that a breathing apparatus shall be provided when this substance is transported</w:t>
      </w:r>
      <w:r>
        <w:t>,</w:t>
      </w:r>
      <w:r w:rsidR="002A55A6">
        <w:t xml:space="preserve"> and it is noted in the guiding principles that it should be applied to substances which are toxic by inhalation. As such, assignment of TP13 would be dependent on the decision to keep 6.1 assigned to TP13 based on its toxicity by inhalation.</w:t>
      </w:r>
    </w:p>
    <w:p w14:paraId="19EE22FE" w14:textId="77777777" w:rsidR="002A55A6" w:rsidRDefault="002A55A6" w:rsidP="002A55A6">
      <w:pPr>
        <w:suppressAutoHyphens w:val="0"/>
        <w:spacing w:after="200" w:line="276" w:lineRule="auto"/>
        <w:rPr>
          <w:b/>
          <w:sz w:val="28"/>
          <w:szCs w:val="28"/>
          <w:lang w:val="en-US"/>
        </w:rPr>
      </w:pPr>
      <w:r>
        <w:rPr>
          <w:b/>
          <w:sz w:val="28"/>
          <w:szCs w:val="28"/>
          <w:lang w:val="en-US"/>
        </w:rPr>
        <w:br w:type="page"/>
      </w:r>
    </w:p>
    <w:p w14:paraId="0DA50BAD" w14:textId="7E64BEAC" w:rsidR="002A55A6" w:rsidRPr="006C5359" w:rsidRDefault="007B3961" w:rsidP="007B3961">
      <w:pPr>
        <w:pStyle w:val="HChG"/>
        <w:rPr>
          <w:lang w:val="en-US"/>
        </w:rPr>
      </w:pPr>
      <w:r>
        <w:rPr>
          <w:lang w:val="en-US"/>
        </w:rPr>
        <w:lastRenderedPageBreak/>
        <w:tab/>
      </w:r>
      <w:r>
        <w:rPr>
          <w:lang w:val="en-US"/>
        </w:rPr>
        <w:tab/>
      </w:r>
      <w:r w:rsidR="002A55A6" w:rsidRPr="006C5359">
        <w:rPr>
          <w:lang w:val="en-US"/>
        </w:rPr>
        <w:t>Proposal</w:t>
      </w:r>
    </w:p>
    <w:p w14:paraId="7A818EB5" w14:textId="4CAD5F0E" w:rsidR="002A55A6" w:rsidRDefault="007B3961" w:rsidP="007B3961">
      <w:pPr>
        <w:pStyle w:val="SingleTxtG"/>
      </w:pPr>
      <w:r>
        <w:tab/>
        <w:t>1</w:t>
      </w:r>
      <w:r w:rsidR="005F200A">
        <w:t>8</w:t>
      </w:r>
      <w:r>
        <w:t>.</w:t>
      </w:r>
      <w:r>
        <w:tab/>
      </w:r>
      <w:r w:rsidR="002A55A6">
        <w:t>Amend the entry for UN</w:t>
      </w:r>
      <w:r w:rsidR="00A974A7">
        <w:t xml:space="preserve"> </w:t>
      </w:r>
      <w:r w:rsidR="002A55A6">
        <w:t xml:space="preserve">1891 in the Dangerous Goods list as follows (deleted text </w:t>
      </w:r>
      <w:r w:rsidR="002A55A6" w:rsidRPr="00F64122">
        <w:rPr>
          <w:strike/>
        </w:rPr>
        <w:t>stricken through</w:t>
      </w:r>
      <w:r w:rsidR="002A55A6">
        <w:t xml:space="preserve">, new text </w:t>
      </w:r>
      <w:r w:rsidR="002A55A6" w:rsidRPr="00F64122">
        <w:rPr>
          <w:u w:val="single"/>
        </w:rPr>
        <w:t>underlined</w:t>
      </w:r>
      <w:r w:rsidR="002A55A6">
        <w:t>.</w:t>
      </w:r>
    </w:p>
    <w:tbl>
      <w:tblPr>
        <w:tblStyle w:val="TableGrid"/>
        <w:tblW w:w="9404" w:type="dxa"/>
        <w:tblInd w:w="372" w:type="dxa"/>
        <w:tblLayout w:type="fixed"/>
        <w:tblLook w:val="04A0" w:firstRow="1" w:lastRow="0" w:firstColumn="1" w:lastColumn="0" w:noHBand="0" w:noVBand="1"/>
      </w:tblPr>
      <w:tblGrid>
        <w:gridCol w:w="474"/>
        <w:gridCol w:w="1559"/>
        <w:gridCol w:w="750"/>
        <w:gridCol w:w="955"/>
        <w:gridCol w:w="759"/>
        <w:gridCol w:w="928"/>
        <w:gridCol w:w="516"/>
        <w:gridCol w:w="345"/>
        <w:gridCol w:w="850"/>
        <w:gridCol w:w="709"/>
        <w:gridCol w:w="850"/>
        <w:gridCol w:w="709"/>
      </w:tblGrid>
      <w:tr w:rsidR="002A55A6" w14:paraId="6076E499" w14:textId="77777777" w:rsidTr="007B3961">
        <w:trPr>
          <w:trHeight w:val="540"/>
        </w:trPr>
        <w:tc>
          <w:tcPr>
            <w:tcW w:w="474" w:type="dxa"/>
            <w:vMerge w:val="restart"/>
          </w:tcPr>
          <w:p w14:paraId="574CA758" w14:textId="77777777" w:rsidR="002A55A6" w:rsidRPr="009973AE" w:rsidRDefault="002A55A6" w:rsidP="008E7439">
            <w:pPr>
              <w:spacing w:before="120"/>
              <w:jc w:val="center"/>
              <w:rPr>
                <w:b/>
                <w:bCs/>
                <w:sz w:val="16"/>
                <w:szCs w:val="16"/>
              </w:rPr>
            </w:pPr>
            <w:r w:rsidRPr="009973AE">
              <w:rPr>
                <w:b/>
                <w:bCs/>
                <w:sz w:val="16"/>
                <w:szCs w:val="16"/>
              </w:rPr>
              <w:t>UN No.</w:t>
            </w:r>
          </w:p>
        </w:tc>
        <w:tc>
          <w:tcPr>
            <w:tcW w:w="1559" w:type="dxa"/>
            <w:vMerge w:val="restart"/>
          </w:tcPr>
          <w:p w14:paraId="32BCC2E5" w14:textId="77777777" w:rsidR="002A55A6" w:rsidRPr="009973AE" w:rsidRDefault="002A55A6" w:rsidP="008E7439">
            <w:pPr>
              <w:spacing w:before="120"/>
              <w:jc w:val="center"/>
              <w:rPr>
                <w:b/>
                <w:bCs/>
                <w:sz w:val="16"/>
                <w:szCs w:val="16"/>
              </w:rPr>
            </w:pPr>
            <w:r w:rsidRPr="009973AE">
              <w:rPr>
                <w:b/>
                <w:bCs/>
                <w:sz w:val="16"/>
                <w:szCs w:val="16"/>
              </w:rPr>
              <w:t>Name and description</w:t>
            </w:r>
          </w:p>
        </w:tc>
        <w:tc>
          <w:tcPr>
            <w:tcW w:w="750" w:type="dxa"/>
            <w:vMerge w:val="restart"/>
          </w:tcPr>
          <w:p w14:paraId="0E8DA290" w14:textId="77777777" w:rsidR="002A55A6" w:rsidRPr="009973AE" w:rsidRDefault="002A55A6" w:rsidP="008E7439">
            <w:pPr>
              <w:spacing w:before="120"/>
              <w:jc w:val="center"/>
              <w:rPr>
                <w:b/>
                <w:bCs/>
                <w:sz w:val="16"/>
                <w:szCs w:val="16"/>
              </w:rPr>
            </w:pPr>
            <w:r w:rsidRPr="009973AE">
              <w:rPr>
                <w:b/>
                <w:bCs/>
                <w:sz w:val="16"/>
                <w:szCs w:val="16"/>
              </w:rPr>
              <w:t>Class or division</w:t>
            </w:r>
          </w:p>
        </w:tc>
        <w:tc>
          <w:tcPr>
            <w:tcW w:w="955" w:type="dxa"/>
            <w:vMerge w:val="restart"/>
          </w:tcPr>
          <w:p w14:paraId="6AA219D8" w14:textId="77777777" w:rsidR="002A55A6" w:rsidRPr="009973AE" w:rsidRDefault="002A55A6" w:rsidP="008E7439">
            <w:pPr>
              <w:spacing w:before="120"/>
              <w:jc w:val="center"/>
              <w:rPr>
                <w:b/>
                <w:bCs/>
                <w:sz w:val="16"/>
                <w:szCs w:val="16"/>
              </w:rPr>
            </w:pPr>
            <w:r w:rsidRPr="009973AE">
              <w:rPr>
                <w:b/>
                <w:bCs/>
                <w:sz w:val="16"/>
                <w:szCs w:val="16"/>
              </w:rPr>
              <w:t>Subsidiary hazard</w:t>
            </w:r>
          </w:p>
        </w:tc>
        <w:tc>
          <w:tcPr>
            <w:tcW w:w="759" w:type="dxa"/>
            <w:vMerge w:val="restart"/>
          </w:tcPr>
          <w:p w14:paraId="67C661C3" w14:textId="77777777" w:rsidR="002A55A6" w:rsidRPr="009973AE" w:rsidRDefault="002A55A6" w:rsidP="008E7439">
            <w:pPr>
              <w:spacing w:before="120"/>
              <w:jc w:val="center"/>
              <w:rPr>
                <w:b/>
                <w:bCs/>
                <w:sz w:val="16"/>
                <w:szCs w:val="16"/>
              </w:rPr>
            </w:pPr>
            <w:r w:rsidRPr="009973AE">
              <w:rPr>
                <w:b/>
                <w:bCs/>
                <w:sz w:val="16"/>
                <w:szCs w:val="16"/>
              </w:rPr>
              <w:t>UN packing group</w:t>
            </w:r>
          </w:p>
        </w:tc>
        <w:tc>
          <w:tcPr>
            <w:tcW w:w="928" w:type="dxa"/>
            <w:vMerge w:val="restart"/>
          </w:tcPr>
          <w:p w14:paraId="40A15E11" w14:textId="77777777" w:rsidR="002A55A6" w:rsidRPr="009973AE" w:rsidRDefault="002A55A6" w:rsidP="008E7439">
            <w:pPr>
              <w:spacing w:before="120"/>
              <w:jc w:val="center"/>
              <w:rPr>
                <w:b/>
                <w:bCs/>
                <w:sz w:val="16"/>
                <w:szCs w:val="16"/>
              </w:rPr>
            </w:pPr>
            <w:r w:rsidRPr="009973AE">
              <w:rPr>
                <w:b/>
                <w:bCs/>
                <w:sz w:val="16"/>
                <w:szCs w:val="16"/>
              </w:rPr>
              <w:t>Special Provisions</w:t>
            </w:r>
          </w:p>
        </w:tc>
        <w:tc>
          <w:tcPr>
            <w:tcW w:w="861" w:type="dxa"/>
            <w:gridSpan w:val="2"/>
            <w:vMerge w:val="restart"/>
          </w:tcPr>
          <w:p w14:paraId="09A27F0E" w14:textId="77777777" w:rsidR="002A55A6" w:rsidRPr="009973AE" w:rsidRDefault="002A55A6" w:rsidP="008E7439">
            <w:pPr>
              <w:spacing w:before="120"/>
              <w:jc w:val="center"/>
              <w:rPr>
                <w:b/>
                <w:bCs/>
                <w:sz w:val="16"/>
                <w:szCs w:val="16"/>
              </w:rPr>
            </w:pPr>
            <w:r w:rsidRPr="009973AE">
              <w:rPr>
                <w:b/>
                <w:bCs/>
                <w:sz w:val="16"/>
                <w:szCs w:val="16"/>
              </w:rPr>
              <w:t>Limited and excepted quantities</w:t>
            </w:r>
          </w:p>
        </w:tc>
        <w:tc>
          <w:tcPr>
            <w:tcW w:w="1559" w:type="dxa"/>
            <w:gridSpan w:val="2"/>
          </w:tcPr>
          <w:p w14:paraId="39F0FD80" w14:textId="77777777" w:rsidR="002A55A6" w:rsidRPr="009973AE" w:rsidRDefault="002A55A6" w:rsidP="008E7439">
            <w:pPr>
              <w:spacing w:before="120"/>
              <w:jc w:val="center"/>
              <w:rPr>
                <w:b/>
                <w:bCs/>
                <w:sz w:val="16"/>
                <w:szCs w:val="16"/>
              </w:rPr>
            </w:pPr>
            <w:r w:rsidRPr="009973AE">
              <w:rPr>
                <w:b/>
                <w:bCs/>
                <w:sz w:val="16"/>
                <w:szCs w:val="16"/>
              </w:rPr>
              <w:t>Packagings and IBCs</w:t>
            </w:r>
          </w:p>
        </w:tc>
        <w:tc>
          <w:tcPr>
            <w:tcW w:w="1559" w:type="dxa"/>
            <w:gridSpan w:val="2"/>
          </w:tcPr>
          <w:p w14:paraId="6D39E0ED" w14:textId="77777777" w:rsidR="002A55A6" w:rsidRPr="009973AE" w:rsidRDefault="002A55A6" w:rsidP="008E7439">
            <w:pPr>
              <w:spacing w:before="120"/>
              <w:jc w:val="center"/>
              <w:rPr>
                <w:b/>
                <w:bCs/>
                <w:sz w:val="16"/>
                <w:szCs w:val="16"/>
              </w:rPr>
            </w:pPr>
            <w:r w:rsidRPr="009973AE">
              <w:rPr>
                <w:b/>
                <w:bCs/>
                <w:sz w:val="16"/>
                <w:szCs w:val="16"/>
              </w:rPr>
              <w:t>Portable tanks and bulk containers</w:t>
            </w:r>
          </w:p>
        </w:tc>
      </w:tr>
      <w:tr w:rsidR="002A55A6" w14:paraId="655569B8" w14:textId="77777777" w:rsidTr="007B3961">
        <w:trPr>
          <w:trHeight w:val="540"/>
        </w:trPr>
        <w:tc>
          <w:tcPr>
            <w:tcW w:w="474" w:type="dxa"/>
            <w:vMerge/>
          </w:tcPr>
          <w:p w14:paraId="4C2CAF34" w14:textId="77777777" w:rsidR="002A55A6" w:rsidRPr="00C47260" w:rsidRDefault="002A55A6" w:rsidP="008E7439">
            <w:pPr>
              <w:spacing w:before="120"/>
              <w:jc w:val="center"/>
              <w:rPr>
                <w:b/>
                <w:bCs/>
                <w:sz w:val="16"/>
                <w:szCs w:val="16"/>
              </w:rPr>
            </w:pPr>
          </w:p>
        </w:tc>
        <w:tc>
          <w:tcPr>
            <w:tcW w:w="1559" w:type="dxa"/>
            <w:vMerge/>
          </w:tcPr>
          <w:p w14:paraId="694A2DC3" w14:textId="77777777" w:rsidR="002A55A6" w:rsidRPr="00C47260" w:rsidRDefault="002A55A6" w:rsidP="008E7439">
            <w:pPr>
              <w:spacing w:before="120"/>
              <w:jc w:val="center"/>
              <w:rPr>
                <w:b/>
                <w:bCs/>
                <w:sz w:val="16"/>
                <w:szCs w:val="16"/>
              </w:rPr>
            </w:pPr>
          </w:p>
        </w:tc>
        <w:tc>
          <w:tcPr>
            <w:tcW w:w="750" w:type="dxa"/>
            <w:vMerge/>
          </w:tcPr>
          <w:p w14:paraId="5DCA83CE" w14:textId="77777777" w:rsidR="002A55A6" w:rsidRPr="00C47260" w:rsidRDefault="002A55A6" w:rsidP="008E7439">
            <w:pPr>
              <w:spacing w:before="120"/>
              <w:jc w:val="center"/>
              <w:rPr>
                <w:b/>
                <w:bCs/>
                <w:sz w:val="16"/>
                <w:szCs w:val="16"/>
              </w:rPr>
            </w:pPr>
          </w:p>
        </w:tc>
        <w:tc>
          <w:tcPr>
            <w:tcW w:w="955" w:type="dxa"/>
            <w:vMerge/>
          </w:tcPr>
          <w:p w14:paraId="3D2F5A3E" w14:textId="77777777" w:rsidR="002A55A6" w:rsidRPr="00C47260" w:rsidRDefault="002A55A6" w:rsidP="008E7439">
            <w:pPr>
              <w:spacing w:before="120"/>
              <w:jc w:val="center"/>
              <w:rPr>
                <w:b/>
                <w:bCs/>
                <w:sz w:val="16"/>
                <w:szCs w:val="16"/>
              </w:rPr>
            </w:pPr>
          </w:p>
        </w:tc>
        <w:tc>
          <w:tcPr>
            <w:tcW w:w="759" w:type="dxa"/>
            <w:vMerge/>
          </w:tcPr>
          <w:p w14:paraId="5CA5BF48" w14:textId="77777777" w:rsidR="002A55A6" w:rsidRPr="00C47260" w:rsidRDefault="002A55A6" w:rsidP="008E7439">
            <w:pPr>
              <w:spacing w:before="120"/>
              <w:jc w:val="center"/>
              <w:rPr>
                <w:b/>
                <w:bCs/>
                <w:sz w:val="16"/>
                <w:szCs w:val="16"/>
              </w:rPr>
            </w:pPr>
          </w:p>
        </w:tc>
        <w:tc>
          <w:tcPr>
            <w:tcW w:w="928" w:type="dxa"/>
            <w:vMerge/>
          </w:tcPr>
          <w:p w14:paraId="5DA8274A" w14:textId="77777777" w:rsidR="002A55A6" w:rsidRPr="00C47260" w:rsidRDefault="002A55A6" w:rsidP="008E7439">
            <w:pPr>
              <w:spacing w:before="120"/>
              <w:jc w:val="center"/>
              <w:rPr>
                <w:b/>
                <w:bCs/>
                <w:sz w:val="16"/>
                <w:szCs w:val="16"/>
              </w:rPr>
            </w:pPr>
          </w:p>
        </w:tc>
        <w:tc>
          <w:tcPr>
            <w:tcW w:w="861" w:type="dxa"/>
            <w:gridSpan w:val="2"/>
            <w:vMerge/>
          </w:tcPr>
          <w:p w14:paraId="16F81E92" w14:textId="77777777" w:rsidR="002A55A6" w:rsidRPr="00C47260" w:rsidRDefault="002A55A6" w:rsidP="008E7439">
            <w:pPr>
              <w:spacing w:before="120"/>
              <w:jc w:val="center"/>
              <w:rPr>
                <w:b/>
                <w:bCs/>
                <w:sz w:val="16"/>
                <w:szCs w:val="16"/>
              </w:rPr>
            </w:pPr>
          </w:p>
        </w:tc>
        <w:tc>
          <w:tcPr>
            <w:tcW w:w="850" w:type="dxa"/>
          </w:tcPr>
          <w:p w14:paraId="47B994F7" w14:textId="77777777" w:rsidR="002A55A6" w:rsidRPr="00C47260" w:rsidRDefault="002A55A6" w:rsidP="008E7439">
            <w:pPr>
              <w:spacing w:before="120"/>
              <w:jc w:val="center"/>
              <w:rPr>
                <w:b/>
                <w:bCs/>
                <w:sz w:val="16"/>
                <w:szCs w:val="16"/>
              </w:rPr>
            </w:pPr>
            <w:r w:rsidRPr="00C47260">
              <w:rPr>
                <w:b/>
                <w:bCs/>
                <w:sz w:val="16"/>
                <w:szCs w:val="16"/>
              </w:rPr>
              <w:t>Packing instruction</w:t>
            </w:r>
          </w:p>
        </w:tc>
        <w:tc>
          <w:tcPr>
            <w:tcW w:w="709" w:type="dxa"/>
          </w:tcPr>
          <w:p w14:paraId="35949DF9" w14:textId="77777777" w:rsidR="002A55A6" w:rsidRPr="00C47260" w:rsidRDefault="002A55A6" w:rsidP="008E7439">
            <w:pPr>
              <w:spacing w:before="120"/>
              <w:jc w:val="center"/>
              <w:rPr>
                <w:b/>
                <w:bCs/>
                <w:sz w:val="16"/>
                <w:szCs w:val="16"/>
              </w:rPr>
            </w:pPr>
            <w:r w:rsidRPr="00C47260">
              <w:rPr>
                <w:b/>
                <w:bCs/>
                <w:sz w:val="16"/>
                <w:szCs w:val="16"/>
              </w:rPr>
              <w:t>Special packing provision</w:t>
            </w:r>
          </w:p>
        </w:tc>
        <w:tc>
          <w:tcPr>
            <w:tcW w:w="850" w:type="dxa"/>
          </w:tcPr>
          <w:p w14:paraId="217D35EC" w14:textId="77777777" w:rsidR="002A55A6" w:rsidRPr="00C466C7" w:rsidRDefault="002A55A6" w:rsidP="008E7439">
            <w:pPr>
              <w:spacing w:before="120"/>
              <w:jc w:val="center"/>
              <w:rPr>
                <w:b/>
                <w:bCs/>
                <w:sz w:val="16"/>
                <w:szCs w:val="16"/>
              </w:rPr>
            </w:pPr>
            <w:r w:rsidRPr="00C466C7">
              <w:rPr>
                <w:b/>
                <w:bCs/>
                <w:sz w:val="16"/>
                <w:szCs w:val="16"/>
              </w:rPr>
              <w:t>Instructions</w:t>
            </w:r>
          </w:p>
        </w:tc>
        <w:tc>
          <w:tcPr>
            <w:tcW w:w="709" w:type="dxa"/>
          </w:tcPr>
          <w:p w14:paraId="5B8A57C1" w14:textId="77777777" w:rsidR="002A55A6" w:rsidRPr="00C466C7" w:rsidRDefault="002A55A6" w:rsidP="008E7439">
            <w:pPr>
              <w:spacing w:before="120"/>
              <w:jc w:val="center"/>
              <w:rPr>
                <w:b/>
                <w:bCs/>
                <w:sz w:val="16"/>
                <w:szCs w:val="16"/>
              </w:rPr>
            </w:pPr>
            <w:r w:rsidRPr="00C466C7">
              <w:rPr>
                <w:b/>
                <w:bCs/>
                <w:sz w:val="16"/>
                <w:szCs w:val="16"/>
              </w:rPr>
              <w:t>Special provisions</w:t>
            </w:r>
          </w:p>
        </w:tc>
      </w:tr>
      <w:tr w:rsidR="002A55A6" w14:paraId="7F94453A" w14:textId="77777777" w:rsidTr="007B3961">
        <w:tc>
          <w:tcPr>
            <w:tcW w:w="474" w:type="dxa"/>
          </w:tcPr>
          <w:p w14:paraId="18C5932F" w14:textId="77777777" w:rsidR="002A55A6" w:rsidRPr="009973AE" w:rsidRDefault="002A55A6" w:rsidP="008E7439">
            <w:pPr>
              <w:spacing w:before="120"/>
              <w:jc w:val="center"/>
              <w:rPr>
                <w:b/>
                <w:bCs/>
                <w:sz w:val="16"/>
                <w:szCs w:val="16"/>
              </w:rPr>
            </w:pPr>
            <w:r w:rsidRPr="009973AE">
              <w:rPr>
                <w:b/>
                <w:bCs/>
                <w:sz w:val="16"/>
                <w:szCs w:val="16"/>
              </w:rPr>
              <w:t>(1)</w:t>
            </w:r>
          </w:p>
        </w:tc>
        <w:tc>
          <w:tcPr>
            <w:tcW w:w="1559" w:type="dxa"/>
          </w:tcPr>
          <w:p w14:paraId="6EAC35A8" w14:textId="77777777" w:rsidR="002A55A6" w:rsidRPr="009973AE" w:rsidRDefault="002A55A6" w:rsidP="008E7439">
            <w:pPr>
              <w:spacing w:before="120"/>
              <w:jc w:val="center"/>
              <w:rPr>
                <w:b/>
                <w:bCs/>
                <w:sz w:val="16"/>
                <w:szCs w:val="16"/>
              </w:rPr>
            </w:pPr>
            <w:r w:rsidRPr="009973AE">
              <w:rPr>
                <w:b/>
                <w:bCs/>
                <w:sz w:val="16"/>
                <w:szCs w:val="16"/>
              </w:rPr>
              <w:t>(2)</w:t>
            </w:r>
          </w:p>
        </w:tc>
        <w:tc>
          <w:tcPr>
            <w:tcW w:w="750" w:type="dxa"/>
          </w:tcPr>
          <w:p w14:paraId="5F936816" w14:textId="77777777" w:rsidR="002A55A6" w:rsidRPr="009973AE" w:rsidRDefault="002A55A6" w:rsidP="008E7439">
            <w:pPr>
              <w:spacing w:before="120"/>
              <w:jc w:val="center"/>
              <w:rPr>
                <w:b/>
                <w:bCs/>
                <w:sz w:val="16"/>
                <w:szCs w:val="16"/>
              </w:rPr>
            </w:pPr>
            <w:r w:rsidRPr="009973AE">
              <w:rPr>
                <w:b/>
                <w:bCs/>
                <w:sz w:val="16"/>
                <w:szCs w:val="16"/>
              </w:rPr>
              <w:t>(3)</w:t>
            </w:r>
          </w:p>
        </w:tc>
        <w:tc>
          <w:tcPr>
            <w:tcW w:w="955" w:type="dxa"/>
          </w:tcPr>
          <w:p w14:paraId="350D1026" w14:textId="77777777" w:rsidR="002A55A6" w:rsidRPr="009973AE" w:rsidRDefault="002A55A6" w:rsidP="008E7439">
            <w:pPr>
              <w:spacing w:before="120"/>
              <w:jc w:val="center"/>
              <w:rPr>
                <w:b/>
                <w:bCs/>
                <w:sz w:val="16"/>
                <w:szCs w:val="16"/>
              </w:rPr>
            </w:pPr>
            <w:r w:rsidRPr="009973AE">
              <w:rPr>
                <w:b/>
                <w:bCs/>
                <w:sz w:val="16"/>
                <w:szCs w:val="16"/>
              </w:rPr>
              <w:t>(4)</w:t>
            </w:r>
          </w:p>
        </w:tc>
        <w:tc>
          <w:tcPr>
            <w:tcW w:w="759" w:type="dxa"/>
          </w:tcPr>
          <w:p w14:paraId="51315AD2" w14:textId="77777777" w:rsidR="002A55A6" w:rsidRPr="009973AE" w:rsidRDefault="002A55A6" w:rsidP="008E7439">
            <w:pPr>
              <w:spacing w:before="120"/>
              <w:jc w:val="center"/>
              <w:rPr>
                <w:b/>
                <w:bCs/>
                <w:sz w:val="16"/>
                <w:szCs w:val="16"/>
              </w:rPr>
            </w:pPr>
            <w:r w:rsidRPr="009973AE">
              <w:rPr>
                <w:b/>
                <w:bCs/>
                <w:sz w:val="16"/>
                <w:szCs w:val="16"/>
              </w:rPr>
              <w:t>(5)</w:t>
            </w:r>
          </w:p>
        </w:tc>
        <w:tc>
          <w:tcPr>
            <w:tcW w:w="928" w:type="dxa"/>
          </w:tcPr>
          <w:p w14:paraId="6D75FC09" w14:textId="77777777" w:rsidR="002A55A6" w:rsidRPr="009973AE" w:rsidRDefault="002A55A6" w:rsidP="008E7439">
            <w:pPr>
              <w:spacing w:before="120"/>
              <w:jc w:val="center"/>
              <w:rPr>
                <w:b/>
                <w:bCs/>
                <w:sz w:val="16"/>
                <w:szCs w:val="16"/>
              </w:rPr>
            </w:pPr>
            <w:r w:rsidRPr="009973AE">
              <w:rPr>
                <w:b/>
                <w:bCs/>
                <w:sz w:val="16"/>
                <w:szCs w:val="16"/>
              </w:rPr>
              <w:t>(6)</w:t>
            </w:r>
          </w:p>
        </w:tc>
        <w:tc>
          <w:tcPr>
            <w:tcW w:w="516" w:type="dxa"/>
          </w:tcPr>
          <w:p w14:paraId="6252C5A0" w14:textId="77777777" w:rsidR="002A55A6" w:rsidRPr="009973AE" w:rsidRDefault="002A55A6" w:rsidP="008E7439">
            <w:pPr>
              <w:spacing w:before="120"/>
              <w:jc w:val="center"/>
              <w:rPr>
                <w:b/>
                <w:bCs/>
                <w:sz w:val="16"/>
                <w:szCs w:val="16"/>
              </w:rPr>
            </w:pPr>
            <w:r w:rsidRPr="009973AE">
              <w:rPr>
                <w:b/>
                <w:bCs/>
                <w:sz w:val="16"/>
                <w:szCs w:val="16"/>
              </w:rPr>
              <w:t>(7)</w:t>
            </w:r>
          </w:p>
        </w:tc>
        <w:tc>
          <w:tcPr>
            <w:tcW w:w="345" w:type="dxa"/>
          </w:tcPr>
          <w:p w14:paraId="1C747BBF" w14:textId="77777777" w:rsidR="002A55A6" w:rsidRPr="009973AE" w:rsidRDefault="002A55A6" w:rsidP="008E7439">
            <w:pPr>
              <w:spacing w:before="120"/>
              <w:jc w:val="center"/>
              <w:rPr>
                <w:b/>
                <w:bCs/>
                <w:sz w:val="16"/>
                <w:szCs w:val="16"/>
              </w:rPr>
            </w:pPr>
            <w:r w:rsidRPr="009973AE">
              <w:rPr>
                <w:b/>
                <w:bCs/>
                <w:sz w:val="16"/>
                <w:szCs w:val="16"/>
              </w:rPr>
              <w:t>(8)</w:t>
            </w:r>
          </w:p>
        </w:tc>
        <w:tc>
          <w:tcPr>
            <w:tcW w:w="850" w:type="dxa"/>
          </w:tcPr>
          <w:p w14:paraId="3BBC0216" w14:textId="77777777" w:rsidR="002A55A6" w:rsidRPr="009973AE" w:rsidRDefault="002A55A6" w:rsidP="008E7439">
            <w:pPr>
              <w:spacing w:before="120"/>
              <w:jc w:val="center"/>
              <w:rPr>
                <w:b/>
                <w:bCs/>
                <w:sz w:val="16"/>
                <w:szCs w:val="16"/>
              </w:rPr>
            </w:pPr>
            <w:r w:rsidRPr="009973AE">
              <w:rPr>
                <w:b/>
                <w:bCs/>
                <w:sz w:val="16"/>
                <w:szCs w:val="16"/>
              </w:rPr>
              <w:t>(9)</w:t>
            </w:r>
          </w:p>
        </w:tc>
        <w:tc>
          <w:tcPr>
            <w:tcW w:w="709" w:type="dxa"/>
          </w:tcPr>
          <w:p w14:paraId="36A8EC92" w14:textId="77777777" w:rsidR="002A55A6" w:rsidRPr="009973AE" w:rsidRDefault="002A55A6" w:rsidP="008E7439">
            <w:pPr>
              <w:spacing w:before="120"/>
              <w:jc w:val="center"/>
              <w:rPr>
                <w:b/>
                <w:bCs/>
                <w:sz w:val="16"/>
                <w:szCs w:val="16"/>
              </w:rPr>
            </w:pPr>
            <w:r w:rsidRPr="009973AE">
              <w:rPr>
                <w:b/>
                <w:bCs/>
                <w:sz w:val="16"/>
                <w:szCs w:val="16"/>
              </w:rPr>
              <w:t>(10)</w:t>
            </w:r>
          </w:p>
        </w:tc>
        <w:tc>
          <w:tcPr>
            <w:tcW w:w="850" w:type="dxa"/>
          </w:tcPr>
          <w:p w14:paraId="09886A12" w14:textId="77777777" w:rsidR="002A55A6" w:rsidRPr="009973AE" w:rsidRDefault="002A55A6" w:rsidP="008E7439">
            <w:pPr>
              <w:spacing w:before="120"/>
              <w:jc w:val="center"/>
              <w:rPr>
                <w:b/>
                <w:bCs/>
                <w:sz w:val="16"/>
                <w:szCs w:val="16"/>
              </w:rPr>
            </w:pPr>
            <w:r w:rsidRPr="009973AE">
              <w:rPr>
                <w:b/>
                <w:bCs/>
                <w:sz w:val="16"/>
                <w:szCs w:val="16"/>
              </w:rPr>
              <w:t>(11)</w:t>
            </w:r>
          </w:p>
        </w:tc>
        <w:tc>
          <w:tcPr>
            <w:tcW w:w="709" w:type="dxa"/>
          </w:tcPr>
          <w:p w14:paraId="5159DD86" w14:textId="77777777" w:rsidR="002A55A6" w:rsidRPr="009973AE" w:rsidRDefault="002A55A6" w:rsidP="008E7439">
            <w:pPr>
              <w:spacing w:before="120"/>
              <w:jc w:val="center"/>
              <w:rPr>
                <w:b/>
                <w:bCs/>
                <w:sz w:val="16"/>
                <w:szCs w:val="16"/>
              </w:rPr>
            </w:pPr>
            <w:r w:rsidRPr="009973AE">
              <w:rPr>
                <w:b/>
                <w:bCs/>
                <w:sz w:val="16"/>
                <w:szCs w:val="16"/>
              </w:rPr>
              <w:t>(12)</w:t>
            </w:r>
          </w:p>
        </w:tc>
      </w:tr>
      <w:tr w:rsidR="002A55A6" w14:paraId="4420E072" w14:textId="77777777" w:rsidTr="007B3961">
        <w:tc>
          <w:tcPr>
            <w:tcW w:w="474" w:type="dxa"/>
          </w:tcPr>
          <w:p w14:paraId="7630C352" w14:textId="77777777" w:rsidR="002A55A6" w:rsidRDefault="002A55A6" w:rsidP="008E7439">
            <w:pPr>
              <w:spacing w:before="120"/>
              <w:jc w:val="center"/>
            </w:pPr>
            <w:r>
              <w:t>1891</w:t>
            </w:r>
          </w:p>
        </w:tc>
        <w:tc>
          <w:tcPr>
            <w:tcW w:w="1559" w:type="dxa"/>
          </w:tcPr>
          <w:p w14:paraId="47C2075E" w14:textId="77777777" w:rsidR="002A55A6" w:rsidRDefault="002A55A6" w:rsidP="008E7439">
            <w:pPr>
              <w:spacing w:before="120"/>
              <w:jc w:val="center"/>
            </w:pPr>
            <w:r>
              <w:t>ETHYL BROMIDE</w:t>
            </w:r>
          </w:p>
        </w:tc>
        <w:tc>
          <w:tcPr>
            <w:tcW w:w="750" w:type="dxa"/>
          </w:tcPr>
          <w:p w14:paraId="79A16E3F" w14:textId="77777777" w:rsidR="002A55A6" w:rsidRPr="002E7791" w:rsidRDefault="002A55A6" w:rsidP="008E7439">
            <w:pPr>
              <w:spacing w:before="120"/>
              <w:jc w:val="center"/>
              <w:rPr>
                <w:strike/>
              </w:rPr>
            </w:pPr>
            <w:r w:rsidRPr="002E7791">
              <w:rPr>
                <w:strike/>
              </w:rPr>
              <w:t>6.1</w:t>
            </w:r>
            <w:r w:rsidRPr="002E7791">
              <w:t xml:space="preserve"> 3</w:t>
            </w:r>
          </w:p>
        </w:tc>
        <w:tc>
          <w:tcPr>
            <w:tcW w:w="955" w:type="dxa"/>
          </w:tcPr>
          <w:p w14:paraId="410F6391" w14:textId="77777777" w:rsidR="002A55A6" w:rsidRPr="002E7791" w:rsidRDefault="002A55A6" w:rsidP="008E7439">
            <w:pPr>
              <w:spacing w:before="120"/>
              <w:jc w:val="center"/>
              <w:rPr>
                <w:u w:val="single"/>
              </w:rPr>
            </w:pPr>
            <w:r w:rsidRPr="002E7791">
              <w:rPr>
                <w:u w:val="single"/>
              </w:rPr>
              <w:t>6.1</w:t>
            </w:r>
          </w:p>
        </w:tc>
        <w:tc>
          <w:tcPr>
            <w:tcW w:w="759" w:type="dxa"/>
          </w:tcPr>
          <w:p w14:paraId="066B951C" w14:textId="77777777" w:rsidR="002A55A6" w:rsidRDefault="002A55A6" w:rsidP="008E7439">
            <w:pPr>
              <w:spacing w:before="120"/>
              <w:jc w:val="center"/>
            </w:pPr>
            <w:r>
              <w:t>II</w:t>
            </w:r>
          </w:p>
        </w:tc>
        <w:tc>
          <w:tcPr>
            <w:tcW w:w="928" w:type="dxa"/>
          </w:tcPr>
          <w:p w14:paraId="68440812" w14:textId="77777777" w:rsidR="002A55A6" w:rsidRPr="00E62984" w:rsidRDefault="002A55A6" w:rsidP="008E7439">
            <w:pPr>
              <w:spacing w:before="120"/>
              <w:jc w:val="center"/>
              <w:rPr>
                <w:u w:val="single"/>
              </w:rPr>
            </w:pPr>
          </w:p>
        </w:tc>
        <w:tc>
          <w:tcPr>
            <w:tcW w:w="516" w:type="dxa"/>
          </w:tcPr>
          <w:p w14:paraId="14F67D86" w14:textId="77777777" w:rsidR="002A55A6" w:rsidRDefault="002A55A6" w:rsidP="008E7439">
            <w:pPr>
              <w:spacing w:before="120"/>
              <w:jc w:val="center"/>
              <w:rPr>
                <w:strike/>
              </w:rPr>
            </w:pPr>
            <w:r w:rsidRPr="002E060D">
              <w:rPr>
                <w:strike/>
              </w:rPr>
              <w:t>100 ml</w:t>
            </w:r>
          </w:p>
          <w:p w14:paraId="4F3A2F22" w14:textId="77777777" w:rsidR="002A55A6" w:rsidRPr="002E060D" w:rsidRDefault="002A55A6" w:rsidP="008E7439">
            <w:pPr>
              <w:spacing w:before="120"/>
              <w:jc w:val="center"/>
              <w:rPr>
                <w:u w:val="single"/>
              </w:rPr>
            </w:pPr>
            <w:r w:rsidRPr="002E060D">
              <w:rPr>
                <w:u w:val="single"/>
              </w:rPr>
              <w:t>1 L</w:t>
            </w:r>
          </w:p>
        </w:tc>
        <w:tc>
          <w:tcPr>
            <w:tcW w:w="345" w:type="dxa"/>
          </w:tcPr>
          <w:p w14:paraId="062F00B3" w14:textId="77777777" w:rsidR="002A55A6" w:rsidRPr="00790B0E" w:rsidRDefault="002A55A6" w:rsidP="008E7439">
            <w:pPr>
              <w:spacing w:before="120"/>
              <w:jc w:val="center"/>
              <w:rPr>
                <w:strike/>
              </w:rPr>
            </w:pPr>
            <w:r w:rsidRPr="00790B0E">
              <w:rPr>
                <w:strike/>
              </w:rPr>
              <w:t>E4</w:t>
            </w:r>
          </w:p>
          <w:p w14:paraId="543A823B" w14:textId="77777777" w:rsidR="002A55A6" w:rsidRPr="00790B0E" w:rsidRDefault="002A55A6" w:rsidP="008E7439">
            <w:pPr>
              <w:spacing w:before="120"/>
              <w:jc w:val="center"/>
              <w:rPr>
                <w:u w:val="single"/>
              </w:rPr>
            </w:pPr>
            <w:r w:rsidRPr="00790B0E">
              <w:rPr>
                <w:u w:val="single"/>
              </w:rPr>
              <w:t>E2</w:t>
            </w:r>
          </w:p>
        </w:tc>
        <w:tc>
          <w:tcPr>
            <w:tcW w:w="850" w:type="dxa"/>
          </w:tcPr>
          <w:p w14:paraId="63A2FBE8" w14:textId="77777777" w:rsidR="002A55A6" w:rsidRDefault="002A55A6" w:rsidP="008E7439">
            <w:pPr>
              <w:spacing w:before="120"/>
              <w:jc w:val="center"/>
            </w:pPr>
            <w:r>
              <w:t>P001</w:t>
            </w:r>
          </w:p>
          <w:p w14:paraId="7EA6D163" w14:textId="77777777" w:rsidR="002A55A6" w:rsidRDefault="002A55A6" w:rsidP="008E7439">
            <w:pPr>
              <w:spacing w:before="120"/>
              <w:jc w:val="center"/>
            </w:pPr>
            <w:r>
              <w:t>IBC02</w:t>
            </w:r>
          </w:p>
        </w:tc>
        <w:tc>
          <w:tcPr>
            <w:tcW w:w="709" w:type="dxa"/>
          </w:tcPr>
          <w:p w14:paraId="60BBC88F" w14:textId="77777777" w:rsidR="002A55A6" w:rsidRDefault="002A55A6" w:rsidP="008E7439">
            <w:pPr>
              <w:spacing w:before="120"/>
              <w:jc w:val="center"/>
            </w:pPr>
          </w:p>
          <w:p w14:paraId="1F0A110F" w14:textId="77777777" w:rsidR="002A55A6" w:rsidRDefault="002A55A6" w:rsidP="008E7439">
            <w:pPr>
              <w:spacing w:before="120"/>
              <w:jc w:val="center"/>
            </w:pPr>
            <w:r>
              <w:t>B8</w:t>
            </w:r>
          </w:p>
        </w:tc>
        <w:tc>
          <w:tcPr>
            <w:tcW w:w="850" w:type="dxa"/>
          </w:tcPr>
          <w:p w14:paraId="603D30A2" w14:textId="77777777" w:rsidR="002A55A6" w:rsidRDefault="002A55A6" w:rsidP="008E7439">
            <w:pPr>
              <w:spacing w:before="120"/>
              <w:jc w:val="center"/>
            </w:pPr>
            <w:r>
              <w:t>T7</w:t>
            </w:r>
          </w:p>
        </w:tc>
        <w:tc>
          <w:tcPr>
            <w:tcW w:w="709" w:type="dxa"/>
          </w:tcPr>
          <w:p w14:paraId="267F9BEF" w14:textId="77777777" w:rsidR="002A55A6" w:rsidRDefault="002A55A6" w:rsidP="008E7439">
            <w:pPr>
              <w:spacing w:before="120"/>
              <w:jc w:val="center"/>
            </w:pPr>
            <w:r>
              <w:t>TP2</w:t>
            </w:r>
          </w:p>
          <w:p w14:paraId="088DD494" w14:textId="77777777" w:rsidR="002A55A6" w:rsidRDefault="002A55A6" w:rsidP="008E7439">
            <w:pPr>
              <w:spacing w:before="120"/>
              <w:jc w:val="center"/>
            </w:pPr>
            <w:r>
              <w:t>TP13</w:t>
            </w:r>
          </w:p>
        </w:tc>
      </w:tr>
    </w:tbl>
    <w:p w14:paraId="4A8ED78D" w14:textId="6F160E60" w:rsidR="002A55A6" w:rsidRPr="006C5359" w:rsidRDefault="007B3961" w:rsidP="007B3961">
      <w:pPr>
        <w:pStyle w:val="HChG"/>
        <w:rPr>
          <w:lang w:val="en-US"/>
        </w:rPr>
      </w:pPr>
      <w:r>
        <w:rPr>
          <w:lang w:val="en-US"/>
        </w:rPr>
        <w:tab/>
      </w:r>
      <w:r>
        <w:rPr>
          <w:lang w:val="en-US"/>
        </w:rPr>
        <w:tab/>
      </w:r>
      <w:r w:rsidR="002A55A6">
        <w:rPr>
          <w:lang w:val="en-US"/>
        </w:rPr>
        <w:t>Justification</w:t>
      </w:r>
    </w:p>
    <w:p w14:paraId="64F018D5" w14:textId="2A752688" w:rsidR="002A55A6" w:rsidRDefault="007B3961" w:rsidP="007B3961">
      <w:pPr>
        <w:pStyle w:val="SingleTxtG"/>
      </w:pPr>
      <w:r>
        <w:tab/>
        <w:t>1</w:t>
      </w:r>
      <w:r w:rsidR="005F200A">
        <w:t>9</w:t>
      </w:r>
      <w:r>
        <w:t>.</w:t>
      </w:r>
      <w:r>
        <w:tab/>
      </w:r>
      <w:r w:rsidR="002A55A6">
        <w:t>Given the arguments and data provided about the classification of UN1891 as a class</w:t>
      </w:r>
      <w:r w:rsidR="005F200A">
        <w:t> </w:t>
      </w:r>
      <w:r w:rsidR="002A55A6">
        <w:t>3, PGII substance according to the criteria in 2.3.2.6, it seems justified to reclassify this substance accordingly.</w:t>
      </w:r>
    </w:p>
    <w:p w14:paraId="0CBCFD65" w14:textId="2D4F2C0D" w:rsidR="002A55A6" w:rsidRDefault="007B3961" w:rsidP="005F200A">
      <w:pPr>
        <w:pStyle w:val="SingleTxtG"/>
      </w:pPr>
      <w:r>
        <w:tab/>
      </w:r>
      <w:r w:rsidR="005F200A">
        <w:t>20</w:t>
      </w:r>
      <w:r>
        <w:t>.</w:t>
      </w:r>
      <w:r>
        <w:tab/>
      </w:r>
      <w:r w:rsidR="002A55A6">
        <w:t>The current data on the toxicity by inhalation of UN</w:t>
      </w:r>
      <w:r w:rsidR="005F200A">
        <w:t xml:space="preserve"> </w:t>
      </w:r>
      <w:r w:rsidR="002A55A6">
        <w:t>1891 do not allow to clearly and undoubtedly decide whether UN</w:t>
      </w:r>
      <w:r w:rsidR="005F200A">
        <w:t xml:space="preserve"> </w:t>
      </w:r>
      <w:r w:rsidR="002A55A6">
        <w:t>1891 should be classified as a toxic substance or not. Even though no rationale could be provided why this substance was originally classified as a division 6.1, PGII substance, it seems appropriate to keep into account its current classification as a division 6.1, PGII substance and thus assign 6.1 as a subsidiary hazard.</w:t>
      </w:r>
    </w:p>
    <w:p w14:paraId="6075E269" w14:textId="3BA82957" w:rsidR="002A55A6" w:rsidRDefault="007B3961" w:rsidP="007B3961">
      <w:pPr>
        <w:pStyle w:val="SingleTxtG"/>
      </w:pPr>
      <w:r>
        <w:tab/>
        <w:t>2</w:t>
      </w:r>
      <w:r w:rsidR="005F200A">
        <w:t>1</w:t>
      </w:r>
      <w:r>
        <w:t>.</w:t>
      </w:r>
      <w:r>
        <w:tab/>
      </w:r>
      <w:r w:rsidR="002A55A6">
        <w:t xml:space="preserve">Keeping the current classification into </w:t>
      </w:r>
      <w:r w:rsidR="00097798">
        <w:t>consideration</w:t>
      </w:r>
      <w:r w:rsidR="002A55A6">
        <w:t xml:space="preserve"> also provides a rationale for why the transport conditions that are currently assigned and proven to be safe, are kept, which is especially true in case of the transport in portable tanks. For transport under the LQ and EQ regimes, the proposed changes, which are in line with the Guiding Principles, lead to a relaxation and thus still allow and do not hamper the way this substance can currently be transported.</w:t>
      </w:r>
    </w:p>
    <w:p w14:paraId="1981F587" w14:textId="21599CA2" w:rsidR="002A55A6" w:rsidRDefault="007B3961" w:rsidP="007B3961">
      <w:pPr>
        <w:pStyle w:val="SingleTxtG"/>
      </w:pPr>
      <w:r>
        <w:tab/>
        <w:t>2</w:t>
      </w:r>
      <w:r w:rsidR="005F200A">
        <w:t>2</w:t>
      </w:r>
      <w:r>
        <w:t>.</w:t>
      </w:r>
      <w:r>
        <w:tab/>
      </w:r>
      <w:r w:rsidR="002A55A6">
        <w:t>Th</w:t>
      </w:r>
      <w:r w:rsidR="00097798">
        <w:t>is</w:t>
      </w:r>
      <w:r w:rsidR="002A55A6">
        <w:t xml:space="preserve"> proposal improves safety by clearly communicating the actual dangers and risks </w:t>
      </w:r>
      <w:r w:rsidR="00097798">
        <w:t xml:space="preserve">that </w:t>
      </w:r>
      <w:r w:rsidR="002A55A6">
        <w:t>this substance presents while</w:t>
      </w:r>
      <w:r w:rsidR="00097798">
        <w:t>,</w:t>
      </w:r>
      <w:r w:rsidR="002A55A6">
        <w:t xml:space="preserve"> at the same time</w:t>
      </w:r>
      <w:r w:rsidR="00097798">
        <w:t>,</w:t>
      </w:r>
      <w:r w:rsidR="002A55A6">
        <w:t xml:space="preserve"> keeping </w:t>
      </w:r>
      <w:r w:rsidR="00097798">
        <w:t xml:space="preserve">the current transport conditions (which have shown to be safe for many years) </w:t>
      </w:r>
      <w:r w:rsidR="002A55A6">
        <w:t>as much as reasonably possible.</w:t>
      </w:r>
    </w:p>
    <w:p w14:paraId="41E72814" w14:textId="77777777" w:rsidR="002A55A6" w:rsidRDefault="002A55A6" w:rsidP="002A55A6">
      <w:pPr>
        <w:suppressAutoHyphens w:val="0"/>
        <w:spacing w:after="200" w:line="276" w:lineRule="auto"/>
        <w:rPr>
          <w:b/>
          <w:bCs/>
          <w:sz w:val="24"/>
          <w:szCs w:val="24"/>
          <w:lang w:val="en-US"/>
        </w:rPr>
      </w:pPr>
      <w:r>
        <w:rPr>
          <w:b/>
          <w:bCs/>
          <w:sz w:val="24"/>
          <w:szCs w:val="24"/>
          <w:lang w:val="en-US"/>
        </w:rPr>
        <w:br w:type="page"/>
      </w:r>
    </w:p>
    <w:p w14:paraId="617B6E13" w14:textId="77777777" w:rsidR="007B3961" w:rsidRDefault="002A55A6" w:rsidP="007B3961">
      <w:pPr>
        <w:pStyle w:val="HChG"/>
        <w:rPr>
          <w:lang w:val="en-US"/>
        </w:rPr>
      </w:pPr>
      <w:r w:rsidRPr="005D7C2D">
        <w:rPr>
          <w:lang w:val="en-US"/>
        </w:rPr>
        <w:lastRenderedPageBreak/>
        <w:t xml:space="preserve">Annex </w:t>
      </w:r>
    </w:p>
    <w:p w14:paraId="09963468" w14:textId="7C0CEDE4" w:rsidR="002A55A6" w:rsidRDefault="007B3961" w:rsidP="007B3961">
      <w:pPr>
        <w:pStyle w:val="HChG"/>
        <w:rPr>
          <w:lang w:val="en-US"/>
        </w:rPr>
      </w:pPr>
      <w:r>
        <w:rPr>
          <w:lang w:val="en-US"/>
        </w:rPr>
        <w:tab/>
      </w:r>
      <w:r>
        <w:rPr>
          <w:lang w:val="en-US"/>
        </w:rPr>
        <w:tab/>
      </w:r>
      <w:r w:rsidR="002A55A6">
        <w:rPr>
          <w:lang w:val="en-US"/>
        </w:rPr>
        <w:t>Scientific data on UN</w:t>
      </w:r>
      <w:r w:rsidR="00097798">
        <w:rPr>
          <w:lang w:val="en-US"/>
        </w:rPr>
        <w:t xml:space="preserve"> </w:t>
      </w:r>
      <w:r w:rsidR="002A55A6">
        <w:rPr>
          <w:lang w:val="en-US"/>
        </w:rPr>
        <w:t>1891</w:t>
      </w:r>
    </w:p>
    <w:p w14:paraId="62652AEF" w14:textId="2D8CEC36" w:rsidR="002A55A6" w:rsidRPr="000105DA" w:rsidRDefault="00097798" w:rsidP="00097798">
      <w:pPr>
        <w:pStyle w:val="H23G"/>
        <w:rPr>
          <w:vertAlign w:val="subscript"/>
          <w:lang w:val="en-US"/>
        </w:rPr>
      </w:pPr>
      <w:r>
        <w:rPr>
          <w:lang w:val="en-US"/>
        </w:rPr>
        <w:tab/>
      </w:r>
      <w:r>
        <w:rPr>
          <w:lang w:val="en-US"/>
        </w:rPr>
        <w:tab/>
      </w:r>
      <w:r w:rsidR="002A55A6">
        <w:rPr>
          <w:lang w:val="en-US"/>
        </w:rPr>
        <w:t>Table 1: Flash</w:t>
      </w:r>
      <w:r>
        <w:rPr>
          <w:lang w:val="en-US"/>
        </w:rPr>
        <w:t>point</w:t>
      </w:r>
      <w:r w:rsidR="002A55A6">
        <w:rPr>
          <w:lang w:val="en-US"/>
        </w:rPr>
        <w:t xml:space="preserve"> and boiling point, LD</w:t>
      </w:r>
      <w:r w:rsidR="002A55A6" w:rsidRPr="000105DA">
        <w:rPr>
          <w:vertAlign w:val="subscript"/>
          <w:lang w:val="en-US"/>
        </w:rPr>
        <w:t>50</w:t>
      </w:r>
      <w:r w:rsidR="002A55A6">
        <w:rPr>
          <w:lang w:val="en-US"/>
        </w:rPr>
        <w:t xml:space="preserve"> and LC</w:t>
      </w:r>
      <w:r w:rsidR="002A55A6" w:rsidRPr="000105DA">
        <w:rPr>
          <w:vertAlign w:val="subscript"/>
          <w:lang w:val="en-US"/>
        </w:rPr>
        <w:t>50</w:t>
      </w:r>
    </w:p>
    <w:tbl>
      <w:tblPr>
        <w:tblStyle w:val="TableGrid"/>
        <w:tblW w:w="8663" w:type="dxa"/>
        <w:tblInd w:w="546" w:type="dxa"/>
        <w:tblLayout w:type="fixed"/>
        <w:tblLook w:val="0480" w:firstRow="0" w:lastRow="0" w:firstColumn="1" w:lastColumn="0" w:noHBand="0" w:noVBand="1"/>
      </w:tblPr>
      <w:tblGrid>
        <w:gridCol w:w="2143"/>
        <w:gridCol w:w="1417"/>
        <w:gridCol w:w="1559"/>
        <w:gridCol w:w="1560"/>
        <w:gridCol w:w="1984"/>
      </w:tblGrid>
      <w:tr w:rsidR="002A55A6" w:rsidRPr="007B3961" w14:paraId="7B2F0591" w14:textId="77777777" w:rsidTr="00097798">
        <w:tc>
          <w:tcPr>
            <w:tcW w:w="2143" w:type="dxa"/>
            <w:tcBorders>
              <w:tl2br w:val="single" w:sz="4" w:space="0" w:color="auto"/>
            </w:tcBorders>
          </w:tcPr>
          <w:p w14:paraId="5E2CF2A8" w14:textId="77777777" w:rsidR="002A55A6" w:rsidRPr="007B3961" w:rsidRDefault="002A55A6" w:rsidP="008E7439">
            <w:pPr>
              <w:rPr>
                <w:sz w:val="18"/>
                <w:szCs w:val="18"/>
              </w:rPr>
            </w:pPr>
            <w:r w:rsidRPr="007B3961">
              <w:rPr>
                <w:sz w:val="18"/>
                <w:szCs w:val="18"/>
              </w:rPr>
              <w:t xml:space="preserve">              Property</w:t>
            </w:r>
          </w:p>
          <w:p w14:paraId="7D65FD15" w14:textId="77777777" w:rsidR="002A55A6" w:rsidRPr="007B3961" w:rsidRDefault="002A55A6" w:rsidP="008E7439">
            <w:pPr>
              <w:rPr>
                <w:sz w:val="18"/>
                <w:szCs w:val="18"/>
              </w:rPr>
            </w:pPr>
            <w:r w:rsidRPr="007B3961">
              <w:rPr>
                <w:sz w:val="18"/>
                <w:szCs w:val="18"/>
              </w:rPr>
              <w:t xml:space="preserve">                                                                </w:t>
            </w:r>
          </w:p>
          <w:p w14:paraId="4CAAF79A" w14:textId="77777777" w:rsidR="002A55A6" w:rsidRPr="007B3961" w:rsidRDefault="002A55A6" w:rsidP="008E7439">
            <w:pPr>
              <w:rPr>
                <w:b/>
                <w:bCs/>
                <w:sz w:val="18"/>
                <w:szCs w:val="18"/>
              </w:rPr>
            </w:pPr>
            <w:r w:rsidRPr="007B3961">
              <w:rPr>
                <w:sz w:val="18"/>
                <w:szCs w:val="18"/>
              </w:rPr>
              <w:t>Source</w:t>
            </w:r>
          </w:p>
        </w:tc>
        <w:tc>
          <w:tcPr>
            <w:tcW w:w="1417" w:type="dxa"/>
          </w:tcPr>
          <w:p w14:paraId="55E9BB37" w14:textId="77777777" w:rsidR="002A55A6" w:rsidRPr="007B3961" w:rsidRDefault="002A55A6" w:rsidP="008E7439">
            <w:pPr>
              <w:ind w:left="21"/>
              <w:jc w:val="center"/>
              <w:rPr>
                <w:sz w:val="18"/>
                <w:szCs w:val="18"/>
              </w:rPr>
            </w:pPr>
            <w:r w:rsidRPr="007B3961">
              <w:rPr>
                <w:sz w:val="18"/>
                <w:szCs w:val="18"/>
              </w:rPr>
              <w:t>Flashpoint (°C)</w:t>
            </w:r>
          </w:p>
        </w:tc>
        <w:tc>
          <w:tcPr>
            <w:tcW w:w="1559" w:type="dxa"/>
          </w:tcPr>
          <w:p w14:paraId="02C018E2" w14:textId="77777777" w:rsidR="002A55A6" w:rsidRPr="007B3961" w:rsidRDefault="002A55A6" w:rsidP="008E7439">
            <w:pPr>
              <w:jc w:val="center"/>
              <w:rPr>
                <w:sz w:val="18"/>
                <w:szCs w:val="18"/>
              </w:rPr>
            </w:pPr>
            <w:r w:rsidRPr="007B3961">
              <w:rPr>
                <w:sz w:val="18"/>
                <w:szCs w:val="18"/>
              </w:rPr>
              <w:t>Boiling point (°C)</w:t>
            </w:r>
          </w:p>
        </w:tc>
        <w:tc>
          <w:tcPr>
            <w:tcW w:w="1560" w:type="dxa"/>
          </w:tcPr>
          <w:p w14:paraId="1E8738CC" w14:textId="77777777" w:rsidR="002A55A6" w:rsidRPr="007B3961" w:rsidRDefault="002A55A6" w:rsidP="008E7439">
            <w:pPr>
              <w:jc w:val="center"/>
              <w:rPr>
                <w:sz w:val="18"/>
                <w:szCs w:val="18"/>
              </w:rPr>
            </w:pPr>
            <w:r w:rsidRPr="007B3961">
              <w:rPr>
                <w:sz w:val="18"/>
                <w:szCs w:val="18"/>
              </w:rPr>
              <w:t>Oral toxicity LD</w:t>
            </w:r>
            <w:r w:rsidRPr="007B3961">
              <w:rPr>
                <w:sz w:val="18"/>
                <w:szCs w:val="18"/>
                <w:vertAlign w:val="subscript"/>
              </w:rPr>
              <w:t xml:space="preserve">50 </w:t>
            </w:r>
            <w:r w:rsidRPr="007B3961">
              <w:rPr>
                <w:sz w:val="18"/>
                <w:szCs w:val="18"/>
              </w:rPr>
              <w:t>(mg/kg)</w:t>
            </w:r>
          </w:p>
        </w:tc>
        <w:tc>
          <w:tcPr>
            <w:tcW w:w="1984" w:type="dxa"/>
          </w:tcPr>
          <w:p w14:paraId="449AA169" w14:textId="77777777" w:rsidR="002A55A6" w:rsidRPr="007B3961" w:rsidRDefault="002A55A6" w:rsidP="008E7439">
            <w:pPr>
              <w:jc w:val="center"/>
              <w:rPr>
                <w:sz w:val="18"/>
                <w:szCs w:val="18"/>
              </w:rPr>
            </w:pPr>
            <w:r w:rsidRPr="007B3961">
              <w:rPr>
                <w:sz w:val="18"/>
                <w:szCs w:val="18"/>
              </w:rPr>
              <w:t>Inhalation toxicity LC</w:t>
            </w:r>
            <w:r w:rsidRPr="007B3961">
              <w:rPr>
                <w:sz w:val="18"/>
                <w:szCs w:val="18"/>
                <w:vertAlign w:val="subscript"/>
              </w:rPr>
              <w:t>50</w:t>
            </w:r>
          </w:p>
        </w:tc>
      </w:tr>
      <w:tr w:rsidR="002A55A6" w:rsidRPr="007B3961" w14:paraId="16E31E94" w14:textId="77777777" w:rsidTr="00097798">
        <w:tc>
          <w:tcPr>
            <w:tcW w:w="2143" w:type="dxa"/>
            <w:vAlign w:val="center"/>
          </w:tcPr>
          <w:p w14:paraId="55F5965E" w14:textId="77777777" w:rsidR="002A55A6" w:rsidRPr="007B3961" w:rsidRDefault="002A55A6" w:rsidP="008E7439">
            <w:pPr>
              <w:jc w:val="center"/>
              <w:rPr>
                <w:sz w:val="18"/>
                <w:szCs w:val="18"/>
              </w:rPr>
            </w:pPr>
            <w:r w:rsidRPr="007B3961">
              <w:rPr>
                <w:sz w:val="18"/>
                <w:szCs w:val="18"/>
              </w:rPr>
              <w:t>BIG Kaleidos Database</w:t>
            </w:r>
            <w:r w:rsidRPr="007B3961">
              <w:rPr>
                <w:sz w:val="18"/>
                <w:szCs w:val="18"/>
                <w:vertAlign w:val="superscript"/>
              </w:rPr>
              <w:t>1</w:t>
            </w:r>
          </w:p>
        </w:tc>
        <w:tc>
          <w:tcPr>
            <w:tcW w:w="1417" w:type="dxa"/>
            <w:vAlign w:val="center"/>
          </w:tcPr>
          <w:p w14:paraId="49967661" w14:textId="77777777" w:rsidR="002A55A6" w:rsidRPr="007B3961" w:rsidRDefault="002A55A6" w:rsidP="008E7439">
            <w:pPr>
              <w:spacing w:line="240" w:lineRule="auto"/>
              <w:ind w:right="11"/>
              <w:jc w:val="center"/>
              <w:rPr>
                <w:sz w:val="18"/>
                <w:szCs w:val="18"/>
              </w:rPr>
            </w:pPr>
            <w:r w:rsidRPr="007B3961">
              <w:rPr>
                <w:sz w:val="18"/>
                <w:szCs w:val="18"/>
              </w:rPr>
              <w:t>-20</w:t>
            </w:r>
          </w:p>
        </w:tc>
        <w:tc>
          <w:tcPr>
            <w:tcW w:w="1559" w:type="dxa"/>
            <w:vAlign w:val="center"/>
          </w:tcPr>
          <w:p w14:paraId="2C484619" w14:textId="77777777" w:rsidR="002A55A6" w:rsidRPr="007B3961" w:rsidRDefault="002A55A6" w:rsidP="008E7439">
            <w:pPr>
              <w:spacing w:line="240" w:lineRule="auto"/>
              <w:ind w:right="11"/>
              <w:jc w:val="center"/>
              <w:rPr>
                <w:sz w:val="18"/>
                <w:szCs w:val="18"/>
              </w:rPr>
            </w:pPr>
            <w:r w:rsidRPr="007B3961">
              <w:rPr>
                <w:sz w:val="18"/>
                <w:szCs w:val="18"/>
              </w:rPr>
              <w:t>38</w:t>
            </w:r>
          </w:p>
        </w:tc>
        <w:tc>
          <w:tcPr>
            <w:tcW w:w="1560" w:type="dxa"/>
            <w:vAlign w:val="center"/>
          </w:tcPr>
          <w:p w14:paraId="6BB60545" w14:textId="77777777" w:rsidR="002A55A6" w:rsidRPr="007B3961" w:rsidRDefault="002A55A6" w:rsidP="008E7439">
            <w:pPr>
              <w:spacing w:line="240" w:lineRule="auto"/>
              <w:ind w:right="11"/>
              <w:jc w:val="center"/>
              <w:rPr>
                <w:sz w:val="18"/>
                <w:szCs w:val="18"/>
              </w:rPr>
            </w:pPr>
            <w:r w:rsidRPr="007B3961">
              <w:rPr>
                <w:sz w:val="18"/>
                <w:szCs w:val="18"/>
              </w:rPr>
              <w:t>/</w:t>
            </w:r>
          </w:p>
        </w:tc>
        <w:tc>
          <w:tcPr>
            <w:tcW w:w="1984" w:type="dxa"/>
            <w:vAlign w:val="center"/>
          </w:tcPr>
          <w:p w14:paraId="40F52040" w14:textId="77777777" w:rsidR="002A55A6" w:rsidRPr="007B3961" w:rsidRDefault="002A55A6" w:rsidP="008E7439">
            <w:pPr>
              <w:spacing w:line="240" w:lineRule="auto"/>
              <w:ind w:right="11"/>
              <w:jc w:val="center"/>
              <w:rPr>
                <w:sz w:val="18"/>
                <w:szCs w:val="18"/>
              </w:rPr>
            </w:pPr>
            <w:r w:rsidRPr="007B3961">
              <w:rPr>
                <w:sz w:val="18"/>
                <w:szCs w:val="18"/>
              </w:rPr>
              <w:t>/</w:t>
            </w:r>
          </w:p>
        </w:tc>
      </w:tr>
      <w:tr w:rsidR="002A55A6" w:rsidRPr="007B3961" w14:paraId="44947F80" w14:textId="77777777" w:rsidTr="00097798">
        <w:tc>
          <w:tcPr>
            <w:tcW w:w="2143" w:type="dxa"/>
            <w:vAlign w:val="center"/>
          </w:tcPr>
          <w:p w14:paraId="2218D9C0" w14:textId="77777777" w:rsidR="002A55A6" w:rsidRPr="007B3961" w:rsidRDefault="002A55A6" w:rsidP="008E7439">
            <w:pPr>
              <w:jc w:val="center"/>
              <w:rPr>
                <w:sz w:val="18"/>
                <w:szCs w:val="18"/>
              </w:rPr>
            </w:pPr>
            <w:r w:rsidRPr="007B3961">
              <w:rPr>
                <w:sz w:val="18"/>
                <w:szCs w:val="18"/>
              </w:rPr>
              <w:t>Pubmed Database</w:t>
            </w:r>
            <w:r w:rsidRPr="007B3961">
              <w:rPr>
                <w:sz w:val="18"/>
                <w:szCs w:val="18"/>
                <w:vertAlign w:val="superscript"/>
              </w:rPr>
              <w:t>2</w:t>
            </w:r>
          </w:p>
        </w:tc>
        <w:tc>
          <w:tcPr>
            <w:tcW w:w="1417" w:type="dxa"/>
            <w:vAlign w:val="center"/>
          </w:tcPr>
          <w:p w14:paraId="2E666741" w14:textId="77777777" w:rsidR="002A55A6" w:rsidRPr="007B3961" w:rsidRDefault="002A55A6" w:rsidP="008E7439">
            <w:pPr>
              <w:spacing w:line="240" w:lineRule="auto"/>
              <w:ind w:right="11"/>
              <w:jc w:val="center"/>
              <w:rPr>
                <w:sz w:val="18"/>
                <w:szCs w:val="18"/>
              </w:rPr>
            </w:pPr>
            <w:r w:rsidRPr="007B3961">
              <w:rPr>
                <w:sz w:val="18"/>
                <w:szCs w:val="18"/>
              </w:rPr>
              <w:t>-20</w:t>
            </w:r>
          </w:p>
        </w:tc>
        <w:tc>
          <w:tcPr>
            <w:tcW w:w="1559" w:type="dxa"/>
            <w:vAlign w:val="center"/>
          </w:tcPr>
          <w:p w14:paraId="2993ED8D" w14:textId="77777777" w:rsidR="002A55A6" w:rsidRPr="007B3961" w:rsidRDefault="002A55A6" w:rsidP="008E7439">
            <w:pPr>
              <w:spacing w:line="240" w:lineRule="auto"/>
              <w:ind w:right="11"/>
              <w:jc w:val="center"/>
              <w:rPr>
                <w:sz w:val="18"/>
                <w:szCs w:val="18"/>
              </w:rPr>
            </w:pPr>
            <w:r w:rsidRPr="007B3961">
              <w:rPr>
                <w:sz w:val="18"/>
                <w:szCs w:val="18"/>
              </w:rPr>
              <w:t>38</w:t>
            </w:r>
          </w:p>
        </w:tc>
        <w:tc>
          <w:tcPr>
            <w:tcW w:w="1560" w:type="dxa"/>
            <w:vAlign w:val="center"/>
          </w:tcPr>
          <w:p w14:paraId="2B0CF1E5" w14:textId="77777777" w:rsidR="002A55A6" w:rsidRPr="007B3961" w:rsidRDefault="002A55A6" w:rsidP="008E7439">
            <w:pPr>
              <w:spacing w:line="240" w:lineRule="auto"/>
              <w:ind w:right="11"/>
              <w:jc w:val="center"/>
              <w:rPr>
                <w:sz w:val="18"/>
                <w:szCs w:val="18"/>
                <w:shd w:val="clear" w:color="auto" w:fill="FFFFFF"/>
              </w:rPr>
            </w:pPr>
            <w:r w:rsidRPr="007B3961">
              <w:rPr>
                <w:sz w:val="18"/>
                <w:szCs w:val="18"/>
                <w:shd w:val="clear" w:color="auto" w:fill="FFFFFF"/>
              </w:rPr>
              <w:t>1350 (rat)</w:t>
            </w:r>
          </w:p>
        </w:tc>
        <w:tc>
          <w:tcPr>
            <w:tcW w:w="1984" w:type="dxa"/>
            <w:vAlign w:val="center"/>
          </w:tcPr>
          <w:p w14:paraId="2AA8B675" w14:textId="77777777" w:rsidR="002A55A6" w:rsidRPr="007B3961" w:rsidRDefault="002A55A6" w:rsidP="008E7439">
            <w:pPr>
              <w:spacing w:line="240" w:lineRule="auto"/>
              <w:ind w:right="11"/>
              <w:jc w:val="center"/>
              <w:rPr>
                <w:sz w:val="18"/>
                <w:szCs w:val="18"/>
              </w:rPr>
            </w:pPr>
            <w:r w:rsidRPr="007B3961">
              <w:rPr>
                <w:sz w:val="18"/>
                <w:szCs w:val="18"/>
              </w:rPr>
              <w:t>26980 mg/kg (rat)</w:t>
            </w:r>
          </w:p>
          <w:p w14:paraId="256C7F4C" w14:textId="77777777" w:rsidR="002A55A6" w:rsidRPr="007B3961" w:rsidRDefault="002A55A6" w:rsidP="008E7439">
            <w:pPr>
              <w:spacing w:line="240" w:lineRule="auto"/>
              <w:ind w:right="11"/>
              <w:jc w:val="center"/>
              <w:rPr>
                <w:sz w:val="18"/>
                <w:szCs w:val="18"/>
              </w:rPr>
            </w:pPr>
          </w:p>
          <w:p w14:paraId="4E5C4373" w14:textId="77777777" w:rsidR="002A55A6" w:rsidRPr="007B3961" w:rsidRDefault="002A55A6" w:rsidP="008E7439">
            <w:pPr>
              <w:spacing w:line="240" w:lineRule="auto"/>
              <w:ind w:right="11"/>
              <w:jc w:val="center"/>
              <w:rPr>
                <w:sz w:val="18"/>
                <w:szCs w:val="18"/>
              </w:rPr>
            </w:pPr>
            <w:r w:rsidRPr="007B3961">
              <w:rPr>
                <w:sz w:val="18"/>
                <w:szCs w:val="18"/>
              </w:rPr>
              <w:t>16230 mg/kg (mouse)</w:t>
            </w:r>
          </w:p>
        </w:tc>
      </w:tr>
      <w:tr w:rsidR="002A55A6" w:rsidRPr="007B3961" w14:paraId="66BC75A0" w14:textId="77777777" w:rsidTr="00097798">
        <w:tc>
          <w:tcPr>
            <w:tcW w:w="2143" w:type="dxa"/>
            <w:vAlign w:val="center"/>
          </w:tcPr>
          <w:p w14:paraId="0FEC1A7C" w14:textId="77777777" w:rsidR="002A55A6" w:rsidRPr="007B3961" w:rsidRDefault="002A55A6" w:rsidP="008E7439">
            <w:pPr>
              <w:jc w:val="center"/>
              <w:rPr>
                <w:sz w:val="18"/>
                <w:szCs w:val="18"/>
              </w:rPr>
            </w:pPr>
            <w:r w:rsidRPr="007B3961">
              <w:rPr>
                <w:sz w:val="18"/>
                <w:szCs w:val="18"/>
              </w:rPr>
              <w:t>Concise International Chemical Assessment Document 42 (WHO)</w:t>
            </w:r>
            <w:r w:rsidRPr="007B3961">
              <w:rPr>
                <w:sz w:val="18"/>
                <w:szCs w:val="18"/>
                <w:vertAlign w:val="superscript"/>
              </w:rPr>
              <w:t>3, 4</w:t>
            </w:r>
          </w:p>
        </w:tc>
        <w:tc>
          <w:tcPr>
            <w:tcW w:w="1417" w:type="dxa"/>
            <w:vAlign w:val="center"/>
          </w:tcPr>
          <w:p w14:paraId="6FC0B75F" w14:textId="77777777" w:rsidR="002A55A6" w:rsidRPr="007B3961" w:rsidRDefault="002A55A6" w:rsidP="008E7439">
            <w:pPr>
              <w:spacing w:line="240" w:lineRule="auto"/>
              <w:ind w:right="11"/>
              <w:jc w:val="center"/>
              <w:rPr>
                <w:sz w:val="18"/>
                <w:szCs w:val="18"/>
              </w:rPr>
            </w:pPr>
            <w:r w:rsidRPr="007B3961">
              <w:rPr>
                <w:sz w:val="18"/>
                <w:szCs w:val="18"/>
              </w:rPr>
              <w:t>-20</w:t>
            </w:r>
          </w:p>
        </w:tc>
        <w:tc>
          <w:tcPr>
            <w:tcW w:w="1559" w:type="dxa"/>
            <w:vAlign w:val="center"/>
          </w:tcPr>
          <w:p w14:paraId="4F47BDC8" w14:textId="77777777" w:rsidR="002A55A6" w:rsidRPr="007B3961" w:rsidRDefault="002A55A6" w:rsidP="008E7439">
            <w:pPr>
              <w:spacing w:line="240" w:lineRule="auto"/>
              <w:ind w:right="11"/>
              <w:jc w:val="center"/>
              <w:rPr>
                <w:sz w:val="18"/>
                <w:szCs w:val="18"/>
              </w:rPr>
            </w:pPr>
            <w:r w:rsidRPr="007B3961">
              <w:rPr>
                <w:sz w:val="18"/>
                <w:szCs w:val="18"/>
              </w:rPr>
              <w:t>38.4</w:t>
            </w:r>
          </w:p>
        </w:tc>
        <w:tc>
          <w:tcPr>
            <w:tcW w:w="1560" w:type="dxa"/>
            <w:vAlign w:val="center"/>
          </w:tcPr>
          <w:p w14:paraId="0E488EAE" w14:textId="77777777" w:rsidR="002A55A6" w:rsidRPr="007B3961" w:rsidRDefault="002A55A6" w:rsidP="008E7439">
            <w:pPr>
              <w:spacing w:line="240" w:lineRule="auto"/>
              <w:ind w:right="11"/>
              <w:jc w:val="center"/>
              <w:rPr>
                <w:sz w:val="18"/>
                <w:szCs w:val="18"/>
                <w:shd w:val="clear" w:color="auto" w:fill="FFFFFF"/>
              </w:rPr>
            </w:pPr>
            <w:r w:rsidRPr="007B3961">
              <w:rPr>
                <w:sz w:val="18"/>
                <w:szCs w:val="18"/>
                <w:shd w:val="clear" w:color="auto" w:fill="FFFFFF"/>
              </w:rPr>
              <w:t>1350 (rat)</w:t>
            </w:r>
          </w:p>
        </w:tc>
        <w:tc>
          <w:tcPr>
            <w:tcW w:w="1984" w:type="dxa"/>
            <w:vAlign w:val="center"/>
          </w:tcPr>
          <w:p w14:paraId="109667B4" w14:textId="77777777" w:rsidR="002A55A6" w:rsidRPr="007B3961" w:rsidRDefault="002A55A6" w:rsidP="008E7439">
            <w:pPr>
              <w:spacing w:line="240" w:lineRule="auto"/>
              <w:ind w:right="11"/>
              <w:jc w:val="center"/>
              <w:rPr>
                <w:sz w:val="18"/>
                <w:szCs w:val="18"/>
                <w:lang w:val="de-DE"/>
              </w:rPr>
            </w:pPr>
            <w:r w:rsidRPr="007B3961">
              <w:rPr>
                <w:sz w:val="18"/>
                <w:szCs w:val="18"/>
                <w:lang w:val="de-DE"/>
              </w:rPr>
              <w:t>21200 mg/m³ = 4681 ppm</w:t>
            </w:r>
            <w:r w:rsidRPr="007B3961">
              <w:rPr>
                <w:sz w:val="18"/>
                <w:szCs w:val="18"/>
                <w:lang w:val="de-DE"/>
              </w:rPr>
              <w:br/>
              <w:t>(rat, 4h)</w:t>
            </w:r>
          </w:p>
          <w:p w14:paraId="75152A98" w14:textId="77777777" w:rsidR="002A55A6" w:rsidRPr="007B3961" w:rsidRDefault="002A55A6" w:rsidP="008E7439">
            <w:pPr>
              <w:spacing w:line="240" w:lineRule="auto"/>
              <w:ind w:right="11"/>
              <w:jc w:val="center"/>
              <w:rPr>
                <w:sz w:val="18"/>
                <w:szCs w:val="18"/>
                <w:lang w:val="de-DE"/>
              </w:rPr>
            </w:pPr>
          </w:p>
          <w:p w14:paraId="481010FD" w14:textId="77777777" w:rsidR="002A55A6" w:rsidRPr="007B3961" w:rsidRDefault="002A55A6" w:rsidP="008E7439">
            <w:pPr>
              <w:spacing w:line="240" w:lineRule="auto"/>
              <w:ind w:right="11"/>
              <w:jc w:val="center"/>
              <w:rPr>
                <w:sz w:val="18"/>
                <w:szCs w:val="18"/>
              </w:rPr>
            </w:pPr>
            <w:r w:rsidRPr="007B3961">
              <w:rPr>
                <w:sz w:val="18"/>
                <w:szCs w:val="18"/>
              </w:rPr>
              <w:t xml:space="preserve">12300 mg/m³ = 2723 ppm </w:t>
            </w:r>
          </w:p>
          <w:p w14:paraId="2B6898D9" w14:textId="77777777" w:rsidR="002A55A6" w:rsidRPr="007B3961" w:rsidRDefault="002A55A6" w:rsidP="008E7439">
            <w:pPr>
              <w:spacing w:line="240" w:lineRule="auto"/>
              <w:ind w:right="11"/>
              <w:jc w:val="center"/>
              <w:rPr>
                <w:sz w:val="18"/>
                <w:szCs w:val="18"/>
              </w:rPr>
            </w:pPr>
            <w:r w:rsidRPr="007B3961">
              <w:rPr>
                <w:sz w:val="18"/>
                <w:szCs w:val="18"/>
              </w:rPr>
              <w:t>(mouse, 4h)</w:t>
            </w:r>
          </w:p>
        </w:tc>
      </w:tr>
      <w:tr w:rsidR="002A55A6" w:rsidRPr="007B3961" w14:paraId="0DE6BA6E" w14:textId="77777777" w:rsidTr="00097798">
        <w:tc>
          <w:tcPr>
            <w:tcW w:w="2143" w:type="dxa"/>
            <w:vAlign w:val="center"/>
          </w:tcPr>
          <w:p w14:paraId="66F96F30" w14:textId="77777777" w:rsidR="002A55A6" w:rsidRPr="007B3961" w:rsidRDefault="002A55A6" w:rsidP="008E7439">
            <w:pPr>
              <w:jc w:val="center"/>
              <w:rPr>
                <w:sz w:val="18"/>
                <w:szCs w:val="18"/>
              </w:rPr>
            </w:pPr>
            <w:r w:rsidRPr="007B3961">
              <w:rPr>
                <w:sz w:val="18"/>
                <w:szCs w:val="18"/>
              </w:rPr>
              <w:t>MSDS Bromoethane</w:t>
            </w:r>
            <w:r w:rsidRPr="007B3961">
              <w:rPr>
                <w:sz w:val="18"/>
                <w:szCs w:val="18"/>
                <w:vertAlign w:val="superscript"/>
              </w:rPr>
              <w:t>5</w:t>
            </w:r>
          </w:p>
        </w:tc>
        <w:tc>
          <w:tcPr>
            <w:tcW w:w="1417" w:type="dxa"/>
            <w:vAlign w:val="center"/>
          </w:tcPr>
          <w:p w14:paraId="0A2B6C24" w14:textId="77777777" w:rsidR="002A55A6" w:rsidRPr="007B3961" w:rsidRDefault="002A55A6" w:rsidP="008E7439">
            <w:pPr>
              <w:spacing w:line="240" w:lineRule="auto"/>
              <w:ind w:right="11"/>
              <w:jc w:val="center"/>
              <w:rPr>
                <w:sz w:val="18"/>
                <w:szCs w:val="18"/>
              </w:rPr>
            </w:pPr>
            <w:r w:rsidRPr="007B3961">
              <w:rPr>
                <w:sz w:val="18"/>
                <w:szCs w:val="18"/>
              </w:rPr>
              <w:t>-23</w:t>
            </w:r>
          </w:p>
        </w:tc>
        <w:tc>
          <w:tcPr>
            <w:tcW w:w="1559" w:type="dxa"/>
            <w:vAlign w:val="center"/>
          </w:tcPr>
          <w:p w14:paraId="3EE0638A" w14:textId="77777777" w:rsidR="002A55A6" w:rsidRPr="007B3961" w:rsidRDefault="002A55A6" w:rsidP="008E7439">
            <w:pPr>
              <w:spacing w:line="240" w:lineRule="auto"/>
              <w:ind w:right="11"/>
              <w:jc w:val="center"/>
              <w:rPr>
                <w:sz w:val="18"/>
                <w:szCs w:val="18"/>
              </w:rPr>
            </w:pPr>
            <w:r w:rsidRPr="007B3961">
              <w:rPr>
                <w:sz w:val="18"/>
                <w:szCs w:val="18"/>
              </w:rPr>
              <w:t>37 - 40°C</w:t>
            </w:r>
          </w:p>
        </w:tc>
        <w:tc>
          <w:tcPr>
            <w:tcW w:w="1560" w:type="dxa"/>
            <w:vAlign w:val="center"/>
          </w:tcPr>
          <w:p w14:paraId="41578365" w14:textId="77777777" w:rsidR="002A55A6" w:rsidRPr="007B3961" w:rsidRDefault="002A55A6" w:rsidP="008E7439">
            <w:pPr>
              <w:spacing w:line="240" w:lineRule="auto"/>
              <w:ind w:right="11"/>
              <w:jc w:val="center"/>
              <w:rPr>
                <w:sz w:val="18"/>
                <w:szCs w:val="18"/>
                <w:shd w:val="clear" w:color="auto" w:fill="FFFFFF"/>
              </w:rPr>
            </w:pPr>
            <w:r w:rsidRPr="007B3961">
              <w:rPr>
                <w:sz w:val="18"/>
                <w:szCs w:val="18"/>
                <w:shd w:val="clear" w:color="auto" w:fill="FFFFFF"/>
              </w:rPr>
              <w:t>1350 (rat)</w:t>
            </w:r>
          </w:p>
        </w:tc>
        <w:tc>
          <w:tcPr>
            <w:tcW w:w="1984" w:type="dxa"/>
            <w:vAlign w:val="center"/>
          </w:tcPr>
          <w:p w14:paraId="5558807F" w14:textId="7668D1AA" w:rsidR="002A55A6" w:rsidRPr="007B3961" w:rsidRDefault="002A55A6" w:rsidP="008E7439">
            <w:pPr>
              <w:spacing w:line="240" w:lineRule="auto"/>
              <w:ind w:right="11"/>
              <w:jc w:val="center"/>
              <w:rPr>
                <w:sz w:val="18"/>
                <w:szCs w:val="18"/>
                <w:lang w:val="de-DE"/>
              </w:rPr>
            </w:pPr>
            <w:r w:rsidRPr="007B3961">
              <w:rPr>
                <w:sz w:val="18"/>
                <w:szCs w:val="18"/>
                <w:lang w:val="de-DE"/>
              </w:rPr>
              <w:t>20</w:t>
            </w:r>
            <w:r w:rsidR="00097798">
              <w:rPr>
                <w:sz w:val="18"/>
                <w:szCs w:val="18"/>
                <w:lang w:val="de-DE"/>
              </w:rPr>
              <w:t>.</w:t>
            </w:r>
            <w:r w:rsidRPr="007B3961">
              <w:rPr>
                <w:sz w:val="18"/>
                <w:szCs w:val="18"/>
                <w:lang w:val="de-DE"/>
              </w:rPr>
              <w:t>9 mg/l (rat, 4h)</w:t>
            </w:r>
          </w:p>
          <w:p w14:paraId="3F467AED" w14:textId="77777777" w:rsidR="002A55A6" w:rsidRPr="007B3961" w:rsidRDefault="002A55A6" w:rsidP="008E7439">
            <w:pPr>
              <w:spacing w:line="240" w:lineRule="auto"/>
              <w:ind w:right="11"/>
              <w:jc w:val="center"/>
              <w:rPr>
                <w:sz w:val="18"/>
                <w:szCs w:val="18"/>
                <w:lang w:val="de-DE"/>
              </w:rPr>
            </w:pPr>
            <w:r w:rsidRPr="007B3961">
              <w:rPr>
                <w:sz w:val="18"/>
                <w:szCs w:val="18"/>
                <w:lang w:val="de-DE"/>
              </w:rPr>
              <w:t>26980 ppm (rat, 1h)</w:t>
            </w:r>
          </w:p>
        </w:tc>
      </w:tr>
    </w:tbl>
    <w:p w14:paraId="526AC901" w14:textId="456544E5" w:rsidR="002A55A6" w:rsidRPr="000105DA" w:rsidRDefault="00097798" w:rsidP="00097798">
      <w:pPr>
        <w:pStyle w:val="H23G"/>
        <w:rPr>
          <w:lang w:val="en-US"/>
        </w:rPr>
      </w:pPr>
      <w:r>
        <w:rPr>
          <w:lang w:val="en-US"/>
        </w:rPr>
        <w:tab/>
      </w:r>
      <w:r>
        <w:rPr>
          <w:lang w:val="en-US"/>
        </w:rPr>
        <w:tab/>
      </w:r>
      <w:r w:rsidR="002A55A6" w:rsidRPr="000105DA">
        <w:rPr>
          <w:lang w:val="en-US"/>
        </w:rPr>
        <w:t>Table 2: Volatility and v</w:t>
      </w:r>
      <w:r w:rsidR="002A55A6">
        <w:rPr>
          <w:lang w:val="en-US"/>
        </w:rPr>
        <w:t>apor pressure</w:t>
      </w:r>
    </w:p>
    <w:tbl>
      <w:tblPr>
        <w:tblStyle w:val="TableGrid"/>
        <w:tblW w:w="7513" w:type="dxa"/>
        <w:jc w:val="center"/>
        <w:tblLook w:val="04A0" w:firstRow="1" w:lastRow="0" w:firstColumn="1" w:lastColumn="0" w:noHBand="0" w:noVBand="1"/>
      </w:tblPr>
      <w:tblGrid>
        <w:gridCol w:w="3828"/>
        <w:gridCol w:w="3685"/>
      </w:tblGrid>
      <w:tr w:rsidR="002A55A6" w:rsidRPr="007B3961" w14:paraId="422DAD18" w14:textId="77777777" w:rsidTr="007B3961">
        <w:trPr>
          <w:jc w:val="center"/>
        </w:trPr>
        <w:tc>
          <w:tcPr>
            <w:tcW w:w="3828" w:type="dxa"/>
          </w:tcPr>
          <w:p w14:paraId="65AE07AC" w14:textId="77777777" w:rsidR="002A55A6" w:rsidRPr="007B3961" w:rsidRDefault="002A55A6" w:rsidP="008E7439">
            <w:pPr>
              <w:ind w:right="1134"/>
              <w:jc w:val="center"/>
              <w:rPr>
                <w:b/>
                <w:bCs/>
                <w:sz w:val="18"/>
                <w:szCs w:val="18"/>
              </w:rPr>
            </w:pPr>
            <w:r w:rsidRPr="007B3961">
              <w:rPr>
                <w:sz w:val="18"/>
                <w:szCs w:val="18"/>
              </w:rPr>
              <w:t>Source</w:t>
            </w:r>
          </w:p>
        </w:tc>
        <w:tc>
          <w:tcPr>
            <w:tcW w:w="3685" w:type="dxa"/>
          </w:tcPr>
          <w:p w14:paraId="6069494B" w14:textId="77777777" w:rsidR="002A55A6" w:rsidRPr="007B3961" w:rsidRDefault="002A55A6" w:rsidP="008E7439">
            <w:pPr>
              <w:ind w:right="1134"/>
              <w:jc w:val="center"/>
              <w:rPr>
                <w:sz w:val="18"/>
                <w:szCs w:val="18"/>
              </w:rPr>
            </w:pPr>
            <w:r w:rsidRPr="007B3961">
              <w:rPr>
                <w:sz w:val="18"/>
                <w:szCs w:val="18"/>
              </w:rPr>
              <w:t>Value</w:t>
            </w:r>
          </w:p>
        </w:tc>
      </w:tr>
      <w:tr w:rsidR="002A55A6" w:rsidRPr="007B3961" w14:paraId="5DCF960E" w14:textId="77777777" w:rsidTr="007B3961">
        <w:trPr>
          <w:jc w:val="center"/>
        </w:trPr>
        <w:tc>
          <w:tcPr>
            <w:tcW w:w="3828" w:type="dxa"/>
          </w:tcPr>
          <w:p w14:paraId="6D564C4E" w14:textId="77777777" w:rsidR="002A55A6" w:rsidRPr="007B3961" w:rsidRDefault="002A55A6" w:rsidP="008E7439">
            <w:pPr>
              <w:ind w:right="1134"/>
              <w:rPr>
                <w:b/>
                <w:bCs/>
                <w:sz w:val="18"/>
                <w:szCs w:val="18"/>
              </w:rPr>
            </w:pPr>
            <w:r w:rsidRPr="007B3961">
              <w:rPr>
                <w:sz w:val="18"/>
                <w:szCs w:val="18"/>
              </w:rPr>
              <w:t>MSDS Bromoethane</w:t>
            </w:r>
            <w:r w:rsidRPr="007B3961">
              <w:rPr>
                <w:sz w:val="18"/>
                <w:szCs w:val="18"/>
                <w:vertAlign w:val="superscript"/>
              </w:rPr>
              <w:t>5</w:t>
            </w:r>
          </w:p>
        </w:tc>
        <w:tc>
          <w:tcPr>
            <w:tcW w:w="3685" w:type="dxa"/>
          </w:tcPr>
          <w:p w14:paraId="22BA3D54" w14:textId="77777777" w:rsidR="002A55A6" w:rsidRPr="007B3961" w:rsidRDefault="002A55A6" w:rsidP="008E7439">
            <w:pPr>
              <w:ind w:right="1134"/>
              <w:rPr>
                <w:sz w:val="18"/>
                <w:szCs w:val="18"/>
              </w:rPr>
            </w:pPr>
            <w:r w:rsidRPr="007B3961">
              <w:rPr>
                <w:sz w:val="18"/>
                <w:szCs w:val="18"/>
              </w:rPr>
              <w:t>Volatility: 400 mm Hg</w:t>
            </w:r>
          </w:p>
        </w:tc>
      </w:tr>
      <w:tr w:rsidR="002A55A6" w:rsidRPr="007B3961" w14:paraId="73ED8987" w14:textId="77777777" w:rsidTr="007B3961">
        <w:trPr>
          <w:jc w:val="center"/>
        </w:trPr>
        <w:tc>
          <w:tcPr>
            <w:tcW w:w="3828" w:type="dxa"/>
          </w:tcPr>
          <w:p w14:paraId="7FBC8F6B" w14:textId="77777777" w:rsidR="002A55A6" w:rsidRPr="007B3961" w:rsidRDefault="002A55A6" w:rsidP="008E7439">
            <w:pPr>
              <w:ind w:right="1134"/>
              <w:rPr>
                <w:sz w:val="18"/>
                <w:szCs w:val="18"/>
              </w:rPr>
            </w:pPr>
            <w:r w:rsidRPr="007B3961">
              <w:rPr>
                <w:sz w:val="18"/>
                <w:szCs w:val="18"/>
              </w:rPr>
              <w:t>ILO international chemical safety card</w:t>
            </w:r>
            <w:r w:rsidRPr="007B3961">
              <w:rPr>
                <w:sz w:val="18"/>
                <w:szCs w:val="18"/>
                <w:vertAlign w:val="superscript"/>
              </w:rPr>
              <w:t>6</w:t>
            </w:r>
          </w:p>
        </w:tc>
        <w:tc>
          <w:tcPr>
            <w:tcW w:w="3685" w:type="dxa"/>
          </w:tcPr>
          <w:p w14:paraId="7FD6F121" w14:textId="77777777" w:rsidR="002A55A6" w:rsidRPr="007B3961" w:rsidRDefault="002A55A6" w:rsidP="008E7439">
            <w:pPr>
              <w:rPr>
                <w:sz w:val="18"/>
                <w:szCs w:val="18"/>
              </w:rPr>
            </w:pPr>
            <w:r w:rsidRPr="007B3961">
              <w:rPr>
                <w:sz w:val="18"/>
                <w:szCs w:val="18"/>
              </w:rPr>
              <w:t>Vapor pressure at 20°C: 51 kPa</w:t>
            </w:r>
          </w:p>
        </w:tc>
      </w:tr>
    </w:tbl>
    <w:p w14:paraId="7BFE855F" w14:textId="2609205C" w:rsidR="002A55A6" w:rsidRPr="00B20CA4" w:rsidRDefault="007B3961" w:rsidP="007B3961">
      <w:pPr>
        <w:pStyle w:val="H23G"/>
        <w:rPr>
          <w:lang w:val="fr-FR"/>
        </w:rPr>
      </w:pPr>
      <w:r>
        <w:rPr>
          <w:lang w:val="fr-FR"/>
        </w:rPr>
        <w:tab/>
      </w:r>
      <w:r>
        <w:rPr>
          <w:lang w:val="fr-FR"/>
        </w:rPr>
        <w:tab/>
      </w:r>
      <w:r w:rsidR="002A55A6" w:rsidRPr="00B20CA4">
        <w:rPr>
          <w:lang w:val="fr-FR"/>
        </w:rPr>
        <w:t>Sources</w:t>
      </w:r>
    </w:p>
    <w:p w14:paraId="6E4F8FA9" w14:textId="77777777" w:rsidR="002A55A6" w:rsidRPr="00097798" w:rsidRDefault="002A55A6" w:rsidP="007B3961">
      <w:pPr>
        <w:spacing w:before="60" w:after="60"/>
        <w:ind w:left="1134" w:right="1134"/>
        <w:rPr>
          <w:rStyle w:val="Hyperlink"/>
          <w:color w:val="auto"/>
          <w:sz w:val="18"/>
          <w:szCs w:val="18"/>
          <w:lang w:val="fr-FR"/>
        </w:rPr>
      </w:pPr>
      <w:r w:rsidRPr="00097798">
        <w:rPr>
          <w:sz w:val="18"/>
          <w:szCs w:val="18"/>
          <w:lang w:val="fr-FR"/>
        </w:rPr>
        <w:t xml:space="preserve">1: </w:t>
      </w:r>
      <w:hyperlink r:id="rId11" w:history="1">
        <w:r w:rsidRPr="00097798">
          <w:rPr>
            <w:rStyle w:val="Hyperlink"/>
            <w:color w:val="auto"/>
            <w:sz w:val="18"/>
            <w:szCs w:val="18"/>
            <w:lang w:val="fr-FR"/>
          </w:rPr>
          <w:t>https://www.big.be/en-us/Products/Kaleidos</w:t>
        </w:r>
      </w:hyperlink>
    </w:p>
    <w:p w14:paraId="2F9D8DA9" w14:textId="77777777" w:rsidR="002A55A6" w:rsidRPr="00097798" w:rsidRDefault="002A55A6" w:rsidP="007B3961">
      <w:pPr>
        <w:spacing w:before="60" w:after="60"/>
        <w:ind w:left="1134" w:right="1134"/>
        <w:rPr>
          <w:rStyle w:val="Hyperlink"/>
          <w:color w:val="auto"/>
          <w:sz w:val="18"/>
          <w:szCs w:val="18"/>
          <w:lang w:val="fr-FR"/>
        </w:rPr>
      </w:pPr>
      <w:r w:rsidRPr="00097798">
        <w:rPr>
          <w:sz w:val="18"/>
          <w:szCs w:val="18"/>
          <w:lang w:val="fr-FR"/>
        </w:rPr>
        <w:t xml:space="preserve">2: </w:t>
      </w:r>
      <w:hyperlink r:id="rId12" w:anchor="section=Acute-Effects" w:history="1">
        <w:r w:rsidRPr="00097798">
          <w:rPr>
            <w:rStyle w:val="Hyperlink"/>
            <w:color w:val="auto"/>
            <w:sz w:val="18"/>
            <w:szCs w:val="18"/>
            <w:lang w:val="fr-FR"/>
          </w:rPr>
          <w:t>https://pubchem.ncbi.nlm.nih.gov/compound/Bromoethane#section=Acute-Effects</w:t>
        </w:r>
      </w:hyperlink>
    </w:p>
    <w:p w14:paraId="050CE875" w14:textId="181C4705" w:rsidR="002A55A6" w:rsidRPr="00097798" w:rsidRDefault="002A55A6" w:rsidP="00097798">
      <w:pPr>
        <w:spacing w:before="60" w:after="60"/>
        <w:ind w:left="1134" w:right="1134"/>
        <w:rPr>
          <w:rStyle w:val="Hyperlink"/>
          <w:color w:val="auto"/>
          <w:sz w:val="18"/>
          <w:szCs w:val="18"/>
          <w:lang w:val="en-US"/>
        </w:rPr>
      </w:pPr>
      <w:r w:rsidRPr="00097798">
        <w:rPr>
          <w:sz w:val="18"/>
          <w:szCs w:val="18"/>
          <w:lang w:val="fr-FR"/>
        </w:rPr>
        <w:t xml:space="preserve">3: </w:t>
      </w:r>
      <w:hyperlink r:id="rId13" w:history="1">
        <w:r w:rsidRPr="00097798">
          <w:rPr>
            <w:rStyle w:val="Hyperlink"/>
            <w:color w:val="auto"/>
            <w:sz w:val="18"/>
            <w:szCs w:val="18"/>
            <w:lang w:val="fr-FR"/>
          </w:rPr>
          <w:t>https://www.who.int/ipcs/publications/cicad/en/cicad42.pdf?ua=1</w:t>
        </w:r>
      </w:hyperlink>
      <w:r w:rsidRPr="00097798">
        <w:rPr>
          <w:rStyle w:val="Hyperlink"/>
          <w:color w:val="auto"/>
          <w:sz w:val="18"/>
          <w:szCs w:val="18"/>
          <w:lang w:val="fr-FR"/>
        </w:rPr>
        <w:t>,</w:t>
      </w:r>
      <w:r w:rsidR="00097798" w:rsidRPr="00097798">
        <w:rPr>
          <w:rStyle w:val="Hyperlink"/>
          <w:color w:val="auto"/>
          <w:sz w:val="18"/>
          <w:szCs w:val="18"/>
          <w:lang w:val="fr-FR"/>
        </w:rPr>
        <w:t xml:space="preserve"> </w:t>
      </w:r>
      <w:r w:rsidRPr="00097798">
        <w:rPr>
          <w:rStyle w:val="Hyperlink"/>
          <w:color w:val="auto"/>
          <w:sz w:val="18"/>
          <w:szCs w:val="18"/>
          <w:lang w:val="en-US"/>
        </w:rPr>
        <w:t>Data LC</w:t>
      </w:r>
      <w:r w:rsidRPr="00097798">
        <w:rPr>
          <w:rStyle w:val="Hyperlink"/>
          <w:color w:val="auto"/>
          <w:sz w:val="18"/>
          <w:szCs w:val="18"/>
          <w:vertAlign w:val="subscript"/>
          <w:lang w:val="en-US"/>
        </w:rPr>
        <w:t>50</w:t>
      </w:r>
      <w:r w:rsidRPr="00097798">
        <w:rPr>
          <w:rStyle w:val="Hyperlink"/>
          <w:color w:val="auto"/>
          <w:sz w:val="18"/>
          <w:szCs w:val="18"/>
          <w:lang w:val="en-US"/>
        </w:rPr>
        <w:t>: see source</w:t>
      </w:r>
      <w:r w:rsidR="00097798" w:rsidRPr="00097798">
        <w:rPr>
          <w:rStyle w:val="Hyperlink"/>
          <w:color w:val="auto"/>
          <w:sz w:val="18"/>
          <w:szCs w:val="18"/>
          <w:lang w:val="en-US"/>
        </w:rPr>
        <w:t> </w:t>
      </w:r>
      <w:r w:rsidRPr="00097798">
        <w:rPr>
          <w:rStyle w:val="Hyperlink"/>
          <w:color w:val="auto"/>
          <w:sz w:val="18"/>
          <w:szCs w:val="18"/>
          <w:lang w:val="en-US"/>
        </w:rPr>
        <w:t>4</w:t>
      </w:r>
    </w:p>
    <w:p w14:paraId="0765B0DA" w14:textId="77777777" w:rsidR="002A55A6" w:rsidRPr="00097798" w:rsidRDefault="002A55A6" w:rsidP="007B3961">
      <w:pPr>
        <w:spacing w:before="60" w:after="60"/>
        <w:ind w:left="1134" w:right="1134"/>
        <w:rPr>
          <w:sz w:val="18"/>
          <w:szCs w:val="18"/>
          <w:lang w:val="en-US"/>
        </w:rPr>
      </w:pPr>
      <w:r w:rsidRPr="00097798">
        <w:rPr>
          <w:rStyle w:val="Hyperlink"/>
          <w:color w:val="auto"/>
          <w:sz w:val="18"/>
          <w:szCs w:val="18"/>
          <w:lang w:val="en-US"/>
        </w:rPr>
        <w:t xml:space="preserve">4: </w:t>
      </w:r>
      <w:r w:rsidRPr="00097798">
        <w:rPr>
          <w:sz w:val="18"/>
          <w:szCs w:val="18"/>
          <w:lang w:val="en-US"/>
        </w:rPr>
        <w:t>Only for LC</w:t>
      </w:r>
      <w:r w:rsidRPr="00097798">
        <w:rPr>
          <w:sz w:val="18"/>
          <w:szCs w:val="18"/>
          <w:vertAlign w:val="subscript"/>
          <w:lang w:val="en-US"/>
        </w:rPr>
        <w:t>50</w:t>
      </w:r>
      <w:r w:rsidRPr="00097798">
        <w:rPr>
          <w:sz w:val="18"/>
          <w:szCs w:val="18"/>
          <w:lang w:val="en-US"/>
        </w:rPr>
        <w:t xml:space="preserve">:In the document for </w:t>
      </w:r>
      <w:r w:rsidRPr="00097798">
        <w:rPr>
          <w:rStyle w:val="Hyperlink"/>
          <w:color w:val="auto"/>
          <w:sz w:val="18"/>
          <w:szCs w:val="18"/>
          <w:lang w:val="en-US"/>
        </w:rPr>
        <w:t>LC</w:t>
      </w:r>
      <w:r w:rsidRPr="00097798">
        <w:rPr>
          <w:rStyle w:val="Hyperlink"/>
          <w:color w:val="auto"/>
          <w:sz w:val="18"/>
          <w:szCs w:val="18"/>
          <w:vertAlign w:val="subscript"/>
          <w:lang w:val="en-US"/>
        </w:rPr>
        <w:t>50</w:t>
      </w:r>
      <w:r w:rsidRPr="00097798">
        <w:rPr>
          <w:rStyle w:val="Hyperlink"/>
          <w:color w:val="auto"/>
          <w:sz w:val="18"/>
          <w:szCs w:val="18"/>
          <w:lang w:val="en-US"/>
        </w:rPr>
        <w:t xml:space="preserve"> rat: see table 5; LC</w:t>
      </w:r>
      <w:r w:rsidRPr="00097798">
        <w:rPr>
          <w:rStyle w:val="Hyperlink"/>
          <w:color w:val="auto"/>
          <w:sz w:val="18"/>
          <w:szCs w:val="18"/>
          <w:vertAlign w:val="subscript"/>
          <w:lang w:val="en-US"/>
        </w:rPr>
        <w:t>50</w:t>
      </w:r>
      <w:r w:rsidRPr="00097798">
        <w:rPr>
          <w:rStyle w:val="Hyperlink"/>
          <w:color w:val="auto"/>
          <w:sz w:val="18"/>
          <w:szCs w:val="18"/>
          <w:lang w:val="en-US"/>
        </w:rPr>
        <w:t xml:space="preserve">mice: see table 16. </w:t>
      </w:r>
      <w:hyperlink r:id="rId14" w:history="1">
        <w:r w:rsidRPr="00097798">
          <w:rPr>
            <w:rStyle w:val="Hyperlink"/>
            <w:color w:val="auto"/>
            <w:sz w:val="18"/>
            <w:szCs w:val="18"/>
            <w:lang w:val="en-US"/>
          </w:rPr>
          <w:t>https://ntp.niehs.nih.gov/ntp/htdocs/lt_rpts/tr363.pdf?utm_source=direct&amp;utm_medium=prod&amp;utm_campaign=ntpgolinks&amp;utm_term=tr363</w:t>
        </w:r>
      </w:hyperlink>
    </w:p>
    <w:p w14:paraId="690C4644" w14:textId="77777777" w:rsidR="002A55A6" w:rsidRPr="00097798" w:rsidRDefault="002A55A6" w:rsidP="007B3961">
      <w:pPr>
        <w:spacing w:before="60" w:after="60"/>
        <w:ind w:left="1134" w:right="1134"/>
        <w:rPr>
          <w:rStyle w:val="Hyperlink"/>
          <w:color w:val="auto"/>
          <w:sz w:val="18"/>
          <w:szCs w:val="18"/>
          <w:lang w:val="en-US"/>
        </w:rPr>
      </w:pPr>
      <w:r w:rsidRPr="00097798">
        <w:rPr>
          <w:rStyle w:val="Hyperlink"/>
          <w:color w:val="auto"/>
          <w:sz w:val="18"/>
          <w:szCs w:val="18"/>
          <w:lang w:val="en-US"/>
        </w:rPr>
        <w:t xml:space="preserve">5: </w:t>
      </w:r>
      <w:hyperlink r:id="rId15" w:history="1">
        <w:r w:rsidRPr="00097798">
          <w:rPr>
            <w:rStyle w:val="Hyperlink"/>
            <w:color w:val="auto"/>
            <w:sz w:val="18"/>
            <w:szCs w:val="18"/>
            <w:lang w:val="en-US"/>
          </w:rPr>
          <w:t>https://www.fishersci.com/store/msds?partNumber=AC154215000&amp;productDescription=BROMOETHANE+98%25+500ML&amp;vendorId=VN00032119&amp;countryCode=US&amp;language=en</w:t>
        </w:r>
      </w:hyperlink>
    </w:p>
    <w:p w14:paraId="17AD0EA2" w14:textId="7C0BB31D" w:rsidR="002A55A6" w:rsidRPr="00097798" w:rsidRDefault="002A55A6" w:rsidP="007B3961">
      <w:pPr>
        <w:spacing w:before="60" w:after="60"/>
        <w:ind w:left="1134" w:right="1134"/>
        <w:rPr>
          <w:rStyle w:val="Hyperlink"/>
          <w:color w:val="auto"/>
          <w:sz w:val="18"/>
          <w:szCs w:val="18"/>
          <w:lang w:val="en-US"/>
        </w:rPr>
      </w:pPr>
      <w:r w:rsidRPr="00097798">
        <w:rPr>
          <w:rStyle w:val="Hyperlink"/>
          <w:color w:val="auto"/>
          <w:sz w:val="18"/>
          <w:szCs w:val="18"/>
          <w:lang w:val="en-US"/>
        </w:rPr>
        <w:t xml:space="preserve">6: </w:t>
      </w:r>
      <w:hyperlink r:id="rId16" w:history="1">
        <w:r w:rsidRPr="00097798">
          <w:rPr>
            <w:rStyle w:val="Hyperlink"/>
            <w:color w:val="auto"/>
            <w:sz w:val="18"/>
            <w:szCs w:val="18"/>
            <w:lang w:val="en-US"/>
          </w:rPr>
          <w:t>http://www.ilo.org/dyn/icsc/showcard.display?p_version=2&amp;p_card_id=1378</w:t>
        </w:r>
      </w:hyperlink>
      <w:r w:rsidR="007B3961" w:rsidRPr="00097798">
        <w:rPr>
          <w:rStyle w:val="Hyperlink"/>
          <w:color w:val="auto"/>
          <w:sz w:val="18"/>
          <w:szCs w:val="18"/>
          <w:lang w:val="en-US"/>
        </w:rPr>
        <w:t xml:space="preserve"> </w:t>
      </w:r>
    </w:p>
    <w:p w14:paraId="67E368E0" w14:textId="1A3B57A2" w:rsidR="007B3961" w:rsidRPr="007B3961" w:rsidRDefault="007B3961" w:rsidP="007B3961">
      <w:pPr>
        <w:spacing w:before="240"/>
        <w:jc w:val="center"/>
        <w:rPr>
          <w:u w:val="single"/>
          <w:lang w:val="en-US"/>
        </w:rPr>
      </w:pPr>
      <w:r>
        <w:rPr>
          <w:u w:val="single"/>
          <w:lang w:val="en-US"/>
        </w:rPr>
        <w:tab/>
      </w:r>
      <w:r>
        <w:rPr>
          <w:u w:val="single"/>
          <w:lang w:val="en-US"/>
        </w:rPr>
        <w:tab/>
      </w:r>
      <w:r>
        <w:rPr>
          <w:u w:val="single"/>
          <w:lang w:val="en-US"/>
        </w:rPr>
        <w:tab/>
      </w:r>
    </w:p>
    <w:sectPr w:rsidR="007B3961" w:rsidRPr="007B3961" w:rsidSect="006A2EE1">
      <w:headerReference w:type="even" r:id="rId17"/>
      <w:headerReference w:type="default" r:id="rId18"/>
      <w:footerReference w:type="even" r:id="rId19"/>
      <w:footerReference w:type="default" r:id="rId20"/>
      <w:footerReference w:type="first" r:id="rId21"/>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2D968" w14:textId="77777777" w:rsidR="006A2EE1" w:rsidRPr="00C47B2E" w:rsidRDefault="006A2EE1" w:rsidP="00C47B2E">
      <w:pPr>
        <w:pStyle w:val="Footer"/>
      </w:pPr>
    </w:p>
  </w:endnote>
  <w:endnote w:type="continuationSeparator" w:id="0">
    <w:p w14:paraId="349DC65F" w14:textId="77777777" w:rsidR="006A2EE1" w:rsidRPr="00C47B2E" w:rsidRDefault="006A2EE1" w:rsidP="00C47B2E">
      <w:pPr>
        <w:pStyle w:val="Footer"/>
      </w:pPr>
    </w:p>
  </w:endnote>
  <w:endnote w:type="continuationNotice" w:id="1">
    <w:p w14:paraId="7A13929A" w14:textId="77777777" w:rsidR="006A2EE1" w:rsidRPr="00C47B2E" w:rsidRDefault="006A2EE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E983A" w14:textId="6CC49E93" w:rsidR="00D94B05" w:rsidRPr="006A2EE1" w:rsidRDefault="006A2EE1" w:rsidP="006A2EE1">
    <w:pPr>
      <w:pStyle w:val="Footer"/>
      <w:tabs>
        <w:tab w:val="right" w:pos="9598"/>
        <w:tab w:val="right" w:pos="9638"/>
      </w:tabs>
      <w:rPr>
        <w:sz w:val="18"/>
      </w:rPr>
    </w:pPr>
    <w:r w:rsidRPr="006A2EE1">
      <w:rPr>
        <w:b/>
        <w:sz w:val="18"/>
      </w:rPr>
      <w:fldChar w:fldCharType="begin"/>
    </w:r>
    <w:r w:rsidRPr="006A2EE1">
      <w:rPr>
        <w:b/>
        <w:sz w:val="18"/>
      </w:rPr>
      <w:instrText xml:space="preserve"> PAGE  \* MERGEFORMAT </w:instrText>
    </w:r>
    <w:r w:rsidRPr="006A2EE1">
      <w:rPr>
        <w:b/>
        <w:sz w:val="18"/>
      </w:rPr>
      <w:fldChar w:fldCharType="separate"/>
    </w:r>
    <w:r w:rsidRPr="006A2EE1">
      <w:rPr>
        <w:b/>
        <w:noProof/>
        <w:sz w:val="18"/>
      </w:rPr>
      <w:t>2</w:t>
    </w:r>
    <w:r w:rsidRPr="006A2EE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5A79" w14:textId="4D71352F" w:rsidR="00D94B05" w:rsidRPr="007B3961" w:rsidRDefault="006A2EE1" w:rsidP="007B3961">
    <w:pPr>
      <w:pStyle w:val="Footer"/>
      <w:tabs>
        <w:tab w:val="left" w:pos="5775"/>
        <w:tab w:val="right" w:pos="9598"/>
        <w:tab w:val="right" w:pos="9638"/>
      </w:tabs>
      <w:jc w:val="right"/>
      <w:rPr>
        <w:sz w:val="18"/>
        <w:szCs w:val="18"/>
      </w:rPr>
    </w:pPr>
    <w:r w:rsidRPr="007B3961">
      <w:rPr>
        <w:b/>
        <w:sz w:val="18"/>
        <w:szCs w:val="18"/>
      </w:rPr>
      <w:tab/>
    </w:r>
    <w:r w:rsidRPr="007B3961">
      <w:rPr>
        <w:sz w:val="18"/>
        <w:szCs w:val="18"/>
      </w:rPr>
      <w:fldChar w:fldCharType="begin"/>
    </w:r>
    <w:r w:rsidRPr="007B3961">
      <w:rPr>
        <w:sz w:val="18"/>
        <w:szCs w:val="18"/>
      </w:rPr>
      <w:instrText xml:space="preserve"> PAGE  \* MERGEFORMAT </w:instrText>
    </w:r>
    <w:r w:rsidRPr="007B3961">
      <w:rPr>
        <w:sz w:val="18"/>
        <w:szCs w:val="18"/>
      </w:rPr>
      <w:fldChar w:fldCharType="separate"/>
    </w:r>
    <w:r w:rsidRPr="007B3961">
      <w:rPr>
        <w:noProof/>
        <w:sz w:val="18"/>
        <w:szCs w:val="18"/>
      </w:rPr>
      <w:t>3</w:t>
    </w:r>
    <w:r w:rsidRPr="007B3961">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F74A" w14:textId="77777777" w:rsidR="00D94B05" w:rsidRPr="006A2EE1"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27ACF9A" wp14:editId="2C7B170C">
          <wp:simplePos x="0" y="0"/>
          <wp:positionH relativeFrom="margin">
            <wp:posOffset>5003800</wp:posOffset>
          </wp:positionH>
          <wp:positionV relativeFrom="margin">
            <wp:posOffset>9323705</wp:posOffset>
          </wp:positionV>
          <wp:extent cx="923925" cy="228600"/>
          <wp:effectExtent l="0" t="0" r="952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C6D85" w14:textId="77777777" w:rsidR="006A2EE1" w:rsidRPr="00C47B2E" w:rsidRDefault="006A2EE1" w:rsidP="00C47B2E">
      <w:pPr>
        <w:tabs>
          <w:tab w:val="right" w:pos="2155"/>
        </w:tabs>
        <w:spacing w:after="80" w:line="240" w:lineRule="auto"/>
        <w:ind w:left="680"/>
      </w:pPr>
      <w:r>
        <w:rPr>
          <w:u w:val="single"/>
        </w:rPr>
        <w:tab/>
      </w:r>
    </w:p>
  </w:footnote>
  <w:footnote w:type="continuationSeparator" w:id="0">
    <w:p w14:paraId="2BA379F4" w14:textId="77777777" w:rsidR="006A2EE1" w:rsidRPr="00C47B2E" w:rsidRDefault="006A2EE1" w:rsidP="005E716E">
      <w:pPr>
        <w:tabs>
          <w:tab w:val="right" w:pos="2155"/>
        </w:tabs>
        <w:spacing w:after="80" w:line="240" w:lineRule="auto"/>
        <w:ind w:left="680"/>
      </w:pPr>
      <w:r>
        <w:rPr>
          <w:u w:val="single"/>
        </w:rPr>
        <w:tab/>
      </w:r>
    </w:p>
  </w:footnote>
  <w:footnote w:type="continuationNotice" w:id="1">
    <w:p w14:paraId="07A3FB3A" w14:textId="77777777" w:rsidR="006A2EE1" w:rsidRPr="00C47B2E" w:rsidRDefault="006A2EE1" w:rsidP="00C47B2E">
      <w:pPr>
        <w:pStyle w:val="Footer"/>
      </w:pPr>
    </w:p>
  </w:footnote>
  <w:footnote w:id="2">
    <w:p w14:paraId="090BD773" w14:textId="6D0B6613" w:rsidR="002A55A6" w:rsidRPr="002A55A6" w:rsidRDefault="002A55A6" w:rsidP="002A55A6">
      <w:pPr>
        <w:pStyle w:val="FootnoteText"/>
        <w:tabs>
          <w:tab w:val="left" w:pos="1418"/>
        </w:tabs>
        <w:ind w:firstLine="0"/>
        <w:rPr>
          <w:lang w:val="fr-CH"/>
        </w:rPr>
      </w:pPr>
      <w:r>
        <w:rPr>
          <w:rStyle w:val="FootnoteReference"/>
        </w:rPr>
        <w:footnoteRef/>
      </w:r>
      <w:r>
        <w:t xml:space="preserve"> </w:t>
      </w:r>
      <w:r>
        <w:tab/>
      </w:r>
      <w:r w:rsidRPr="00B34E88">
        <w:rPr>
          <w:rStyle w:val="FootnoteReference"/>
          <w:sz w:val="20"/>
          <w:vertAlign w:val="baseline"/>
        </w:rPr>
        <w:t>2020 (A/74/6 (Sect.20)) and Supplementary, Subprogramme 2</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021A0" w14:textId="30A3E859" w:rsidR="006A2EE1" w:rsidRPr="006A2EE1" w:rsidRDefault="007D3D62">
    <w:pPr>
      <w:pStyle w:val="Header"/>
    </w:pPr>
    <w:r>
      <w:fldChar w:fldCharType="begin"/>
    </w:r>
    <w:r>
      <w:instrText xml:space="preserve"> TITLE  \* MERGEFORMAT </w:instrText>
    </w:r>
    <w:r>
      <w:fldChar w:fldCharType="separate"/>
    </w:r>
    <w:r>
      <w:t>ST/SG/AC.10/C.3/2020/72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C5BB" w14:textId="22903792" w:rsidR="00D94B05" w:rsidRPr="006A2EE1" w:rsidRDefault="007D3D62" w:rsidP="006A2EE1">
    <w:pPr>
      <w:pStyle w:val="Header"/>
      <w:jc w:val="right"/>
    </w:pPr>
    <w:r>
      <w:fldChar w:fldCharType="begin"/>
    </w:r>
    <w:r>
      <w:instrText xml:space="preserve"> TITLE  \* MERGEFORMAT </w:instrText>
    </w:r>
    <w:r>
      <w:fldChar w:fldCharType="separate"/>
    </w:r>
    <w:r>
      <w:t>ST/SG/AC.10/C.3/2020/72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745070E"/>
    <w:multiLevelType w:val="hybridMultilevel"/>
    <w:tmpl w:val="DE46D24A"/>
    <w:lvl w:ilvl="0" w:tplc="DA0469EC">
      <w:start w:val="1"/>
      <w:numFmt w:val="decimal"/>
      <w:lvlText w:val="%1."/>
      <w:lvlJc w:val="left"/>
      <w:pPr>
        <w:ind w:left="1137" w:hanging="57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E1"/>
    <w:rsid w:val="00046E92"/>
    <w:rsid w:val="00063C90"/>
    <w:rsid w:val="00097798"/>
    <w:rsid w:val="00101B98"/>
    <w:rsid w:val="001514D1"/>
    <w:rsid w:val="00247E2C"/>
    <w:rsid w:val="002A32CB"/>
    <w:rsid w:val="002A55A6"/>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42C2"/>
    <w:rsid w:val="005E716E"/>
    <w:rsid w:val="005F200A"/>
    <w:rsid w:val="006476E1"/>
    <w:rsid w:val="006604DF"/>
    <w:rsid w:val="00671529"/>
    <w:rsid w:val="006A2EE1"/>
    <w:rsid w:val="0070489D"/>
    <w:rsid w:val="007268F9"/>
    <w:rsid w:val="00750282"/>
    <w:rsid w:val="00764440"/>
    <w:rsid w:val="0077101B"/>
    <w:rsid w:val="007B3961"/>
    <w:rsid w:val="007C52B0"/>
    <w:rsid w:val="007C6033"/>
    <w:rsid w:val="007D3D62"/>
    <w:rsid w:val="008147C8"/>
    <w:rsid w:val="0081753A"/>
    <w:rsid w:val="0084196E"/>
    <w:rsid w:val="00857D23"/>
    <w:rsid w:val="009411B4"/>
    <w:rsid w:val="00946F1D"/>
    <w:rsid w:val="009D0139"/>
    <w:rsid w:val="009D717D"/>
    <w:rsid w:val="009F5CDC"/>
    <w:rsid w:val="00A072D7"/>
    <w:rsid w:val="00A775CF"/>
    <w:rsid w:val="00A974A7"/>
    <w:rsid w:val="00AC1CA0"/>
    <w:rsid w:val="00AD1A9C"/>
    <w:rsid w:val="00AF5DE1"/>
    <w:rsid w:val="00B06045"/>
    <w:rsid w:val="00B206DD"/>
    <w:rsid w:val="00B52EF4"/>
    <w:rsid w:val="00B777AD"/>
    <w:rsid w:val="00C03015"/>
    <w:rsid w:val="00C0358D"/>
    <w:rsid w:val="00C35A27"/>
    <w:rsid w:val="00C47B2E"/>
    <w:rsid w:val="00D609C2"/>
    <w:rsid w:val="00D63CD2"/>
    <w:rsid w:val="00D87DC2"/>
    <w:rsid w:val="00D94B05"/>
    <w:rsid w:val="00E02C2B"/>
    <w:rsid w:val="00E21C27"/>
    <w:rsid w:val="00E26BCF"/>
    <w:rsid w:val="00E52109"/>
    <w:rsid w:val="00E75317"/>
    <w:rsid w:val="00EC0CE6"/>
    <w:rsid w:val="00EC7C1D"/>
    <w:rsid w:val="00ED6C48"/>
    <w:rsid w:val="00EE3045"/>
    <w:rsid w:val="00F65F5D"/>
    <w:rsid w:val="00F85638"/>
    <w:rsid w:val="00F86A3A"/>
    <w:rsid w:val="00FE2C0F"/>
    <w:rsid w:val="00FF6D7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EAE9E8"/>
  <w15:docId w15:val="{FF41EA54-344D-4448-8620-33E5A301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2A55A6"/>
  </w:style>
  <w:style w:type="character" w:customStyle="1" w:styleId="HChGChar">
    <w:name w:val="_ H _Ch_G Char"/>
    <w:link w:val="HChG"/>
    <w:rsid w:val="002A55A6"/>
    <w:rPr>
      <w:b/>
      <w:sz w:val="28"/>
    </w:rPr>
  </w:style>
  <w:style w:type="character" w:customStyle="1" w:styleId="H1GChar">
    <w:name w:val="_ H_1_G Char"/>
    <w:link w:val="H1G"/>
    <w:rsid w:val="002A55A6"/>
    <w:rPr>
      <w:b/>
      <w:sz w:val="24"/>
    </w:rPr>
  </w:style>
  <w:style w:type="paragraph" w:styleId="ListParagraph">
    <w:name w:val="List Paragraph"/>
    <w:basedOn w:val="Normal"/>
    <w:uiPriority w:val="34"/>
    <w:rsid w:val="002A55A6"/>
    <w:pPr>
      <w:kinsoku/>
      <w:overflowPunct/>
      <w:autoSpaceDE/>
      <w:autoSpaceDN/>
      <w:adjustRightInd/>
      <w:snapToGrid/>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who.int/ipcs/publications/cicad/en/cicad42.pdf?ua=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ubchem.ncbi.nlm.nih.gov/compound/Bromoetha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lo.org/dyn/icsc/showcard.display?p_version=2&amp;p_card_id=137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be/en-us/Products/Kaleidos" TargetMode="External"/><Relationship Id="rId5" Type="http://schemas.openxmlformats.org/officeDocument/2006/relationships/webSettings" Target="webSettings.xml"/><Relationship Id="rId15" Type="http://schemas.openxmlformats.org/officeDocument/2006/relationships/hyperlink" Target="https://www.fishersci.com/store/msds?partNumber=AC154215000&amp;productDescription=BROMOETHANE+98%25+500ML&amp;vendorId=VN00032119&amp;countryCode=US&amp;language=en" TargetMode="Externa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tp.niehs.nih.gov/ntp/htdocs/lt_rpts/tr363.pdf?utm_source=direct&amp;utm_medium=prod&amp;utm_campaign=ntpgolinks&amp;utm_term=tr363"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AB6E-CA76-41E9-816B-D23BA9E8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99</TotalTime>
  <Pages>5</Pages>
  <Words>2110</Words>
  <Characters>11207</Characters>
  <Application>Microsoft Office Word</Application>
  <DocSecurity>0</DocSecurity>
  <Lines>302</Lines>
  <Paragraphs>168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ST/SG/AC.10/C.3/2020/72</vt:lpstr>
      <vt:lpstr>ST/SG/AC.10/C.3/2020/72</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ST/SG/AC.10/C.3/2020/72</dc:title>
  <dc:subject/>
  <dc:creator>Editorial</dc:creator>
  <cp:lastModifiedBy>Laurence Berthet</cp:lastModifiedBy>
  <cp:revision>5</cp:revision>
  <cp:lastPrinted>2020-09-07T12:16:00Z</cp:lastPrinted>
  <dcterms:created xsi:type="dcterms:W3CDTF">2020-09-04T14:46:00Z</dcterms:created>
  <dcterms:modified xsi:type="dcterms:W3CDTF">2020-09-07T12:16:00Z</dcterms:modified>
</cp:coreProperties>
</file>