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132EA9" w:rsidRPr="00DB58B5" w14:paraId="1DE64E10" w14:textId="77777777" w:rsidTr="00F01738">
        <w:trPr>
          <w:trHeight w:hRule="exact" w:val="851"/>
        </w:trPr>
        <w:tc>
          <w:tcPr>
            <w:tcW w:w="1276" w:type="dxa"/>
            <w:tcBorders>
              <w:bottom w:val="single" w:sz="4" w:space="0" w:color="auto"/>
            </w:tcBorders>
          </w:tcPr>
          <w:p w14:paraId="34804FED" w14:textId="77777777" w:rsidR="00132EA9" w:rsidRPr="00DB58B5" w:rsidRDefault="00132EA9" w:rsidP="00816CB8">
            <w:bookmarkStart w:id="0" w:name="_GoBack"/>
            <w:bookmarkEnd w:id="0"/>
          </w:p>
        </w:tc>
        <w:tc>
          <w:tcPr>
            <w:tcW w:w="2268" w:type="dxa"/>
            <w:tcBorders>
              <w:bottom w:val="single" w:sz="4" w:space="0" w:color="auto"/>
            </w:tcBorders>
            <w:vAlign w:val="bottom"/>
          </w:tcPr>
          <w:p w14:paraId="3986F3A4" w14:textId="77777777" w:rsidR="00132EA9" w:rsidRPr="00DB58B5" w:rsidRDefault="00132EA9" w:rsidP="00F01738">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093DAB6E" w14:textId="77777777" w:rsidR="00132EA9" w:rsidRPr="00DB58B5" w:rsidRDefault="00816CB8" w:rsidP="00816CB8">
            <w:pPr>
              <w:jc w:val="right"/>
            </w:pPr>
            <w:r w:rsidRPr="00816CB8">
              <w:rPr>
                <w:sz w:val="40"/>
              </w:rPr>
              <w:t>ST</w:t>
            </w:r>
            <w:r>
              <w:t>/SG/AC.10/C.3/2020/61</w:t>
            </w:r>
          </w:p>
        </w:tc>
      </w:tr>
      <w:tr w:rsidR="00132EA9" w:rsidRPr="00DB58B5" w14:paraId="10BACBFC" w14:textId="77777777" w:rsidTr="00F01738">
        <w:trPr>
          <w:trHeight w:hRule="exact" w:val="2835"/>
        </w:trPr>
        <w:tc>
          <w:tcPr>
            <w:tcW w:w="1276" w:type="dxa"/>
            <w:tcBorders>
              <w:top w:val="single" w:sz="4" w:space="0" w:color="auto"/>
              <w:bottom w:val="single" w:sz="12" w:space="0" w:color="auto"/>
            </w:tcBorders>
          </w:tcPr>
          <w:p w14:paraId="274D9102" w14:textId="77777777" w:rsidR="00132EA9" w:rsidRPr="00DB58B5" w:rsidRDefault="00132EA9" w:rsidP="00F01738">
            <w:pPr>
              <w:spacing w:before="120"/>
              <w:jc w:val="center"/>
            </w:pPr>
            <w:r>
              <w:rPr>
                <w:noProof/>
                <w:lang w:eastAsia="fr-CH"/>
              </w:rPr>
              <w:drawing>
                <wp:inline distT="0" distB="0" distL="0" distR="0" wp14:anchorId="3F707ECD" wp14:editId="59BD6233">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65C0C15B" w14:textId="77777777" w:rsidR="00132EA9" w:rsidRPr="00740562" w:rsidRDefault="00132EA9" w:rsidP="00F01738">
            <w:pPr>
              <w:spacing w:before="120" w:line="420" w:lineRule="exact"/>
              <w:rPr>
                <w:b/>
                <w:sz w:val="40"/>
                <w:szCs w:val="40"/>
              </w:rPr>
            </w:pPr>
            <w:r w:rsidRPr="00A55C22">
              <w:rPr>
                <w:b/>
                <w:sz w:val="40"/>
                <w:szCs w:val="40"/>
              </w:rPr>
              <w:t>Secrétariat</w:t>
            </w:r>
          </w:p>
        </w:tc>
        <w:tc>
          <w:tcPr>
            <w:tcW w:w="2835" w:type="dxa"/>
            <w:tcBorders>
              <w:top w:val="single" w:sz="4" w:space="0" w:color="auto"/>
              <w:bottom w:val="single" w:sz="12" w:space="0" w:color="auto"/>
            </w:tcBorders>
          </w:tcPr>
          <w:p w14:paraId="2EC6B2C6" w14:textId="77777777" w:rsidR="00132EA9" w:rsidRDefault="00816CB8" w:rsidP="00F01738">
            <w:pPr>
              <w:spacing w:before="240"/>
            </w:pPr>
            <w:r>
              <w:t>Distr. générale</w:t>
            </w:r>
          </w:p>
          <w:p w14:paraId="17C5334B" w14:textId="77777777" w:rsidR="00816CB8" w:rsidRDefault="00816CB8" w:rsidP="00816CB8">
            <w:pPr>
              <w:spacing w:line="240" w:lineRule="exact"/>
            </w:pPr>
            <w:r>
              <w:t>4 septembre 2020</w:t>
            </w:r>
          </w:p>
          <w:p w14:paraId="034D842A" w14:textId="77777777" w:rsidR="00816CB8" w:rsidRDefault="00816CB8" w:rsidP="00816CB8">
            <w:pPr>
              <w:spacing w:line="240" w:lineRule="exact"/>
            </w:pPr>
            <w:r>
              <w:t>Français</w:t>
            </w:r>
          </w:p>
          <w:p w14:paraId="4FD3F069" w14:textId="77777777" w:rsidR="00816CB8" w:rsidRPr="00DB58B5" w:rsidRDefault="00816CB8" w:rsidP="00816CB8">
            <w:pPr>
              <w:spacing w:line="240" w:lineRule="exact"/>
            </w:pPr>
            <w:r>
              <w:t>Original : anglais</w:t>
            </w:r>
          </w:p>
        </w:tc>
      </w:tr>
    </w:tbl>
    <w:p w14:paraId="693032E0" w14:textId="77777777" w:rsidR="00816CB8" w:rsidRPr="00CA0680" w:rsidRDefault="00816CB8" w:rsidP="000305D3">
      <w:pPr>
        <w:spacing w:before="120"/>
        <w:rPr>
          <w:b/>
          <w:sz w:val="24"/>
          <w:szCs w:val="24"/>
        </w:rPr>
      </w:pPr>
      <w:r w:rsidRPr="00CA0680">
        <w:rPr>
          <w:b/>
          <w:sz w:val="24"/>
          <w:szCs w:val="24"/>
        </w:rPr>
        <w:t>Comité d’experts du transport</w:t>
      </w:r>
      <w:r>
        <w:rPr>
          <w:b/>
          <w:sz w:val="24"/>
          <w:szCs w:val="24"/>
        </w:rPr>
        <w:t xml:space="preserve"> </w:t>
      </w:r>
      <w:r w:rsidRPr="00CA0680">
        <w:rPr>
          <w:b/>
          <w:sz w:val="24"/>
          <w:szCs w:val="24"/>
        </w:rPr>
        <w:t>des marchandises dangereuses</w:t>
      </w:r>
      <w:r>
        <w:rPr>
          <w:b/>
          <w:sz w:val="24"/>
          <w:szCs w:val="24"/>
        </w:rPr>
        <w:br/>
      </w:r>
      <w:r w:rsidRPr="00CA0680">
        <w:rPr>
          <w:b/>
          <w:sz w:val="24"/>
          <w:szCs w:val="24"/>
        </w:rPr>
        <w:t>et</w:t>
      </w:r>
      <w:r>
        <w:rPr>
          <w:b/>
          <w:sz w:val="24"/>
          <w:szCs w:val="24"/>
        </w:rPr>
        <w:t xml:space="preserve"> </w:t>
      </w:r>
      <w:r w:rsidRPr="00CA0680">
        <w:rPr>
          <w:b/>
          <w:sz w:val="24"/>
          <w:szCs w:val="24"/>
        </w:rPr>
        <w:t xml:space="preserve">du </w:t>
      </w:r>
      <w:r>
        <w:rPr>
          <w:b/>
          <w:sz w:val="24"/>
          <w:szCs w:val="24"/>
        </w:rPr>
        <w:t>S</w:t>
      </w:r>
      <w:r w:rsidRPr="00CA0680">
        <w:rPr>
          <w:b/>
          <w:sz w:val="24"/>
          <w:szCs w:val="24"/>
        </w:rPr>
        <w:t>ystème général harmonisé</w:t>
      </w:r>
      <w:r>
        <w:rPr>
          <w:b/>
          <w:sz w:val="24"/>
          <w:szCs w:val="24"/>
        </w:rPr>
        <w:t xml:space="preserve"> </w:t>
      </w:r>
      <w:r w:rsidRPr="00CA0680">
        <w:rPr>
          <w:b/>
          <w:sz w:val="24"/>
          <w:szCs w:val="24"/>
        </w:rPr>
        <w:t>de classification</w:t>
      </w:r>
      <w:r>
        <w:rPr>
          <w:b/>
          <w:sz w:val="24"/>
          <w:szCs w:val="24"/>
        </w:rPr>
        <w:br/>
      </w:r>
      <w:r w:rsidRPr="00CA0680">
        <w:rPr>
          <w:b/>
          <w:sz w:val="24"/>
          <w:szCs w:val="24"/>
        </w:rPr>
        <w:t>et d’étiquetage</w:t>
      </w:r>
      <w:r>
        <w:rPr>
          <w:b/>
          <w:sz w:val="24"/>
          <w:szCs w:val="24"/>
        </w:rPr>
        <w:t xml:space="preserve"> </w:t>
      </w:r>
      <w:r w:rsidRPr="00CA0680">
        <w:rPr>
          <w:b/>
          <w:sz w:val="24"/>
          <w:szCs w:val="24"/>
        </w:rPr>
        <w:t>des produits chimiques</w:t>
      </w:r>
    </w:p>
    <w:p w14:paraId="791C9B48" w14:textId="77777777" w:rsidR="00816CB8" w:rsidRPr="00CA0680" w:rsidRDefault="00816CB8" w:rsidP="000305D3">
      <w:pPr>
        <w:spacing w:before="120"/>
        <w:rPr>
          <w:b/>
        </w:rPr>
      </w:pPr>
      <w:r w:rsidRPr="00CA0680">
        <w:rPr>
          <w:b/>
        </w:rPr>
        <w:t>Sous</w:t>
      </w:r>
      <w:r>
        <w:rPr>
          <w:b/>
        </w:rPr>
        <w:t>-</w:t>
      </w:r>
      <w:r w:rsidRPr="00CA0680">
        <w:rPr>
          <w:b/>
        </w:rPr>
        <w:t>Comité d’experts du transport des marchandises dangereuses</w:t>
      </w:r>
    </w:p>
    <w:p w14:paraId="597E062D" w14:textId="77777777" w:rsidR="00816CB8" w:rsidRPr="00C073B2" w:rsidRDefault="00816CB8" w:rsidP="00816CB8">
      <w:pPr>
        <w:spacing w:before="120"/>
        <w:rPr>
          <w:b/>
          <w:lang w:val="fr-FR"/>
        </w:rPr>
      </w:pPr>
      <w:r>
        <w:rPr>
          <w:b/>
          <w:bCs/>
          <w:lang w:val="fr-FR"/>
        </w:rPr>
        <w:t>Cinquante-septième session</w:t>
      </w:r>
    </w:p>
    <w:p w14:paraId="52BFD146" w14:textId="77777777" w:rsidR="00816CB8" w:rsidRDefault="00816CB8" w:rsidP="00816CB8">
      <w:pPr>
        <w:rPr>
          <w:lang w:val="fr-FR"/>
        </w:rPr>
      </w:pPr>
      <w:r>
        <w:rPr>
          <w:lang w:val="fr-FR"/>
        </w:rPr>
        <w:t>Genève, 30 novembre-8 décembre 2020</w:t>
      </w:r>
    </w:p>
    <w:p w14:paraId="23CC5DF9" w14:textId="77777777" w:rsidR="00816CB8" w:rsidRPr="00C073B2" w:rsidRDefault="00816CB8" w:rsidP="00816CB8">
      <w:pPr>
        <w:rPr>
          <w:lang w:val="fr-FR"/>
        </w:rPr>
      </w:pPr>
      <w:r>
        <w:rPr>
          <w:lang w:val="fr-FR"/>
        </w:rPr>
        <w:t>Point 3 de l’ordre du jour provisoire</w:t>
      </w:r>
    </w:p>
    <w:p w14:paraId="723DD060" w14:textId="77777777" w:rsidR="00816CB8" w:rsidRPr="00C073B2" w:rsidRDefault="00816CB8" w:rsidP="00816CB8">
      <w:pPr>
        <w:rPr>
          <w:b/>
          <w:lang w:val="fr-FR"/>
        </w:rPr>
      </w:pPr>
      <w:r>
        <w:rPr>
          <w:b/>
          <w:bCs/>
          <w:lang w:val="fr-FR"/>
        </w:rPr>
        <w:t>Inscription, classement et emballage</w:t>
      </w:r>
    </w:p>
    <w:p w14:paraId="486FF88C" w14:textId="77777777" w:rsidR="00816CB8" w:rsidRPr="00C073B2" w:rsidRDefault="00816CB8" w:rsidP="00816CB8">
      <w:pPr>
        <w:pStyle w:val="HChG"/>
        <w:rPr>
          <w:lang w:val="fr-FR"/>
        </w:rPr>
      </w:pPr>
      <w:r>
        <w:rPr>
          <w:lang w:val="fr-FR"/>
        </w:rPr>
        <w:tab/>
      </w:r>
      <w:r>
        <w:rPr>
          <w:lang w:val="fr-FR"/>
        </w:rPr>
        <w:tab/>
        <w:t xml:space="preserve">Clarification du champ d’application </w:t>
      </w:r>
      <w:r>
        <w:rPr>
          <w:lang w:val="fr-FR"/>
        </w:rPr>
        <w:br/>
        <w:t>de la disposition spéciale 354</w:t>
      </w:r>
    </w:p>
    <w:p w14:paraId="0A9EEE80" w14:textId="77777777" w:rsidR="00816CB8" w:rsidRPr="00C073B2" w:rsidRDefault="00816CB8" w:rsidP="00816CB8">
      <w:pPr>
        <w:pStyle w:val="H1G"/>
        <w:rPr>
          <w:lang w:val="fr-FR"/>
        </w:rPr>
      </w:pPr>
      <w:r>
        <w:rPr>
          <w:lang w:val="fr-FR"/>
        </w:rPr>
        <w:tab/>
      </w:r>
      <w:r>
        <w:rPr>
          <w:lang w:val="fr-FR"/>
        </w:rPr>
        <w:tab/>
        <w:t>Communication de l’expert des Pays-Bas</w:t>
      </w:r>
      <w:r w:rsidRPr="00816CB8">
        <w:rPr>
          <w:rStyle w:val="FootnoteReference"/>
          <w:b w:val="0"/>
          <w:bCs/>
          <w:sz w:val="20"/>
          <w:vertAlign w:val="baseline"/>
        </w:rPr>
        <w:footnoteReference w:customMarkFollows="1" w:id="2"/>
        <w:t>*</w:t>
      </w:r>
    </w:p>
    <w:p w14:paraId="0E305D99" w14:textId="77777777" w:rsidR="00816CB8" w:rsidRPr="00C073B2" w:rsidRDefault="00816CB8" w:rsidP="00816CB8">
      <w:pPr>
        <w:pStyle w:val="HChG"/>
        <w:rPr>
          <w:lang w:val="fr-FR"/>
        </w:rPr>
      </w:pPr>
      <w:r>
        <w:rPr>
          <w:lang w:val="fr-FR"/>
        </w:rPr>
        <w:tab/>
      </w:r>
      <w:r>
        <w:rPr>
          <w:lang w:val="fr-FR"/>
        </w:rPr>
        <w:tab/>
        <w:t>Introduction</w:t>
      </w:r>
    </w:p>
    <w:p w14:paraId="708379CA" w14:textId="77777777" w:rsidR="00816CB8" w:rsidRPr="00C073B2" w:rsidRDefault="00816CB8" w:rsidP="00816CB8">
      <w:pPr>
        <w:pStyle w:val="SingleTxtG"/>
        <w:rPr>
          <w:lang w:val="fr-FR"/>
        </w:rPr>
      </w:pPr>
      <w:r>
        <w:rPr>
          <w:lang w:val="fr-FR"/>
        </w:rPr>
        <w:t>1.</w:t>
      </w:r>
      <w:r>
        <w:rPr>
          <w:lang w:val="fr-FR"/>
        </w:rPr>
        <w:tab/>
      </w:r>
      <w:r w:rsidRPr="00816CB8">
        <w:rPr>
          <w:spacing w:val="-2"/>
          <w:lang w:val="fr-FR"/>
        </w:rPr>
        <w:t>À ses cinquante-cinquième et cinquante-sixième sessions et au cours du débat informel qui s’est tenu en ligne en juin et juillet, le Sous-Comité d’experts du transport des marchandises dangereuses a examiné la demande d’un nouveau numéro ONU pour la poudre de dihydroxyde de cobalt. Il a été proposé de classer cette matière dans le groupe d’emballage I de la classe 6.1 compte tenu de sa toxicité par inhalation (voir les documents informels INF.24 (cinquante-cinquième session), INF.19 (cinquante-sixième session), INF.54 (cinquante-sixième session), ST/SG/AC.10/C.3/2020/21 et INF.5 (cinquante-septième session)).</w:t>
      </w:r>
      <w:r>
        <w:rPr>
          <w:lang w:val="fr-FR"/>
        </w:rPr>
        <w:t xml:space="preserve"> Les débats ont également porté sur la question de savoir si la disposition spéciale 354 devait être associée à ce nouveau numéro ONU. La disposition spéciale 354 se lit comme suit : « Cette matière est toxique par inhalation. ».</w:t>
      </w:r>
    </w:p>
    <w:p w14:paraId="7EE437F6" w14:textId="77777777" w:rsidR="00816CB8" w:rsidRPr="00C073B2" w:rsidRDefault="00816CB8" w:rsidP="00816CB8">
      <w:pPr>
        <w:pStyle w:val="SingleTxtG"/>
        <w:rPr>
          <w:lang w:val="fr-FR"/>
        </w:rPr>
      </w:pPr>
      <w:r>
        <w:rPr>
          <w:lang w:val="fr-FR"/>
        </w:rPr>
        <w:t>2.</w:t>
      </w:r>
      <w:r>
        <w:rPr>
          <w:lang w:val="fr-FR"/>
        </w:rPr>
        <w:tab/>
        <w:t>La disposition spéciale 354 vise les liquides qui répondent aux critères suivants</w:t>
      </w:r>
      <w:r w:rsidR="00A854A4">
        <w:rPr>
          <w:lang w:val="fr-FR"/>
        </w:rPr>
        <w:t> </w:t>
      </w:r>
      <w:r>
        <w:rPr>
          <w:lang w:val="fr-FR"/>
        </w:rPr>
        <w:t>: i)</w:t>
      </w:r>
      <w:r w:rsidR="00A854A4">
        <w:rPr>
          <w:lang w:val="fr-FR"/>
        </w:rPr>
        <w:t> </w:t>
      </w:r>
      <w:r>
        <w:rPr>
          <w:lang w:val="fr-FR"/>
        </w:rPr>
        <w:t>avoir une CL</w:t>
      </w:r>
      <w:r w:rsidRPr="00C073B2">
        <w:rPr>
          <w:vertAlign w:val="subscript"/>
          <w:lang w:val="fr-FR"/>
        </w:rPr>
        <w:t>50</w:t>
      </w:r>
      <w:r>
        <w:rPr>
          <w:lang w:val="fr-FR"/>
        </w:rPr>
        <w:t xml:space="preserve"> inférieure ou égale à </w:t>
      </w:r>
      <w:r w:rsidRPr="00A854A4">
        <w:t>1</w:t>
      </w:r>
      <w:r w:rsidR="00A854A4">
        <w:t> </w:t>
      </w:r>
      <w:r w:rsidRPr="00A854A4">
        <w:t>000</w:t>
      </w:r>
      <w:r>
        <w:rPr>
          <w:lang w:val="fr-FR"/>
        </w:rPr>
        <w:t> ml/m</w:t>
      </w:r>
      <w:r>
        <w:rPr>
          <w:vertAlign w:val="superscript"/>
          <w:lang w:val="fr-FR"/>
        </w:rPr>
        <w:t>3</w:t>
      </w:r>
      <w:r>
        <w:rPr>
          <w:lang w:val="fr-FR"/>
        </w:rPr>
        <w:t xml:space="preserve"> et une concentration de vapeur saturée supérieure ou égale à 10 CL</w:t>
      </w:r>
      <w:r>
        <w:rPr>
          <w:vertAlign w:val="subscript"/>
          <w:lang w:val="fr-FR"/>
        </w:rPr>
        <w:t>50</w:t>
      </w:r>
      <w:r w:rsidR="00A854A4" w:rsidRPr="00A854A4">
        <w:rPr>
          <w:lang w:val="fr-FR"/>
        </w:rPr>
        <w:t> </w:t>
      </w:r>
      <w:r w:rsidR="00A854A4">
        <w:rPr>
          <w:lang w:val="fr-FR"/>
        </w:rPr>
        <w:t xml:space="preserve">; </w:t>
      </w:r>
      <w:r>
        <w:rPr>
          <w:lang w:val="fr-FR"/>
        </w:rPr>
        <w:t>ou ii)</w:t>
      </w:r>
      <w:r w:rsidR="00A854A4">
        <w:rPr>
          <w:lang w:val="fr-FR"/>
        </w:rPr>
        <w:t> </w:t>
      </w:r>
      <w:r>
        <w:rPr>
          <w:lang w:val="fr-FR"/>
        </w:rPr>
        <w:t>avoir une CL</w:t>
      </w:r>
      <w:r>
        <w:rPr>
          <w:vertAlign w:val="subscript"/>
          <w:lang w:val="fr-FR"/>
        </w:rPr>
        <w:t>50</w:t>
      </w:r>
      <w:r>
        <w:rPr>
          <w:lang w:val="fr-FR"/>
        </w:rPr>
        <w:t xml:space="preserve"> inférieure ou égale à 200 ml/m</w:t>
      </w:r>
      <w:r>
        <w:rPr>
          <w:vertAlign w:val="superscript"/>
          <w:lang w:val="fr-FR"/>
        </w:rPr>
        <w:t>3</w:t>
      </w:r>
      <w:r>
        <w:rPr>
          <w:lang w:val="fr-FR"/>
        </w:rPr>
        <w:t xml:space="preserve"> et une concentration de vapeur saturée supérieure ou égale à 500 CL</w:t>
      </w:r>
      <w:r>
        <w:rPr>
          <w:vertAlign w:val="subscript"/>
          <w:lang w:val="fr-FR"/>
        </w:rPr>
        <w:t>50</w:t>
      </w:r>
      <w:r>
        <w:rPr>
          <w:lang w:val="fr-FR"/>
        </w:rPr>
        <w:t>. Elle est utilisée pour identifier et communiquer les dangers que posent les matières hautement toxiques par inhalation.</w:t>
      </w:r>
    </w:p>
    <w:p w14:paraId="1443C2B2" w14:textId="77777777" w:rsidR="00816CB8" w:rsidRPr="00C073B2" w:rsidRDefault="00816CB8" w:rsidP="00816CB8">
      <w:pPr>
        <w:pStyle w:val="SingleTxtG"/>
        <w:rPr>
          <w:lang w:val="fr-FR"/>
        </w:rPr>
      </w:pPr>
      <w:r>
        <w:rPr>
          <w:lang w:val="fr-FR"/>
        </w:rPr>
        <w:t>3.</w:t>
      </w:r>
      <w:r>
        <w:rPr>
          <w:lang w:val="fr-FR"/>
        </w:rPr>
        <w:tab/>
        <w:t xml:space="preserve">Les débats actuels concernant la disposition spéciale 354 portent sur la question de savoir si celle-ci devrait être appliquée à tous les états physiques (y compris aux poussières), plutôt qu’à l’état liquide seulement. L’attribution de la disposition spéciale aux poussières qui sont toxiques par inhalation élargirait le champ d’application de cette disposition. En outre, il faudrait procéder à une révision approfondie de la liste des marchandises dangereuses pour attribuer la disposition spéciale 354 à toutes les autres </w:t>
      </w:r>
      <w:r>
        <w:rPr>
          <w:lang w:val="fr-FR"/>
        </w:rPr>
        <w:lastRenderedPageBreak/>
        <w:t>matières du groupe d’emballage I de la classe 6.1 qui sont toxiques par inhalation, ou bien mettre en place une exception bien définie pour la matière dont il est question ici (poudre de dihydroxyde de cobalt). Aujourd’hui, il n’y a au sein du Sous-Comité d’experts du transport des marchandises dangereuses aucun autre débat concernant les matières toxiques par inhalation auxquelles il serait nécessaire d’attribuer la disposition spéciale</w:t>
      </w:r>
      <w:r w:rsidR="00A854A4">
        <w:rPr>
          <w:lang w:val="fr-FR"/>
        </w:rPr>
        <w:t> </w:t>
      </w:r>
      <w:r>
        <w:rPr>
          <w:lang w:val="fr-FR"/>
        </w:rPr>
        <w:t>354. Par conséquent, rien n’indique qu’il soit nécessaire d’élargir le champ d’application de cette disposition. En outre, il ressort des débats en cours sur le dihydroxyde de cobalt qu’il n’y a aucune raison de faire une exception pour cette matière.</w:t>
      </w:r>
    </w:p>
    <w:p w14:paraId="0690D08E" w14:textId="77777777" w:rsidR="00816CB8" w:rsidRPr="00C073B2" w:rsidRDefault="00816CB8" w:rsidP="00C805E4">
      <w:pPr>
        <w:pStyle w:val="HChG"/>
        <w:rPr>
          <w:lang w:val="fr-FR"/>
        </w:rPr>
      </w:pPr>
      <w:r>
        <w:rPr>
          <w:lang w:val="fr-FR"/>
        </w:rPr>
        <w:tab/>
      </w:r>
      <w:r>
        <w:rPr>
          <w:lang w:val="fr-FR"/>
        </w:rPr>
        <w:tab/>
        <w:t>Historique</w:t>
      </w:r>
    </w:p>
    <w:p w14:paraId="7C9D794D" w14:textId="77777777" w:rsidR="00816CB8" w:rsidRPr="00C073B2" w:rsidRDefault="00816CB8" w:rsidP="00816CB8">
      <w:pPr>
        <w:pStyle w:val="SingleTxtG"/>
        <w:rPr>
          <w:lang w:val="fr-FR"/>
        </w:rPr>
      </w:pPr>
      <w:r>
        <w:rPr>
          <w:lang w:val="fr-FR"/>
        </w:rPr>
        <w:t>4.</w:t>
      </w:r>
      <w:r>
        <w:rPr>
          <w:lang w:val="fr-FR"/>
        </w:rPr>
        <w:tab/>
        <w:t xml:space="preserve">Les travaux relatifs à la disposition spéciale 354 ont été menés entre 2006 et 2008. Ils ont commencé par un examen visant à identifier les matières liquides du Règlement type remplissant les critères énoncés au deuxième paragraphe du présent document (matières toxiques par inhalation) et à leur attribuer les instructions de transport en citerne mobile </w:t>
      </w:r>
      <w:r w:rsidRPr="00C805E4">
        <w:rPr>
          <w:lang w:val="fr-FR"/>
        </w:rPr>
        <w:t>appropriées</w:t>
      </w:r>
      <w:r>
        <w:rPr>
          <w:lang w:val="fr-FR"/>
        </w:rPr>
        <w:t xml:space="preserve"> (voir ST/SG/AC.10/C.3/2006/93 et documents informels INF.73, INF.74 et INF.75 (</w:t>
      </w:r>
      <w:r w:rsidR="00C805E4">
        <w:rPr>
          <w:lang w:val="fr-FR"/>
        </w:rPr>
        <w:t>trentième</w:t>
      </w:r>
      <w:r>
        <w:rPr>
          <w:lang w:val="fr-FR"/>
        </w:rPr>
        <w:t xml:space="preserve"> session)). Dans un deuxième temps, les modifications apportées aux instructions de transport en citerne mobile ont entraîné des modifications des instructions d’emballage (voir ST/SG/AC.10/C.3/2008/52 et le rapport ST/SG/AC.10/C.3/66). Pour plusieurs matières mentionnées dans les documents ci-dessus, il a fallu obtenir davantage d’informations sur les valeurs de pression de vapeur et d’inhalation aiguë (CL</w:t>
      </w:r>
      <w:r w:rsidRPr="00C073B2">
        <w:rPr>
          <w:vertAlign w:val="subscript"/>
          <w:lang w:val="fr-FR"/>
        </w:rPr>
        <w:t>50</w:t>
      </w:r>
      <w:r>
        <w:rPr>
          <w:lang w:val="fr-FR"/>
        </w:rPr>
        <w:t>) afin de déterminer si lesdites matières remplissaient les critères de classement dans la division</w:t>
      </w:r>
      <w:r w:rsidR="00C805E4">
        <w:rPr>
          <w:lang w:val="fr-FR"/>
        </w:rPr>
        <w:t> </w:t>
      </w:r>
      <w:r>
        <w:rPr>
          <w:lang w:val="fr-FR"/>
        </w:rPr>
        <w:t>6.1. Ces informations ont été publiées ultérieurement dans les documents ST/SG/AC.10/</w:t>
      </w:r>
      <w:r w:rsidR="00C805E4">
        <w:rPr>
          <w:lang w:val="fr-FR"/>
        </w:rPr>
        <w:t xml:space="preserve"> </w:t>
      </w:r>
      <w:r>
        <w:rPr>
          <w:lang w:val="fr-FR"/>
        </w:rPr>
        <w:t>C.3/2008/49 et INF.8 (</w:t>
      </w:r>
      <w:r w:rsidR="00C805E4">
        <w:rPr>
          <w:lang w:val="fr-FR"/>
        </w:rPr>
        <w:t xml:space="preserve">trente-troisième </w:t>
      </w:r>
      <w:r>
        <w:rPr>
          <w:lang w:val="fr-FR"/>
        </w:rPr>
        <w:t>session).</w:t>
      </w:r>
    </w:p>
    <w:p w14:paraId="40437523" w14:textId="77777777" w:rsidR="00816CB8" w:rsidRPr="00C073B2" w:rsidRDefault="00816CB8" w:rsidP="00816CB8">
      <w:pPr>
        <w:pStyle w:val="SingleTxtG"/>
        <w:rPr>
          <w:bCs/>
          <w:lang w:val="fr-FR"/>
        </w:rPr>
      </w:pPr>
      <w:r w:rsidRPr="00355380">
        <w:rPr>
          <w:lang w:val="fr-FR"/>
        </w:rPr>
        <w:t>5</w:t>
      </w:r>
      <w:r>
        <w:rPr>
          <w:lang w:val="fr-FR"/>
        </w:rPr>
        <w:t>.</w:t>
      </w:r>
      <w:r>
        <w:rPr>
          <w:lang w:val="fr-FR"/>
        </w:rPr>
        <w:tab/>
        <w:t>En outre, les dispositions relatives aux emballages et aux citernes mobiles dans lesquels sont transportées les matières mentionnées dans ces documents ont également dû être modifiées compte tenu des données figurant dans les documents ST/SG/AC.10/</w:t>
      </w:r>
      <w:r w:rsidR="00C805E4">
        <w:rPr>
          <w:lang w:val="fr-FR"/>
        </w:rPr>
        <w:t xml:space="preserve"> </w:t>
      </w:r>
      <w:r>
        <w:rPr>
          <w:lang w:val="fr-FR"/>
        </w:rPr>
        <w:t>C.3/2008/49 et INF.8 (</w:t>
      </w:r>
      <w:r w:rsidR="00C805E4">
        <w:rPr>
          <w:lang w:val="fr-FR"/>
        </w:rPr>
        <w:t xml:space="preserve">trente-troisième </w:t>
      </w:r>
      <w:r>
        <w:rPr>
          <w:lang w:val="fr-FR"/>
        </w:rPr>
        <w:t>session). Dans certains cas, cela a également conduit à un changement dans la classification fondé sur l’ordre de prépondérance des caractéristiques de danger (sect</w:t>
      </w:r>
      <w:r w:rsidR="00C805E4">
        <w:rPr>
          <w:lang w:val="fr-FR"/>
        </w:rPr>
        <w:t>. </w:t>
      </w:r>
      <w:r>
        <w:rPr>
          <w:lang w:val="fr-FR"/>
        </w:rPr>
        <w:t>2.0.3 du Règlement type). Il a alors été proposé d’attribuer une nouvelle disposition spéciale aux matières qui sont toxiques par inhalation et répondent aux critères énoncés au paragraphe</w:t>
      </w:r>
      <w:r w:rsidR="00C805E4">
        <w:rPr>
          <w:lang w:val="fr-FR"/>
        </w:rPr>
        <w:t> </w:t>
      </w:r>
      <w:r>
        <w:rPr>
          <w:lang w:val="fr-FR"/>
        </w:rPr>
        <w:t>2 ci-dessus. La nouvelle disposition spéciale serait applicable aux matières liquides dont il était convenu qu’elles étaient toxiques par inhalation, comme indiqué dans tous les documents susmentionnés (voir ST/SG/AC.10/</w:t>
      </w:r>
      <w:r w:rsidR="00C805E4">
        <w:rPr>
          <w:lang w:val="fr-FR"/>
        </w:rPr>
        <w:t xml:space="preserve"> </w:t>
      </w:r>
      <w:r>
        <w:rPr>
          <w:lang w:val="fr-FR"/>
        </w:rPr>
        <w:t xml:space="preserve">C.3/2008/87). Le même raisonnement a été appliqué à </w:t>
      </w:r>
      <w:r w:rsidR="00C805E4">
        <w:rPr>
          <w:lang w:val="fr-FR"/>
        </w:rPr>
        <w:t>sept</w:t>
      </w:r>
      <w:r>
        <w:rPr>
          <w:lang w:val="fr-FR"/>
        </w:rPr>
        <w:t xml:space="preserve"> isocyanates, ce qui a entraîné des modifications des dispositions relatives aux emballages et aux citernes mobiles et, dans certains cas, un changement dans la classification (voir ST/SG/AC.10/C.3/2008/88). Enfin, il a été proposé, pour plusieurs rubriques ONU, de remplacer les codes indiquant les quantités exceptées par </w:t>
      </w:r>
      <w:r w:rsidR="00C805E4">
        <w:rPr>
          <w:lang w:val="fr-FR"/>
        </w:rPr>
        <w:t>« </w:t>
      </w:r>
      <w:r>
        <w:rPr>
          <w:lang w:val="fr-FR"/>
        </w:rPr>
        <w:t>E0</w:t>
      </w:r>
      <w:r w:rsidR="00C805E4">
        <w:rPr>
          <w:lang w:val="fr-FR"/>
        </w:rPr>
        <w:t> »</w:t>
      </w:r>
      <w:r>
        <w:rPr>
          <w:lang w:val="fr-FR"/>
        </w:rPr>
        <w:t xml:space="preserve"> (voir ST/SG/AC.10/C.3/2008/107). Toutes ces propositions ont été adoptées (voir le rapport ST/SG/AC.10/C.3/68).</w:t>
      </w:r>
    </w:p>
    <w:p w14:paraId="76F1846C" w14:textId="77777777" w:rsidR="00816CB8" w:rsidRPr="00C073B2" w:rsidRDefault="00816CB8" w:rsidP="00816CB8">
      <w:pPr>
        <w:pStyle w:val="HChG"/>
        <w:spacing w:before="240" w:after="120"/>
        <w:rPr>
          <w:lang w:val="fr-FR"/>
        </w:rPr>
      </w:pPr>
      <w:r>
        <w:rPr>
          <w:lang w:val="fr-FR"/>
        </w:rPr>
        <w:tab/>
      </w:r>
      <w:r>
        <w:rPr>
          <w:lang w:val="fr-FR"/>
        </w:rPr>
        <w:tab/>
      </w:r>
      <w:r>
        <w:rPr>
          <w:bCs/>
          <w:lang w:val="fr-FR"/>
        </w:rPr>
        <w:t>Conclusion</w:t>
      </w:r>
    </w:p>
    <w:p w14:paraId="2A7212BB" w14:textId="77777777" w:rsidR="00816CB8" w:rsidRPr="00C073B2" w:rsidRDefault="00816CB8" w:rsidP="00816CB8">
      <w:pPr>
        <w:pStyle w:val="SingleTxtG"/>
        <w:rPr>
          <w:lang w:val="fr-FR"/>
        </w:rPr>
      </w:pPr>
      <w:r>
        <w:rPr>
          <w:lang w:val="fr-FR"/>
        </w:rPr>
        <w:t>6.</w:t>
      </w:r>
      <w:r>
        <w:rPr>
          <w:lang w:val="fr-FR"/>
        </w:rPr>
        <w:tab/>
        <w:t xml:space="preserve">La disposition spéciale 354 est donc spécifiquement conçue pour les matières liquides </w:t>
      </w:r>
      <w:r w:rsidR="00810A1B">
        <w:rPr>
          <w:lang w:val="fr-FR"/>
        </w:rPr>
        <w:t>« </w:t>
      </w:r>
      <w:r>
        <w:rPr>
          <w:lang w:val="fr-FR"/>
        </w:rPr>
        <w:t>toxiques par inhalation</w:t>
      </w:r>
      <w:r w:rsidR="00810A1B">
        <w:rPr>
          <w:lang w:val="fr-FR"/>
        </w:rPr>
        <w:t> »</w:t>
      </w:r>
      <w:r>
        <w:rPr>
          <w:lang w:val="fr-FR"/>
        </w:rPr>
        <w:t xml:space="preserve"> qui répondent aux critères énoncés au deuxième paragraphe du présent document. Elle est fondée sur un examen approfondi des matières et des amendements corollaires relatifs à la classification, aux dispositions relatives aux emballages et aux citernes mobiles</w:t>
      </w:r>
      <w:r w:rsidR="00810A1B">
        <w:rPr>
          <w:lang w:val="fr-FR"/>
        </w:rPr>
        <w:t>,</w:t>
      </w:r>
      <w:r>
        <w:rPr>
          <w:lang w:val="fr-FR"/>
        </w:rPr>
        <w:t xml:space="preserve"> et au code indiquant les quantités exceptées.</w:t>
      </w:r>
    </w:p>
    <w:p w14:paraId="75454E32" w14:textId="77777777" w:rsidR="00816CB8" w:rsidRPr="00C073B2" w:rsidRDefault="00816CB8" w:rsidP="00816CB8">
      <w:pPr>
        <w:pStyle w:val="SingleTxtG"/>
        <w:rPr>
          <w:lang w:val="fr-FR"/>
        </w:rPr>
      </w:pPr>
      <w:r>
        <w:rPr>
          <w:lang w:val="fr-FR"/>
        </w:rPr>
        <w:t>7.</w:t>
      </w:r>
      <w:r>
        <w:rPr>
          <w:lang w:val="fr-FR"/>
        </w:rPr>
        <w:tab/>
        <w:t>Cependant, la formulation de la disposition spéciale 354 ne précise pas l’état physique auquel cette disposition spéciale s’applique, c’est-à-dire qu’on ne sait pas si elle s’applique à toutes les matières toxiques par inhalation ou seulement aux liquides toxiques par inhalation qui répondent aux critères susmentionnés. Il est donc moins évident d’attribuer cette disposition spéciale aux nouvelles rubriques ONU adéquates. Afin d’améliorer l’interprétation et l’application de la disposition spéciale 354, les Pays</w:t>
      </w:r>
      <w:r w:rsidR="00810A1B">
        <w:rPr>
          <w:lang w:val="fr-FR"/>
        </w:rPr>
        <w:noBreakHyphen/>
      </w:r>
      <w:r>
        <w:rPr>
          <w:lang w:val="fr-FR"/>
        </w:rPr>
        <w:t>Bas proposent de modifier le libellé actuel comme indiqué au paragraphe</w:t>
      </w:r>
      <w:r w:rsidR="00810A1B">
        <w:rPr>
          <w:lang w:val="fr-FR"/>
        </w:rPr>
        <w:t> </w:t>
      </w:r>
      <w:r>
        <w:rPr>
          <w:lang w:val="fr-FR"/>
        </w:rPr>
        <w:t xml:space="preserve">9 ci-dessous. </w:t>
      </w:r>
    </w:p>
    <w:p w14:paraId="7ED5D231" w14:textId="77777777" w:rsidR="00816CB8" w:rsidRPr="00C073B2" w:rsidRDefault="00816CB8" w:rsidP="00816CB8">
      <w:pPr>
        <w:pStyle w:val="SingleTxtG"/>
        <w:rPr>
          <w:lang w:val="fr-FR"/>
        </w:rPr>
      </w:pPr>
      <w:r>
        <w:rPr>
          <w:lang w:val="fr-FR"/>
        </w:rPr>
        <w:t>8.</w:t>
      </w:r>
      <w:r>
        <w:rPr>
          <w:lang w:val="fr-FR"/>
        </w:rPr>
        <w:tab/>
        <w:t xml:space="preserve">Grâce aux modifications proposées, la disposition spéciale </w:t>
      </w:r>
      <w:r w:rsidR="00810A1B">
        <w:rPr>
          <w:lang w:val="fr-FR"/>
        </w:rPr>
        <w:t xml:space="preserve">354 </w:t>
      </w:r>
      <w:r>
        <w:rPr>
          <w:lang w:val="fr-FR"/>
        </w:rPr>
        <w:t xml:space="preserve">sera plus claire et pourra être appliquée de manière adéquate. </w:t>
      </w:r>
    </w:p>
    <w:p w14:paraId="6BED8FB8" w14:textId="77777777" w:rsidR="00816CB8" w:rsidRPr="00C073B2" w:rsidRDefault="00816CB8" w:rsidP="00E419BF">
      <w:pPr>
        <w:pStyle w:val="HChG"/>
        <w:rPr>
          <w:lang w:val="fr-FR"/>
        </w:rPr>
      </w:pPr>
      <w:r>
        <w:rPr>
          <w:lang w:val="fr-FR"/>
        </w:rPr>
        <w:lastRenderedPageBreak/>
        <w:tab/>
      </w:r>
      <w:r>
        <w:rPr>
          <w:lang w:val="fr-FR"/>
        </w:rPr>
        <w:tab/>
        <w:t>Proposition</w:t>
      </w:r>
    </w:p>
    <w:p w14:paraId="13AF71AB" w14:textId="77777777" w:rsidR="00816CB8" w:rsidRPr="00C073B2" w:rsidRDefault="00816CB8" w:rsidP="00E419BF">
      <w:pPr>
        <w:pStyle w:val="SingleTxtG"/>
        <w:rPr>
          <w:lang w:val="fr-FR"/>
        </w:rPr>
      </w:pPr>
      <w:r>
        <w:rPr>
          <w:lang w:val="fr-FR"/>
        </w:rPr>
        <w:t>9.</w:t>
      </w:r>
      <w:r>
        <w:rPr>
          <w:lang w:val="fr-FR"/>
        </w:rPr>
        <w:tab/>
        <w:t xml:space="preserve">Modifier la disposition spéciale 354 comme suit (le nouveau texte est </w:t>
      </w:r>
      <w:r w:rsidRPr="00E419BF">
        <w:rPr>
          <w:u w:val="single"/>
          <w:lang w:val="fr-FR"/>
        </w:rPr>
        <w:t>souligné</w:t>
      </w:r>
      <w:r>
        <w:rPr>
          <w:lang w:val="fr-FR"/>
        </w:rPr>
        <w:t>)</w:t>
      </w:r>
      <w:r w:rsidR="00E419BF">
        <w:rPr>
          <w:lang w:val="fr-FR"/>
        </w:rPr>
        <w:t> </w:t>
      </w:r>
      <w:r>
        <w:rPr>
          <w:lang w:val="fr-FR"/>
        </w:rPr>
        <w:t xml:space="preserve">: </w:t>
      </w:r>
    </w:p>
    <w:p w14:paraId="4CA86F48" w14:textId="05072796" w:rsidR="00816CB8" w:rsidRPr="00C073B2" w:rsidRDefault="00E419BF" w:rsidP="00E419BF">
      <w:pPr>
        <w:pStyle w:val="SingleTxtG"/>
        <w:ind w:left="2835" w:hanging="1134"/>
        <w:rPr>
          <w:u w:val="single"/>
          <w:lang w:val="fr-FR"/>
        </w:rPr>
      </w:pPr>
      <w:r>
        <w:rPr>
          <w:lang w:val="fr-FR"/>
        </w:rPr>
        <w:t>« </w:t>
      </w:r>
      <w:r w:rsidR="00816CB8">
        <w:rPr>
          <w:lang w:val="fr-FR"/>
        </w:rPr>
        <w:t>354</w:t>
      </w:r>
      <w:r w:rsidR="00150D6A">
        <w:rPr>
          <w:lang w:val="fr-FR"/>
        </w:rPr>
        <w:t>.</w:t>
      </w:r>
      <w:r w:rsidR="00816CB8">
        <w:rPr>
          <w:lang w:val="fr-FR"/>
        </w:rPr>
        <w:tab/>
        <w:t xml:space="preserve">Cette matière est toxique par inhalation </w:t>
      </w:r>
      <w:r w:rsidR="00816CB8" w:rsidRPr="00C073B2">
        <w:rPr>
          <w:u w:val="single"/>
          <w:lang w:val="fr-FR"/>
        </w:rPr>
        <w:t>et répond aux critères suivants</w:t>
      </w:r>
      <w:r>
        <w:rPr>
          <w:u w:val="single"/>
          <w:lang w:val="fr-FR"/>
        </w:rPr>
        <w:t> </w:t>
      </w:r>
      <w:r w:rsidR="00816CB8" w:rsidRPr="00C073B2">
        <w:rPr>
          <w:u w:val="single"/>
          <w:lang w:val="fr-FR"/>
        </w:rPr>
        <w:t>:</w:t>
      </w:r>
    </w:p>
    <w:p w14:paraId="74C205E7" w14:textId="77777777" w:rsidR="00816CB8" w:rsidRPr="00E419BF" w:rsidRDefault="00E419BF" w:rsidP="00E419BF">
      <w:pPr>
        <w:pStyle w:val="Bullet1G"/>
        <w:ind w:left="3005"/>
        <w:rPr>
          <w:u w:val="single"/>
          <w:lang w:val="fr-FR"/>
        </w:rPr>
      </w:pPr>
      <w:r w:rsidRPr="00E419BF">
        <w:rPr>
          <w:u w:val="single"/>
          <w:lang w:val="fr-FR"/>
        </w:rPr>
        <w:t>A</w:t>
      </w:r>
      <w:r w:rsidR="00816CB8" w:rsidRPr="00E419BF">
        <w:rPr>
          <w:u w:val="single"/>
          <w:lang w:val="fr-FR"/>
        </w:rPr>
        <w:t>voir une CL</w:t>
      </w:r>
      <w:r w:rsidR="00816CB8" w:rsidRPr="00E419BF">
        <w:rPr>
          <w:u w:val="single"/>
          <w:vertAlign w:val="subscript"/>
          <w:lang w:val="fr-FR"/>
        </w:rPr>
        <w:t>50</w:t>
      </w:r>
      <w:r w:rsidR="00816CB8" w:rsidRPr="00E419BF">
        <w:rPr>
          <w:u w:val="single"/>
          <w:lang w:val="fr-FR"/>
        </w:rPr>
        <w:t xml:space="preserve"> inférieure ou égale à 1</w:t>
      </w:r>
      <w:r w:rsidRPr="00E419BF">
        <w:rPr>
          <w:u w:val="single"/>
          <w:lang w:val="fr-FR"/>
        </w:rPr>
        <w:t> </w:t>
      </w:r>
      <w:r w:rsidR="00816CB8" w:rsidRPr="00E419BF">
        <w:rPr>
          <w:u w:val="single"/>
          <w:lang w:val="fr-FR"/>
        </w:rPr>
        <w:t>000</w:t>
      </w:r>
      <w:r w:rsidRPr="00E419BF">
        <w:rPr>
          <w:u w:val="single"/>
          <w:lang w:val="fr-FR"/>
        </w:rPr>
        <w:t> </w:t>
      </w:r>
      <w:r w:rsidR="00816CB8" w:rsidRPr="00E419BF">
        <w:rPr>
          <w:u w:val="single"/>
          <w:lang w:val="fr-FR"/>
        </w:rPr>
        <w:t>ml/m</w:t>
      </w:r>
      <w:r w:rsidR="00816CB8" w:rsidRPr="00E419BF">
        <w:rPr>
          <w:u w:val="single"/>
          <w:vertAlign w:val="superscript"/>
          <w:lang w:val="fr-FR"/>
        </w:rPr>
        <w:t>3</w:t>
      </w:r>
      <w:r w:rsidR="00816CB8" w:rsidRPr="00E419BF">
        <w:rPr>
          <w:u w:val="single"/>
          <w:lang w:val="fr-FR"/>
        </w:rPr>
        <w:t xml:space="preserve"> et une concentration de vapeur saturée supérieure ou égale à 10</w:t>
      </w:r>
      <w:r w:rsidRPr="00E419BF">
        <w:rPr>
          <w:u w:val="single"/>
          <w:lang w:val="fr-FR"/>
        </w:rPr>
        <w:t> </w:t>
      </w:r>
      <w:r w:rsidR="00816CB8" w:rsidRPr="00E419BF">
        <w:rPr>
          <w:u w:val="single"/>
          <w:lang w:val="fr-FR"/>
        </w:rPr>
        <w:t>CL</w:t>
      </w:r>
      <w:r w:rsidR="00816CB8" w:rsidRPr="00E419BF">
        <w:rPr>
          <w:u w:val="single"/>
          <w:vertAlign w:val="subscript"/>
          <w:lang w:val="fr-FR"/>
        </w:rPr>
        <w:t>50</w:t>
      </w:r>
      <w:r w:rsidRPr="00E419BF">
        <w:rPr>
          <w:u w:val="single"/>
          <w:lang w:val="fr-FR"/>
        </w:rPr>
        <w:t> ;</w:t>
      </w:r>
      <w:r w:rsidR="00816CB8" w:rsidRPr="00E419BF">
        <w:rPr>
          <w:u w:val="single"/>
          <w:lang w:val="fr-FR"/>
        </w:rPr>
        <w:t xml:space="preserve"> ou </w:t>
      </w:r>
    </w:p>
    <w:p w14:paraId="52696C92" w14:textId="77777777" w:rsidR="00446FE5" w:rsidRDefault="00E419BF" w:rsidP="00E419BF">
      <w:pPr>
        <w:pStyle w:val="Bullet1G"/>
        <w:ind w:left="3005"/>
        <w:rPr>
          <w:lang w:val="fr-FR"/>
        </w:rPr>
      </w:pPr>
      <w:r w:rsidRPr="00E419BF">
        <w:rPr>
          <w:u w:val="single"/>
          <w:lang w:val="fr-FR"/>
        </w:rPr>
        <w:t>A</w:t>
      </w:r>
      <w:r w:rsidR="00816CB8" w:rsidRPr="00E419BF">
        <w:rPr>
          <w:u w:val="single"/>
          <w:lang w:val="fr-FR"/>
        </w:rPr>
        <w:t>voir une CL</w:t>
      </w:r>
      <w:r w:rsidR="00816CB8" w:rsidRPr="00E419BF">
        <w:rPr>
          <w:u w:val="single"/>
          <w:vertAlign w:val="subscript"/>
          <w:lang w:val="fr-FR"/>
        </w:rPr>
        <w:t>50</w:t>
      </w:r>
      <w:r w:rsidR="00816CB8" w:rsidRPr="00E419BF">
        <w:rPr>
          <w:u w:val="single"/>
          <w:lang w:val="fr-FR"/>
        </w:rPr>
        <w:t xml:space="preserve"> inférieure ou égale à 200</w:t>
      </w:r>
      <w:r w:rsidRPr="00E419BF">
        <w:rPr>
          <w:u w:val="single"/>
          <w:lang w:val="fr-FR"/>
        </w:rPr>
        <w:t> </w:t>
      </w:r>
      <w:r w:rsidR="00816CB8" w:rsidRPr="00E419BF">
        <w:rPr>
          <w:u w:val="single"/>
          <w:lang w:val="fr-FR"/>
        </w:rPr>
        <w:t>ml/m</w:t>
      </w:r>
      <w:r w:rsidR="00816CB8" w:rsidRPr="00E419BF">
        <w:rPr>
          <w:u w:val="single"/>
          <w:vertAlign w:val="superscript"/>
          <w:lang w:val="fr-FR"/>
        </w:rPr>
        <w:t>3</w:t>
      </w:r>
      <w:r w:rsidR="00816CB8" w:rsidRPr="00E419BF">
        <w:rPr>
          <w:u w:val="single"/>
          <w:lang w:val="fr-FR"/>
        </w:rPr>
        <w:t xml:space="preserve"> et une concentration de vapeur saturée supérieure ou égale à 500</w:t>
      </w:r>
      <w:r w:rsidRPr="00E419BF">
        <w:rPr>
          <w:u w:val="single"/>
          <w:lang w:val="fr-FR"/>
        </w:rPr>
        <w:t> </w:t>
      </w:r>
      <w:r w:rsidR="00816CB8" w:rsidRPr="00E419BF">
        <w:rPr>
          <w:u w:val="single"/>
          <w:lang w:val="fr-FR"/>
        </w:rPr>
        <w:t>CL</w:t>
      </w:r>
      <w:r w:rsidR="00816CB8" w:rsidRPr="00E419BF">
        <w:rPr>
          <w:u w:val="single"/>
          <w:vertAlign w:val="subscript"/>
          <w:lang w:val="fr-FR"/>
        </w:rPr>
        <w:t>50</w:t>
      </w:r>
      <w:r w:rsidR="00816CB8" w:rsidRPr="00E419BF">
        <w:rPr>
          <w:u w:val="single"/>
          <w:lang w:val="fr-FR"/>
        </w:rPr>
        <w:t>.</w:t>
      </w:r>
      <w:r>
        <w:rPr>
          <w:lang w:val="fr-FR"/>
        </w:rPr>
        <w:t> »</w:t>
      </w:r>
      <w:r w:rsidR="00816CB8" w:rsidRPr="00C073B2">
        <w:rPr>
          <w:lang w:val="fr-FR"/>
        </w:rPr>
        <w:t>.</w:t>
      </w:r>
    </w:p>
    <w:p w14:paraId="31770E68" w14:textId="77777777" w:rsidR="00E419BF" w:rsidRPr="00E419BF" w:rsidRDefault="00E419BF" w:rsidP="00E419BF">
      <w:pPr>
        <w:pStyle w:val="SingleTxtG"/>
        <w:spacing w:before="240" w:after="0"/>
        <w:jc w:val="center"/>
        <w:rPr>
          <w:u w:val="single"/>
        </w:rPr>
      </w:pPr>
      <w:r>
        <w:rPr>
          <w:u w:val="single"/>
        </w:rPr>
        <w:tab/>
      </w:r>
      <w:r>
        <w:rPr>
          <w:u w:val="single"/>
        </w:rPr>
        <w:tab/>
      </w:r>
      <w:r>
        <w:rPr>
          <w:u w:val="single"/>
        </w:rPr>
        <w:tab/>
      </w:r>
    </w:p>
    <w:sectPr w:rsidR="00E419BF" w:rsidRPr="00E419BF" w:rsidSect="00816CB8">
      <w:headerReference w:type="even" r:id="rId11"/>
      <w:headerReference w:type="default" r:id="rId12"/>
      <w:footerReference w:type="even" r:id="rId13"/>
      <w:footerReference w:type="default" r:id="rId14"/>
      <w:footerReference w:type="first" r:id="rId15"/>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279199" w14:textId="77777777" w:rsidR="00F475D2" w:rsidRDefault="00F475D2" w:rsidP="00F95C08">
      <w:pPr>
        <w:spacing w:line="240" w:lineRule="auto"/>
      </w:pPr>
    </w:p>
  </w:endnote>
  <w:endnote w:type="continuationSeparator" w:id="0">
    <w:p w14:paraId="66FB9BFF" w14:textId="77777777" w:rsidR="00F475D2" w:rsidRPr="00AC3823" w:rsidRDefault="00F475D2" w:rsidP="00AC3823">
      <w:pPr>
        <w:pStyle w:val="Footer"/>
      </w:pPr>
    </w:p>
  </w:endnote>
  <w:endnote w:type="continuationNotice" w:id="1">
    <w:p w14:paraId="57576B54" w14:textId="77777777" w:rsidR="00F475D2" w:rsidRDefault="00F475D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BE0AE3" w14:textId="77777777" w:rsidR="00816CB8" w:rsidRPr="00816CB8" w:rsidRDefault="00816CB8" w:rsidP="00816CB8">
    <w:pPr>
      <w:pStyle w:val="Footer"/>
      <w:tabs>
        <w:tab w:val="right" w:pos="9638"/>
      </w:tabs>
    </w:pPr>
    <w:r w:rsidRPr="00816CB8">
      <w:rPr>
        <w:b/>
        <w:sz w:val="18"/>
      </w:rPr>
      <w:fldChar w:fldCharType="begin"/>
    </w:r>
    <w:r w:rsidRPr="00816CB8">
      <w:rPr>
        <w:b/>
        <w:sz w:val="18"/>
      </w:rPr>
      <w:instrText xml:space="preserve"> PAGE  \* MERGEFORMAT </w:instrText>
    </w:r>
    <w:r w:rsidRPr="00816CB8">
      <w:rPr>
        <w:b/>
        <w:sz w:val="18"/>
      </w:rPr>
      <w:fldChar w:fldCharType="separate"/>
    </w:r>
    <w:r w:rsidRPr="00816CB8">
      <w:rPr>
        <w:b/>
        <w:noProof/>
        <w:sz w:val="18"/>
      </w:rPr>
      <w:t>2</w:t>
    </w:r>
    <w:r w:rsidRPr="00816CB8">
      <w:rPr>
        <w:b/>
        <w:sz w:val="18"/>
      </w:rPr>
      <w:fldChar w:fldCharType="end"/>
    </w:r>
    <w:r>
      <w:rPr>
        <w:b/>
        <w:sz w:val="18"/>
      </w:rPr>
      <w:tab/>
    </w:r>
    <w:r>
      <w:t>GE.20-11512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9A19CD" w14:textId="77777777" w:rsidR="00816CB8" w:rsidRPr="00816CB8" w:rsidRDefault="00816CB8" w:rsidP="00816CB8">
    <w:pPr>
      <w:pStyle w:val="Footer"/>
      <w:tabs>
        <w:tab w:val="right" w:pos="9638"/>
      </w:tabs>
      <w:rPr>
        <w:b/>
        <w:sz w:val="18"/>
      </w:rPr>
    </w:pPr>
    <w:r>
      <w:t>GE.20-11512</w:t>
    </w:r>
    <w:r>
      <w:tab/>
    </w:r>
    <w:r w:rsidRPr="00816CB8">
      <w:rPr>
        <w:b/>
        <w:sz w:val="18"/>
      </w:rPr>
      <w:fldChar w:fldCharType="begin"/>
    </w:r>
    <w:r w:rsidRPr="00816CB8">
      <w:rPr>
        <w:b/>
        <w:sz w:val="18"/>
      </w:rPr>
      <w:instrText xml:space="preserve"> PAGE  \* MERGEFORMAT </w:instrText>
    </w:r>
    <w:r w:rsidRPr="00816CB8">
      <w:rPr>
        <w:b/>
        <w:sz w:val="18"/>
      </w:rPr>
      <w:fldChar w:fldCharType="separate"/>
    </w:r>
    <w:r w:rsidRPr="00816CB8">
      <w:rPr>
        <w:b/>
        <w:noProof/>
        <w:sz w:val="18"/>
      </w:rPr>
      <w:t>3</w:t>
    </w:r>
    <w:r w:rsidRPr="00816CB8">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6107D1" w14:textId="77777777" w:rsidR="0068456F" w:rsidRPr="00816CB8" w:rsidRDefault="00816CB8" w:rsidP="00816CB8">
    <w:pPr>
      <w:pStyle w:val="Footer"/>
      <w:spacing w:before="120"/>
      <w:rPr>
        <w:sz w:val="20"/>
      </w:rPr>
    </w:pPr>
    <w:r>
      <w:rPr>
        <w:sz w:val="20"/>
      </w:rPr>
      <w:t>GE.</w:t>
    </w:r>
    <w:r w:rsidR="0068456F">
      <w:rPr>
        <w:noProof/>
        <w:lang w:eastAsia="fr-CH"/>
      </w:rPr>
      <w:drawing>
        <wp:anchor distT="0" distB="0" distL="114300" distR="114300" simplePos="0" relativeHeight="251660288" behindDoc="0" locked="0" layoutInCell="1" allowOverlap="0" wp14:anchorId="2EDA8738" wp14:editId="10823268">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20-11512  (F)    141020    141020</w:t>
    </w:r>
    <w:r>
      <w:rPr>
        <w:sz w:val="20"/>
      </w:rPr>
      <w:br/>
    </w:r>
    <w:r w:rsidRPr="00816CB8">
      <w:rPr>
        <w:rFonts w:ascii="C39T30Lfz" w:hAnsi="C39T30Lfz"/>
        <w:sz w:val="56"/>
      </w:rPr>
      <w:t>*2011512*</w:t>
    </w:r>
    <w:r>
      <w:rPr>
        <w:noProof/>
        <w:sz w:val="20"/>
      </w:rPr>
      <w:drawing>
        <wp:anchor distT="0" distB="0" distL="114300" distR="114300" simplePos="0" relativeHeight="251658240" behindDoc="0" locked="0" layoutInCell="1" allowOverlap="1" wp14:anchorId="762A1AAD" wp14:editId="484E5349">
          <wp:simplePos x="0" y="0"/>
          <wp:positionH relativeFrom="margin">
            <wp:posOffset>5489575</wp:posOffset>
          </wp:positionH>
          <wp:positionV relativeFrom="margin">
            <wp:posOffset>8891905</wp:posOffset>
          </wp:positionV>
          <wp:extent cx="638175" cy="6381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8D2D13" w14:textId="77777777" w:rsidR="00F475D2" w:rsidRPr="00AC3823" w:rsidRDefault="00F475D2" w:rsidP="00AC3823">
      <w:pPr>
        <w:pStyle w:val="Footer"/>
        <w:tabs>
          <w:tab w:val="right" w:pos="2155"/>
        </w:tabs>
        <w:spacing w:after="80" w:line="240" w:lineRule="atLeast"/>
        <w:ind w:left="680"/>
        <w:rPr>
          <w:u w:val="single"/>
        </w:rPr>
      </w:pPr>
      <w:r>
        <w:rPr>
          <w:u w:val="single"/>
        </w:rPr>
        <w:tab/>
      </w:r>
    </w:p>
  </w:footnote>
  <w:footnote w:type="continuationSeparator" w:id="0">
    <w:p w14:paraId="72A811B6" w14:textId="77777777" w:rsidR="00F475D2" w:rsidRPr="00AC3823" w:rsidRDefault="00F475D2" w:rsidP="00AC3823">
      <w:pPr>
        <w:pStyle w:val="Footer"/>
        <w:tabs>
          <w:tab w:val="right" w:pos="2155"/>
        </w:tabs>
        <w:spacing w:after="80" w:line="240" w:lineRule="atLeast"/>
        <w:ind w:left="680"/>
        <w:rPr>
          <w:u w:val="single"/>
        </w:rPr>
      </w:pPr>
      <w:r>
        <w:rPr>
          <w:u w:val="single"/>
        </w:rPr>
        <w:tab/>
      </w:r>
    </w:p>
  </w:footnote>
  <w:footnote w:type="continuationNotice" w:id="1">
    <w:p w14:paraId="3A9B79D1" w14:textId="77777777" w:rsidR="00F475D2" w:rsidRPr="00AC3823" w:rsidRDefault="00F475D2">
      <w:pPr>
        <w:spacing w:line="240" w:lineRule="auto"/>
        <w:rPr>
          <w:sz w:val="2"/>
          <w:szCs w:val="2"/>
        </w:rPr>
      </w:pPr>
    </w:p>
  </w:footnote>
  <w:footnote w:id="2">
    <w:p w14:paraId="7FDDFBD8" w14:textId="77777777" w:rsidR="00816CB8" w:rsidRPr="00816CB8" w:rsidRDefault="00816CB8">
      <w:pPr>
        <w:pStyle w:val="FootnoteText"/>
      </w:pPr>
      <w:r>
        <w:rPr>
          <w:rStyle w:val="FootnoteReference"/>
        </w:rPr>
        <w:tab/>
      </w:r>
      <w:r w:rsidRPr="00816CB8">
        <w:rPr>
          <w:rStyle w:val="FootnoteReference"/>
          <w:sz w:val="20"/>
          <w:vertAlign w:val="baseline"/>
        </w:rPr>
        <w:t>*</w:t>
      </w:r>
      <w:r>
        <w:rPr>
          <w:rStyle w:val="FootnoteReference"/>
          <w:sz w:val="20"/>
          <w:vertAlign w:val="baseline"/>
        </w:rPr>
        <w:tab/>
      </w:r>
      <w:r>
        <w:rPr>
          <w:lang w:val="fr-FR"/>
        </w:rPr>
        <w:t>Sous-programme 2 du budget-programme pour 2020 (A/74/6 (</w:t>
      </w:r>
      <w:r w:rsidR="00A854A4">
        <w:rPr>
          <w:lang w:val="fr-FR"/>
        </w:rPr>
        <w:t>s</w:t>
      </w:r>
      <w:r>
        <w:rPr>
          <w:lang w:val="fr-FR"/>
        </w:rPr>
        <w:t>ect. 20)) et informations complémentaires.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D8B6D9" w14:textId="1ADEEB14" w:rsidR="00816CB8" w:rsidRPr="00816CB8" w:rsidRDefault="00BD555F">
    <w:pPr>
      <w:pStyle w:val="Header"/>
    </w:pPr>
    <w:r>
      <w:fldChar w:fldCharType="begin"/>
    </w:r>
    <w:r>
      <w:instrText xml:space="preserve"> TITLE  \* MERGEFORMAT </w:instrText>
    </w:r>
    <w:r>
      <w:fldChar w:fldCharType="separate"/>
    </w:r>
    <w:r w:rsidR="00150D6A">
      <w:t>ST/SG/AC.10/C.3/2020/61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8E4D06" w14:textId="46CB6C51" w:rsidR="00816CB8" w:rsidRPr="00816CB8" w:rsidRDefault="00BD555F" w:rsidP="00816CB8">
    <w:pPr>
      <w:pStyle w:val="Header"/>
      <w:jc w:val="right"/>
    </w:pPr>
    <w:r>
      <w:fldChar w:fldCharType="begin"/>
    </w:r>
    <w:r>
      <w:instrText xml:space="preserve"> TITLE  \* MERGEFORMAT </w:instrText>
    </w:r>
    <w:r>
      <w:fldChar w:fldCharType="separate"/>
    </w:r>
    <w:r w:rsidR="00150D6A">
      <w:t>ST/SG/AC.10/C.3/2020/61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274CD73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981AAA34"/>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FE2C9A28"/>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75D2"/>
    <w:rsid w:val="00017F94"/>
    <w:rsid w:val="00023842"/>
    <w:rsid w:val="000305D3"/>
    <w:rsid w:val="000334F9"/>
    <w:rsid w:val="0007796D"/>
    <w:rsid w:val="000B7790"/>
    <w:rsid w:val="00111F2F"/>
    <w:rsid w:val="00132EA9"/>
    <w:rsid w:val="0014365E"/>
    <w:rsid w:val="00150D6A"/>
    <w:rsid w:val="00176178"/>
    <w:rsid w:val="001F525A"/>
    <w:rsid w:val="00223272"/>
    <w:rsid w:val="0024779E"/>
    <w:rsid w:val="00283190"/>
    <w:rsid w:val="002832AC"/>
    <w:rsid w:val="002D7C93"/>
    <w:rsid w:val="00441C3B"/>
    <w:rsid w:val="00446FE5"/>
    <w:rsid w:val="00452396"/>
    <w:rsid w:val="004E468C"/>
    <w:rsid w:val="005505B7"/>
    <w:rsid w:val="00573BE5"/>
    <w:rsid w:val="00584DC4"/>
    <w:rsid w:val="00586ED3"/>
    <w:rsid w:val="00596AA9"/>
    <w:rsid w:val="0068456F"/>
    <w:rsid w:val="0071601D"/>
    <w:rsid w:val="007A62E6"/>
    <w:rsid w:val="0080684C"/>
    <w:rsid w:val="00810A1B"/>
    <w:rsid w:val="00816CB8"/>
    <w:rsid w:val="00871C75"/>
    <w:rsid w:val="008776DC"/>
    <w:rsid w:val="008B40CD"/>
    <w:rsid w:val="009705C8"/>
    <w:rsid w:val="009C1CF4"/>
    <w:rsid w:val="00A30353"/>
    <w:rsid w:val="00A854A4"/>
    <w:rsid w:val="00AC3823"/>
    <w:rsid w:val="00AE323C"/>
    <w:rsid w:val="00B00181"/>
    <w:rsid w:val="00B00B0D"/>
    <w:rsid w:val="00B765F7"/>
    <w:rsid w:val="00BA0CA9"/>
    <w:rsid w:val="00BD555F"/>
    <w:rsid w:val="00C02897"/>
    <w:rsid w:val="00C04555"/>
    <w:rsid w:val="00C805E4"/>
    <w:rsid w:val="00D3439C"/>
    <w:rsid w:val="00DB1831"/>
    <w:rsid w:val="00DD3BFD"/>
    <w:rsid w:val="00DF6678"/>
    <w:rsid w:val="00E419BF"/>
    <w:rsid w:val="00EF2E22"/>
    <w:rsid w:val="00F01738"/>
    <w:rsid w:val="00F475D2"/>
    <w:rsid w:val="00F660DF"/>
    <w:rsid w:val="00F730C8"/>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A2C932B"/>
  <w15:docId w15:val="{F82BEBDA-3F2E-4BB3-936A-0DA731928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4DC4"/>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584DC4"/>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584DC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584DC4"/>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584DC4"/>
    <w:pPr>
      <w:spacing w:line="240" w:lineRule="auto"/>
    </w:pPr>
    <w:rPr>
      <w:sz w:val="16"/>
    </w:rPr>
  </w:style>
  <w:style w:type="character" w:customStyle="1" w:styleId="FooterChar">
    <w:name w:val="Footer Char"/>
    <w:aliases w:val="3_G Char"/>
    <w:basedOn w:val="DefaultParagraphFont"/>
    <w:link w:val="Footer"/>
    <w:rsid w:val="00584DC4"/>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584DC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84DC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584DC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584DC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584DC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584DC4"/>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584DC4"/>
    <w:pPr>
      <w:spacing w:after="120"/>
      <w:ind w:left="1134" w:right="1134"/>
      <w:jc w:val="both"/>
    </w:pPr>
  </w:style>
  <w:style w:type="paragraph" w:customStyle="1" w:styleId="SLG">
    <w:name w:val="__S_L_G"/>
    <w:basedOn w:val="Normal"/>
    <w:next w:val="Normal"/>
    <w:rsid w:val="00584DC4"/>
    <w:pPr>
      <w:keepNext/>
      <w:keepLines/>
      <w:spacing w:before="240" w:after="240" w:line="580" w:lineRule="exact"/>
      <w:ind w:left="1134" w:right="1134"/>
    </w:pPr>
    <w:rPr>
      <w:b/>
      <w:sz w:val="56"/>
    </w:rPr>
  </w:style>
  <w:style w:type="paragraph" w:customStyle="1" w:styleId="SMG">
    <w:name w:val="__S_M_G"/>
    <w:basedOn w:val="Normal"/>
    <w:next w:val="Normal"/>
    <w:rsid w:val="00584DC4"/>
    <w:pPr>
      <w:keepNext/>
      <w:keepLines/>
      <w:spacing w:before="240" w:after="240" w:line="420" w:lineRule="exact"/>
      <w:ind w:left="1134" w:right="1134"/>
    </w:pPr>
    <w:rPr>
      <w:b/>
      <w:sz w:val="40"/>
    </w:rPr>
  </w:style>
  <w:style w:type="paragraph" w:customStyle="1" w:styleId="SSG">
    <w:name w:val="__S_S_G"/>
    <w:basedOn w:val="Normal"/>
    <w:next w:val="Normal"/>
    <w:rsid w:val="00584DC4"/>
    <w:pPr>
      <w:keepNext/>
      <w:keepLines/>
      <w:spacing w:before="240" w:after="240" w:line="300" w:lineRule="exact"/>
      <w:ind w:left="1134" w:right="1134"/>
    </w:pPr>
    <w:rPr>
      <w:b/>
      <w:sz w:val="28"/>
    </w:rPr>
  </w:style>
  <w:style w:type="paragraph" w:customStyle="1" w:styleId="XLargeG">
    <w:name w:val="__XLarge_G"/>
    <w:basedOn w:val="Normal"/>
    <w:next w:val="Normal"/>
    <w:rsid w:val="00584DC4"/>
    <w:pPr>
      <w:keepNext/>
      <w:keepLines/>
      <w:spacing w:before="240" w:after="240" w:line="420" w:lineRule="exact"/>
      <w:ind w:left="1134" w:right="1134"/>
    </w:pPr>
    <w:rPr>
      <w:b/>
      <w:sz w:val="40"/>
    </w:rPr>
  </w:style>
  <w:style w:type="paragraph" w:customStyle="1" w:styleId="Bullet1G">
    <w:name w:val="_Bullet 1_G"/>
    <w:basedOn w:val="Normal"/>
    <w:qFormat/>
    <w:rsid w:val="00584DC4"/>
    <w:pPr>
      <w:numPr>
        <w:numId w:val="14"/>
      </w:numPr>
      <w:spacing w:after="120"/>
      <w:ind w:right="1134"/>
      <w:jc w:val="both"/>
    </w:pPr>
  </w:style>
  <w:style w:type="paragraph" w:customStyle="1" w:styleId="Bullet2G">
    <w:name w:val="_Bullet 2_G"/>
    <w:basedOn w:val="Normal"/>
    <w:qFormat/>
    <w:rsid w:val="00584DC4"/>
    <w:pPr>
      <w:numPr>
        <w:numId w:val="15"/>
      </w:numPr>
      <w:spacing w:after="120"/>
      <w:ind w:right="1134"/>
      <w:jc w:val="both"/>
    </w:pPr>
  </w:style>
  <w:style w:type="paragraph" w:customStyle="1" w:styleId="ParNoG">
    <w:name w:val="_ParNo_G"/>
    <w:basedOn w:val="Normal"/>
    <w:qFormat/>
    <w:rsid w:val="00584DC4"/>
    <w:pPr>
      <w:numPr>
        <w:numId w:val="16"/>
      </w:numPr>
      <w:tabs>
        <w:tab w:val="clear" w:pos="1701"/>
      </w:tabs>
      <w:spacing w:after="120"/>
      <w:ind w:right="1134"/>
      <w:jc w:val="both"/>
    </w:pPr>
  </w:style>
  <w:style w:type="character" w:styleId="FootnoteReference">
    <w:name w:val="footnote reference"/>
    <w:aliases w:val="4_G,Footnote Reference/"/>
    <w:basedOn w:val="DefaultParagraphFont"/>
    <w:qFormat/>
    <w:rsid w:val="00584DC4"/>
    <w:rPr>
      <w:rFonts w:ascii="Times New Roman" w:hAnsi="Times New Roman"/>
      <w:sz w:val="18"/>
      <w:vertAlign w:val="superscript"/>
      <w:lang w:val="fr-CH"/>
    </w:rPr>
  </w:style>
  <w:style w:type="character" w:styleId="EndnoteReference">
    <w:name w:val="endnote reference"/>
    <w:aliases w:val="1_G"/>
    <w:basedOn w:val="FootnoteReference"/>
    <w:qFormat/>
    <w:rsid w:val="00584DC4"/>
    <w:rPr>
      <w:rFonts w:ascii="Times New Roman" w:hAnsi="Times New Roman"/>
      <w:sz w:val="18"/>
      <w:vertAlign w:val="superscript"/>
      <w:lang w:val="fr-CH"/>
    </w:rPr>
  </w:style>
  <w:style w:type="table" w:styleId="TableGrid">
    <w:name w:val="Table Grid"/>
    <w:basedOn w:val="TableNormal"/>
    <w:rsid w:val="00584DC4"/>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584DC4"/>
    <w:rPr>
      <w:color w:val="0000FF"/>
      <w:u w:val="none"/>
    </w:rPr>
  </w:style>
  <w:style w:type="character" w:styleId="FollowedHyperlink">
    <w:name w:val="FollowedHyperlink"/>
    <w:basedOn w:val="DefaultParagraphFont"/>
    <w:unhideWhenUsed/>
    <w:rsid w:val="00584DC4"/>
    <w:rPr>
      <w:color w:val="0000FF"/>
      <w:u w:val="none"/>
    </w:rPr>
  </w:style>
  <w:style w:type="paragraph" w:styleId="FootnoteText">
    <w:name w:val="footnote text"/>
    <w:aliases w:val="5_G"/>
    <w:basedOn w:val="Normal"/>
    <w:link w:val="FootnoteTextChar"/>
    <w:qFormat/>
    <w:rsid w:val="00584DC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584DC4"/>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584DC4"/>
  </w:style>
  <w:style w:type="character" w:customStyle="1" w:styleId="EndnoteTextChar">
    <w:name w:val="Endnote Text Char"/>
    <w:aliases w:val="2_G Char"/>
    <w:basedOn w:val="DefaultParagraphFont"/>
    <w:link w:val="EndnoteText"/>
    <w:rsid w:val="00584DC4"/>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584DC4"/>
    <w:rPr>
      <w:rFonts w:ascii="Times New Roman" w:hAnsi="Times New Roman"/>
      <w:b/>
      <w:sz w:val="18"/>
      <w:lang w:val="fr-CH"/>
    </w:rPr>
  </w:style>
  <w:style w:type="character" w:customStyle="1" w:styleId="Heading1Char">
    <w:name w:val="Heading 1 Char"/>
    <w:aliases w:val="Table_G Char"/>
    <w:basedOn w:val="DefaultParagraphFont"/>
    <w:link w:val="Heading1"/>
    <w:rsid w:val="00584DC4"/>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132EA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2EA9"/>
    <w:rPr>
      <w:rFonts w:ascii="Tahoma" w:hAnsi="Tahoma" w:cs="Tahoma"/>
      <w:sz w:val="16"/>
      <w:szCs w:val="16"/>
      <w:lang w:eastAsia="en-US"/>
    </w:rPr>
  </w:style>
  <w:style w:type="character" w:customStyle="1" w:styleId="HChGChar">
    <w:name w:val="_ H _Ch_G Char"/>
    <w:link w:val="HChG"/>
    <w:locked/>
    <w:rsid w:val="00816CB8"/>
    <w:rPr>
      <w:rFonts w:ascii="Times New Roman" w:eastAsiaTheme="minorHAnsi" w:hAnsi="Times New Roman" w:cs="Times New Roman"/>
      <w:b/>
      <w:sz w:val="28"/>
      <w:szCs w:val="20"/>
      <w:lang w:eastAsia="en-US"/>
    </w:rPr>
  </w:style>
  <w:style w:type="character" w:customStyle="1" w:styleId="H1GChar">
    <w:name w:val="_ H_1_G Char"/>
    <w:link w:val="H1G"/>
    <w:locked/>
    <w:rsid w:val="00816CB8"/>
    <w:rPr>
      <w:rFonts w:ascii="Times New Roman" w:eastAsiaTheme="minorHAnsi" w:hAnsi="Times New Roman" w:cs="Times New Roman"/>
      <w:b/>
      <w:sz w:val="24"/>
      <w:szCs w:val="20"/>
      <w:lang w:eastAsia="en-US"/>
    </w:rPr>
  </w:style>
  <w:style w:type="character" w:customStyle="1" w:styleId="SingleTxtGChar">
    <w:name w:val="_ Single Txt_G Char"/>
    <w:basedOn w:val="DefaultParagraphFont"/>
    <w:link w:val="SingleTxtG"/>
    <w:rsid w:val="00816CB8"/>
    <w:rPr>
      <w:rFonts w:ascii="Times New Roman" w:eastAsiaTheme="minorHAnsi"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w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2" ma:contentTypeDescription="Create a new document." ma:contentTypeScope="" ma:versionID="b46f68f7fd4ddbec8f9d92b9ae221ac3">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49ff99f9a570207563b6136515cf8a36"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892162B-E3F3-4ED4-9FCC-18CF46702C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BE7ECC6-D888-4AAB-8C5A-BF39D57089DC}">
  <ds:schemaRefs>
    <ds:schemaRef ds:uri="http://schemas.microsoft.com/sharepoint/v3/contenttype/forms"/>
  </ds:schemaRefs>
</ds:datastoreItem>
</file>

<file path=customXml/itemProps3.xml><?xml version="1.0" encoding="utf-8"?>
<ds:datastoreItem xmlns:ds="http://schemas.openxmlformats.org/officeDocument/2006/customXml" ds:itemID="{68221F93-C6D0-4856-8BA5-A5355BD5787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1076</Words>
  <Characters>6136</Characters>
  <Application>Microsoft Office Word</Application>
  <DocSecurity>0</DocSecurity>
  <Lines>51</Lines>
  <Paragraphs>14</Paragraphs>
  <ScaleCrop>false</ScaleCrop>
  <HeadingPairs>
    <vt:vector size="2" baseType="variant">
      <vt:variant>
        <vt:lpstr>Titre</vt:lpstr>
      </vt:variant>
      <vt:variant>
        <vt:i4>1</vt:i4>
      </vt:variant>
    </vt:vector>
  </HeadingPairs>
  <TitlesOfParts>
    <vt:vector size="1" baseType="lpstr">
      <vt:lpstr/>
    </vt:vector>
  </TitlesOfParts>
  <Company>DCM</Company>
  <LinksUpToDate>false</LinksUpToDate>
  <CharactersWithSpaces>7198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ST/SG/AC.10/C.3/2020/61</dc:title>
  <dc:subject/>
  <dc:creator>Nathalie VITTOZ</dc:creator>
  <cp:keywords/>
  <cp:lastModifiedBy>Laurence Berthet</cp:lastModifiedBy>
  <cp:revision>2</cp:revision>
  <cp:lastPrinted>2020-10-14T13:38:00Z</cp:lastPrinted>
  <dcterms:created xsi:type="dcterms:W3CDTF">2020-10-15T07:42:00Z</dcterms:created>
  <dcterms:modified xsi:type="dcterms:W3CDTF">2020-10-15T07:42:00Z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