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B69278E" w14:textId="77777777" w:rsidTr="006476E1">
        <w:trPr>
          <w:trHeight w:val="851"/>
        </w:trPr>
        <w:tc>
          <w:tcPr>
            <w:tcW w:w="1259" w:type="dxa"/>
            <w:tcBorders>
              <w:top w:val="nil"/>
              <w:left w:val="nil"/>
              <w:bottom w:val="single" w:sz="4" w:space="0" w:color="auto"/>
              <w:right w:val="nil"/>
            </w:tcBorders>
          </w:tcPr>
          <w:p w14:paraId="0E0211CE" w14:textId="77777777" w:rsidR="00E52109" w:rsidRPr="002A32CB" w:rsidRDefault="00E52109" w:rsidP="004858F5"/>
        </w:tc>
        <w:tc>
          <w:tcPr>
            <w:tcW w:w="2236" w:type="dxa"/>
            <w:tcBorders>
              <w:top w:val="nil"/>
              <w:left w:val="nil"/>
              <w:bottom w:val="single" w:sz="4" w:space="0" w:color="auto"/>
              <w:right w:val="nil"/>
            </w:tcBorders>
            <w:vAlign w:val="bottom"/>
          </w:tcPr>
          <w:p w14:paraId="0071D605"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A2C2A8D" w14:textId="77777777" w:rsidR="00E52109" w:rsidRDefault="00043513" w:rsidP="00043513">
            <w:pPr>
              <w:suppressAutoHyphens w:val="0"/>
              <w:jc w:val="right"/>
            </w:pPr>
            <w:r w:rsidRPr="00043513">
              <w:rPr>
                <w:sz w:val="40"/>
              </w:rPr>
              <w:t>ST</w:t>
            </w:r>
            <w:r>
              <w:t>/SG/AC.10/C.3/2020/56</w:t>
            </w:r>
          </w:p>
        </w:tc>
      </w:tr>
      <w:tr w:rsidR="00E52109" w14:paraId="0CA848C0" w14:textId="77777777" w:rsidTr="006476E1">
        <w:trPr>
          <w:trHeight w:val="2835"/>
        </w:trPr>
        <w:tc>
          <w:tcPr>
            <w:tcW w:w="1259" w:type="dxa"/>
            <w:tcBorders>
              <w:top w:val="single" w:sz="4" w:space="0" w:color="auto"/>
              <w:left w:val="nil"/>
              <w:bottom w:val="single" w:sz="12" w:space="0" w:color="auto"/>
              <w:right w:val="nil"/>
            </w:tcBorders>
          </w:tcPr>
          <w:p w14:paraId="0C1F711B" w14:textId="77777777" w:rsidR="00E52109" w:rsidRDefault="00E52109" w:rsidP="006476E1">
            <w:pPr>
              <w:spacing w:before="120"/>
              <w:jc w:val="center"/>
            </w:pPr>
            <w:r>
              <w:rPr>
                <w:noProof/>
                <w:lang w:val="fr-CH" w:eastAsia="fr-CH"/>
              </w:rPr>
              <w:drawing>
                <wp:inline distT="0" distB="0" distL="0" distR="0" wp14:anchorId="6C6192BD" wp14:editId="7647540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D42D41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7CED0BD" w14:textId="77777777" w:rsidR="00D94B05" w:rsidRDefault="00043513" w:rsidP="00043513">
            <w:pPr>
              <w:suppressAutoHyphens w:val="0"/>
              <w:spacing w:before="240" w:line="240" w:lineRule="exact"/>
            </w:pPr>
            <w:r>
              <w:t>Distr.: General</w:t>
            </w:r>
          </w:p>
          <w:p w14:paraId="542ADBD1" w14:textId="77777777" w:rsidR="00043513" w:rsidRDefault="00244B51" w:rsidP="00043513">
            <w:pPr>
              <w:suppressAutoHyphens w:val="0"/>
              <w:spacing w:line="240" w:lineRule="exact"/>
            </w:pPr>
            <w:r>
              <w:t>16</w:t>
            </w:r>
            <w:r w:rsidR="00043513">
              <w:t xml:space="preserve"> April 2020</w:t>
            </w:r>
          </w:p>
          <w:p w14:paraId="0B3FD631" w14:textId="77777777" w:rsidR="00043513" w:rsidRDefault="00043513" w:rsidP="00043513">
            <w:pPr>
              <w:suppressAutoHyphens w:val="0"/>
              <w:spacing w:line="240" w:lineRule="exact"/>
            </w:pPr>
          </w:p>
          <w:p w14:paraId="2B08D38B" w14:textId="77777777" w:rsidR="00043513" w:rsidRDefault="00043513" w:rsidP="00043513">
            <w:pPr>
              <w:suppressAutoHyphens w:val="0"/>
              <w:spacing w:line="240" w:lineRule="exact"/>
            </w:pPr>
            <w:r>
              <w:t>Original: English</w:t>
            </w:r>
          </w:p>
        </w:tc>
      </w:tr>
    </w:tbl>
    <w:p w14:paraId="2EFBABA4" w14:textId="77777777" w:rsidR="00834EB6" w:rsidRPr="006500BA" w:rsidRDefault="00834EB6"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7F48DC5" w14:textId="77777777" w:rsidR="00834EB6" w:rsidRPr="006500BA" w:rsidRDefault="00834EB6" w:rsidP="004858F5">
      <w:pPr>
        <w:spacing w:before="120"/>
        <w:rPr>
          <w:rFonts w:ascii="Helv" w:hAnsi="Helv" w:cs="Helv"/>
          <w:b/>
          <w:color w:val="000000"/>
        </w:rPr>
      </w:pPr>
      <w:r w:rsidRPr="006500BA">
        <w:rPr>
          <w:b/>
        </w:rPr>
        <w:t xml:space="preserve">Sub-Committee of Experts on the </w:t>
      </w:r>
      <w:r>
        <w:rPr>
          <w:b/>
        </w:rPr>
        <w:t>Transport of Dangerous Goods</w:t>
      </w:r>
    </w:p>
    <w:p w14:paraId="4BEF7437" w14:textId="77777777" w:rsidR="00834EB6" w:rsidRDefault="00834EB6" w:rsidP="00834EB6">
      <w:pPr>
        <w:spacing w:before="120"/>
        <w:rPr>
          <w:b/>
        </w:rPr>
      </w:pPr>
      <w:r>
        <w:rPr>
          <w:b/>
        </w:rPr>
        <w:t>Fifty-seventh session</w:t>
      </w:r>
    </w:p>
    <w:p w14:paraId="3C4A3DEB" w14:textId="77777777" w:rsidR="00834EB6" w:rsidRDefault="00834EB6" w:rsidP="00834EB6">
      <w:r>
        <w:t>Geneva, 29 June-8 July 2020</w:t>
      </w:r>
      <w:r>
        <w:br/>
        <w:t>Item 4 (c) of the provisional agenda</w:t>
      </w:r>
    </w:p>
    <w:p w14:paraId="07363558" w14:textId="77777777" w:rsidR="00AF5DE1" w:rsidRPr="00834EB6" w:rsidRDefault="00834EB6" w:rsidP="004858F5">
      <w:pPr>
        <w:rPr>
          <w:b/>
          <w:bCs/>
        </w:rPr>
      </w:pPr>
      <w:r w:rsidRPr="00834EB6">
        <w:rPr>
          <w:b/>
          <w:bCs/>
        </w:rPr>
        <w:t>Electric storage systems: transport provisions</w:t>
      </w:r>
    </w:p>
    <w:p w14:paraId="45A923B2" w14:textId="77777777" w:rsidR="00834EB6" w:rsidRPr="00BB235C" w:rsidRDefault="00834EB6" w:rsidP="00834EB6">
      <w:pPr>
        <w:pStyle w:val="HChG"/>
      </w:pPr>
      <w:r>
        <w:rPr>
          <w:lang w:eastAsia="en-GB" w:bidi="en-GB"/>
        </w:rPr>
        <w:tab/>
      </w:r>
      <w:r>
        <w:rPr>
          <w:lang w:eastAsia="en-GB" w:bidi="en-GB"/>
        </w:rPr>
        <w:tab/>
        <w:t>Inner packagings for l</w:t>
      </w:r>
      <w:r>
        <w:t xml:space="preserve">ithium cells and batteries – Clarification of </w:t>
      </w:r>
      <w:r w:rsidR="00B439B6">
        <w:t>r</w:t>
      </w:r>
      <w:r>
        <w:t>equirements in Packing Instruction P903</w:t>
      </w:r>
    </w:p>
    <w:p w14:paraId="04CB3C62" w14:textId="1B2590E4" w:rsidR="00834EB6" w:rsidRPr="00576758" w:rsidRDefault="00834EB6" w:rsidP="00834EB6">
      <w:pPr>
        <w:pStyle w:val="H1G"/>
        <w:rPr>
          <w:vertAlign w:val="superscript"/>
          <w:lang w:eastAsia="en-GB" w:bidi="en-GB"/>
        </w:rPr>
      </w:pPr>
      <w:r>
        <w:rPr>
          <w:lang w:eastAsia="en-GB" w:bidi="en-GB"/>
        </w:rPr>
        <w:tab/>
      </w:r>
      <w:r>
        <w:rPr>
          <w:lang w:eastAsia="en-GB" w:bidi="en-GB"/>
        </w:rPr>
        <w:tab/>
      </w:r>
      <w:r w:rsidRPr="00A15AF5">
        <w:rPr>
          <w:lang w:eastAsia="en-GB" w:bidi="en-GB"/>
        </w:rPr>
        <w:t xml:space="preserve">Submitted by the </w:t>
      </w:r>
      <w:r w:rsidR="00B439B6">
        <w:rPr>
          <w:lang w:eastAsia="en-GB" w:bidi="en-GB"/>
        </w:rPr>
        <w:t xml:space="preserve">expert from </w:t>
      </w:r>
      <w:bookmarkStart w:id="0" w:name="_GoBack"/>
      <w:bookmarkEnd w:id="0"/>
      <w:r w:rsidR="00B439B6">
        <w:rPr>
          <w:lang w:eastAsia="en-GB" w:bidi="en-GB"/>
        </w:rPr>
        <w:t xml:space="preserve">the </w:t>
      </w:r>
      <w:r>
        <w:rPr>
          <w:lang w:eastAsia="en-GB" w:bidi="en-GB"/>
        </w:rPr>
        <w:t>United States of America</w:t>
      </w:r>
      <w:r>
        <w:rPr>
          <w:rStyle w:val="FootnoteReference"/>
          <w:lang w:eastAsia="en-GB" w:bidi="en-GB"/>
        </w:rPr>
        <w:footnoteReference w:id="2"/>
      </w:r>
      <w:r w:rsidR="009054E9">
        <w:rPr>
          <w:vertAlign w:val="superscript"/>
          <w:lang w:eastAsia="en-GB" w:bidi="en-GB"/>
        </w:rPr>
        <w:t xml:space="preserve">, </w:t>
      </w:r>
      <w:r w:rsidR="009054E9">
        <w:rPr>
          <w:rStyle w:val="FootnoteReference"/>
          <w:lang w:eastAsia="en-GB" w:bidi="en-GB"/>
        </w:rPr>
        <w:footnoteReference w:customMarkFollows="1" w:id="3"/>
        <w:t>**</w:t>
      </w:r>
    </w:p>
    <w:p w14:paraId="03D8317B" w14:textId="77777777" w:rsidR="00834EB6" w:rsidRPr="00A27407" w:rsidRDefault="00834EB6" w:rsidP="00834EB6">
      <w:pPr>
        <w:pStyle w:val="HChG"/>
        <w:rPr>
          <w:rFonts w:eastAsia="MS Mincho"/>
          <w:lang w:val="en-US"/>
        </w:rPr>
      </w:pPr>
      <w:r>
        <w:rPr>
          <w:rFonts w:eastAsia="MS Mincho"/>
          <w:lang w:val="en-US"/>
        </w:rPr>
        <w:tab/>
      </w:r>
      <w:r w:rsidRPr="00A27407">
        <w:rPr>
          <w:rFonts w:eastAsia="MS Mincho"/>
          <w:lang w:val="x-none"/>
        </w:rPr>
        <w:tab/>
      </w:r>
      <w:r>
        <w:rPr>
          <w:rFonts w:eastAsia="MS Mincho"/>
          <w:lang w:val="en-US"/>
        </w:rPr>
        <w:t>Introduction</w:t>
      </w:r>
    </w:p>
    <w:p w14:paraId="17EEDFCD" w14:textId="77777777" w:rsidR="00834EB6" w:rsidRPr="00AB5EC8" w:rsidRDefault="00834EB6" w:rsidP="00834EB6">
      <w:pPr>
        <w:pStyle w:val="SingleTxtG"/>
        <w:rPr>
          <w:szCs w:val="24"/>
        </w:rPr>
      </w:pPr>
      <w:r>
        <w:tab/>
        <w:t>1.</w:t>
      </w:r>
      <w:r>
        <w:tab/>
        <w:t xml:space="preserve">Recent stakeholder outreach initiatives have indicated varying interpretations in the application of P903 as it relates to inner packaging and protection of lithium cells and batteries. </w:t>
      </w:r>
      <w:r w:rsidRPr="00AB5EC8">
        <w:rPr>
          <w:szCs w:val="24"/>
        </w:rPr>
        <w:t xml:space="preserve">Packing </w:t>
      </w:r>
      <w:r w:rsidR="00B439B6">
        <w:rPr>
          <w:szCs w:val="24"/>
        </w:rPr>
        <w:t>i</w:t>
      </w:r>
      <w:r w:rsidRPr="00AB5EC8">
        <w:rPr>
          <w:szCs w:val="24"/>
        </w:rPr>
        <w:t>nstruction P903 indicates the need for cells and batteries to be protected from short circuits and damage</w:t>
      </w:r>
      <w:r>
        <w:rPr>
          <w:szCs w:val="24"/>
        </w:rPr>
        <w:t xml:space="preserve"> caused by </w:t>
      </w:r>
      <w:r w:rsidRPr="00756764">
        <w:rPr>
          <w:szCs w:val="24"/>
        </w:rPr>
        <w:t>the movement or placement of the cells or batteries within the packaging.</w:t>
      </w:r>
      <w:r>
        <w:rPr>
          <w:szCs w:val="24"/>
        </w:rPr>
        <w:t xml:space="preserve"> </w:t>
      </w:r>
      <w:r w:rsidRPr="00AB5EC8">
        <w:rPr>
          <w:szCs w:val="24"/>
        </w:rPr>
        <w:t>However, the</w:t>
      </w:r>
      <w:r>
        <w:rPr>
          <w:szCs w:val="24"/>
        </w:rPr>
        <w:t xml:space="preserve">re are no requirements in </w:t>
      </w:r>
      <w:r w:rsidR="00B439B6" w:rsidRPr="00834EB6">
        <w:t>packing</w:t>
      </w:r>
      <w:r w:rsidR="00B439B6" w:rsidRPr="00AB5EC8">
        <w:t xml:space="preserve"> instruction </w:t>
      </w:r>
      <w:r>
        <w:rPr>
          <w:szCs w:val="24"/>
        </w:rPr>
        <w:t>P903 for the use of inner packagings, or other indication of how the cells or batteries are intended to be protected from short circuits</w:t>
      </w:r>
      <w:r w:rsidRPr="00AB5EC8">
        <w:rPr>
          <w:szCs w:val="24"/>
        </w:rPr>
        <w:t xml:space="preserve">. </w:t>
      </w:r>
      <w:r>
        <w:rPr>
          <w:szCs w:val="24"/>
        </w:rPr>
        <w:t>A clear indication of appropriate inner packaging or other protection is critical to ensure safety related to handling in transport.</w:t>
      </w:r>
    </w:p>
    <w:p w14:paraId="420C8414" w14:textId="77777777" w:rsidR="00834EB6" w:rsidRDefault="00834EB6" w:rsidP="00834EB6">
      <w:pPr>
        <w:pStyle w:val="SingleTxtG"/>
      </w:pPr>
      <w:r>
        <w:tab/>
        <w:t>2.</w:t>
      </w:r>
      <w:r>
        <w:tab/>
        <w:t xml:space="preserve">Providing for greater </w:t>
      </w:r>
      <w:r w:rsidRPr="00AB5EC8">
        <w:t xml:space="preserve">detail on </w:t>
      </w:r>
      <w:r>
        <w:t xml:space="preserve">how lithium cells or batteries should be packed </w:t>
      </w:r>
      <w:r w:rsidRPr="00AB5EC8">
        <w:t xml:space="preserve">in P903 </w:t>
      </w:r>
      <w:r>
        <w:t xml:space="preserve">will improve safety while keeping the packing instruction sufficiently flexible </w:t>
      </w:r>
      <w:r w:rsidRPr="00834EB6">
        <w:t>and</w:t>
      </w:r>
      <w:r>
        <w:t xml:space="preserve"> performance based</w:t>
      </w:r>
      <w:r w:rsidRPr="00AB5EC8">
        <w:t xml:space="preserve">. The expert from the United States </w:t>
      </w:r>
      <w:r w:rsidR="00B439B6">
        <w:t xml:space="preserve">of America </w:t>
      </w:r>
      <w:r>
        <w:t xml:space="preserve">believes this proposal is consistent with the original intention during the development of </w:t>
      </w:r>
      <w:r w:rsidR="00B439B6" w:rsidRPr="00834EB6">
        <w:t>packing</w:t>
      </w:r>
      <w:r w:rsidR="00B439B6" w:rsidRPr="00AB5EC8">
        <w:t xml:space="preserve"> instruction </w:t>
      </w:r>
      <w:r>
        <w:t>P903 and reflects current best packaging practices.</w:t>
      </w:r>
    </w:p>
    <w:p w14:paraId="7533CD7A" w14:textId="77777777" w:rsidR="00834EB6" w:rsidRPr="00AB5EC8" w:rsidRDefault="00834EB6" w:rsidP="00834EB6">
      <w:pPr>
        <w:pStyle w:val="SingleTxtG"/>
      </w:pPr>
      <w:r>
        <w:tab/>
        <w:t>3.</w:t>
      </w:r>
      <w:r>
        <w:tab/>
        <w:t xml:space="preserve">This proposal only seeks to clarify the existing provisions in </w:t>
      </w:r>
      <w:r w:rsidR="00B439B6" w:rsidRPr="00834EB6">
        <w:t>packing</w:t>
      </w:r>
      <w:r w:rsidR="00B439B6" w:rsidRPr="00AB5EC8">
        <w:t xml:space="preserve"> instruction </w:t>
      </w:r>
      <w:r>
        <w:t xml:space="preserve">P903, it does not introduce new </w:t>
      </w:r>
      <w:r w:rsidRPr="00834EB6">
        <w:t>packaging</w:t>
      </w:r>
      <w:r>
        <w:t xml:space="preserve"> requirements. While this proposal includes only a small change</w:t>
      </w:r>
      <w:r w:rsidR="00B439B6">
        <w:t>,</w:t>
      </w:r>
      <w:r>
        <w:t xml:space="preserve"> we believe this is a helpful clarification to the existing text in </w:t>
      </w:r>
      <w:r w:rsidR="00B439B6" w:rsidRPr="00834EB6">
        <w:t>packing</w:t>
      </w:r>
      <w:r w:rsidR="00B439B6" w:rsidRPr="00AB5EC8">
        <w:t xml:space="preserve"> instruction </w:t>
      </w:r>
      <w:r>
        <w:t>P903. We recognize the importance of other on-going safety initiatives to improve the safe transport of lithium cells and batteries and do not anticipate this proposal will impact that work.</w:t>
      </w:r>
    </w:p>
    <w:p w14:paraId="5F5EB5D5" w14:textId="77777777" w:rsidR="00834EB6" w:rsidRDefault="00834EB6">
      <w:pPr>
        <w:suppressAutoHyphens w:val="0"/>
        <w:kinsoku/>
        <w:overflowPunct/>
        <w:autoSpaceDE/>
        <w:autoSpaceDN/>
        <w:adjustRightInd/>
        <w:snapToGrid/>
        <w:spacing w:after="200" w:line="276" w:lineRule="auto"/>
        <w:rPr>
          <w:b/>
          <w:sz w:val="28"/>
          <w:lang w:val="en-US"/>
        </w:rPr>
      </w:pPr>
      <w:r>
        <w:rPr>
          <w:lang w:val="en-US"/>
        </w:rPr>
        <w:br w:type="page"/>
      </w:r>
    </w:p>
    <w:p w14:paraId="4F72979A" w14:textId="77777777" w:rsidR="00834EB6" w:rsidRPr="00AB5EC8" w:rsidRDefault="00834EB6" w:rsidP="00834EB6">
      <w:pPr>
        <w:pStyle w:val="HChG"/>
        <w:rPr>
          <w:lang w:val="en-US"/>
        </w:rPr>
      </w:pPr>
      <w:r w:rsidRPr="00AB5EC8">
        <w:rPr>
          <w:lang w:val="en-US"/>
        </w:rPr>
        <w:lastRenderedPageBreak/>
        <w:tab/>
      </w:r>
      <w:r w:rsidRPr="00AB5EC8">
        <w:rPr>
          <w:lang w:val="en-US"/>
        </w:rPr>
        <w:tab/>
      </w:r>
      <w:r w:rsidRPr="00834EB6">
        <w:t>Proposal</w:t>
      </w:r>
    </w:p>
    <w:p w14:paraId="7A2EC602" w14:textId="77777777" w:rsidR="00834EB6" w:rsidRPr="00AB5EC8" w:rsidRDefault="00834EB6" w:rsidP="00834EB6">
      <w:pPr>
        <w:pStyle w:val="SingleTxtG"/>
      </w:pPr>
      <w:r>
        <w:tab/>
        <w:t>4.</w:t>
      </w:r>
      <w:r>
        <w:tab/>
      </w:r>
      <w:r w:rsidRPr="00AB5EC8">
        <w:t xml:space="preserve">In </w:t>
      </w:r>
      <w:r w:rsidRPr="00834EB6">
        <w:t>packing</w:t>
      </w:r>
      <w:r w:rsidRPr="00AB5EC8">
        <w:t xml:space="preserve"> instruction P903, amend paragraph (1) as follows</w:t>
      </w:r>
      <w:r w:rsidR="00B439B6">
        <w:t xml:space="preserve"> (new text is </w:t>
      </w:r>
      <w:r w:rsidR="00B439B6" w:rsidRPr="000C7C25">
        <w:rPr>
          <w:u w:val="single"/>
        </w:rPr>
        <w:t>underlined</w:t>
      </w:r>
      <w:r w:rsidR="00B439B6">
        <w:t>)</w:t>
      </w:r>
      <w:r w:rsidRPr="00AB5EC8">
        <w:t>:</w:t>
      </w:r>
    </w:p>
    <w:p w14:paraId="6F6F3D79" w14:textId="77777777" w:rsidR="00834EB6" w:rsidRPr="00AB5EC8" w:rsidRDefault="00B439B6" w:rsidP="00834EB6">
      <w:pPr>
        <w:pStyle w:val="SingleTxtG"/>
        <w:ind w:firstLine="567"/>
      </w:pPr>
      <w:r>
        <w:t>“</w:t>
      </w:r>
      <w:r w:rsidR="00834EB6" w:rsidRPr="00AB5EC8">
        <w:t>(1)</w:t>
      </w:r>
      <w:r w:rsidR="00834EB6">
        <w:tab/>
      </w:r>
      <w:r w:rsidR="00834EB6" w:rsidRPr="00AB5EC8">
        <w:t xml:space="preserve">For </w:t>
      </w:r>
      <w:r w:rsidR="00834EB6" w:rsidRPr="00834EB6">
        <w:t>cells</w:t>
      </w:r>
      <w:r w:rsidR="00834EB6" w:rsidRPr="00AB5EC8">
        <w:t xml:space="preserve"> and batteries:</w:t>
      </w:r>
    </w:p>
    <w:p w14:paraId="199649D0" w14:textId="77777777" w:rsidR="00834EB6" w:rsidRPr="00834EB6" w:rsidRDefault="00834EB6" w:rsidP="000C7C25">
      <w:pPr>
        <w:pStyle w:val="SingleTxtG"/>
        <w:ind w:left="2835"/>
      </w:pPr>
      <w:r w:rsidRPr="00834EB6">
        <w:t>Drums (1A2, 1B2, 1N2, 1H2, 1D, 1G);</w:t>
      </w:r>
    </w:p>
    <w:p w14:paraId="359A77F8" w14:textId="77777777" w:rsidR="00834EB6" w:rsidRPr="00834EB6" w:rsidRDefault="00834EB6" w:rsidP="000C7C25">
      <w:pPr>
        <w:pStyle w:val="SingleTxtG"/>
        <w:ind w:left="2835"/>
      </w:pPr>
      <w:r w:rsidRPr="00834EB6">
        <w:t>Boxes (4A, 4B, 4N, 4C1, 4C2, 4D, 4F, 4G, 4H1, 4H2);</w:t>
      </w:r>
    </w:p>
    <w:p w14:paraId="01F942E8" w14:textId="77777777" w:rsidR="00834EB6" w:rsidRPr="00834EB6" w:rsidRDefault="00834EB6" w:rsidP="000C7C25">
      <w:pPr>
        <w:pStyle w:val="SingleTxtG"/>
        <w:ind w:left="2835"/>
      </w:pPr>
      <w:r w:rsidRPr="00834EB6">
        <w:t>Jerricans (3A2, 3B2, 3H2).</w:t>
      </w:r>
    </w:p>
    <w:p w14:paraId="528881A4" w14:textId="77777777" w:rsidR="00834EB6" w:rsidRPr="00834EB6" w:rsidRDefault="00834EB6" w:rsidP="00B439B6">
      <w:pPr>
        <w:pStyle w:val="SingleTxtG"/>
        <w:ind w:left="2268"/>
      </w:pPr>
      <w:r w:rsidRPr="00834EB6">
        <w:t xml:space="preserve">Cells or batteries shall be packed in packagings so that the cells or batteries are protected against damage that may be caused by the movement or placement of the cells or batteries within the packaging. </w:t>
      </w:r>
      <w:r w:rsidRPr="000C7C25">
        <w:rPr>
          <w:u w:val="single"/>
        </w:rPr>
        <w:t>Cells or batteries shall be placed in inner packagings that completely enclose the cells or batteries (e.g. poly bags, shrink wrap, trays, fibreboard dividers, etc.) and be separated from contact with equipment, other devices, and conductive material.</w:t>
      </w:r>
    </w:p>
    <w:p w14:paraId="59E255BB" w14:textId="77777777" w:rsidR="000C7C25" w:rsidRDefault="00834EB6" w:rsidP="000C7C25">
      <w:pPr>
        <w:pStyle w:val="SingleTxtG"/>
        <w:ind w:left="2268"/>
      </w:pPr>
      <w:r w:rsidRPr="00AB5EC8">
        <w:tab/>
        <w:t>Packagings shall conform to the packing group II performance level.</w:t>
      </w:r>
      <w:r w:rsidR="00B439B6">
        <w:t>”</w:t>
      </w:r>
    </w:p>
    <w:p w14:paraId="5AFFE004" w14:textId="77777777" w:rsidR="00834EB6" w:rsidRPr="000C7C25" w:rsidRDefault="00834EB6" w:rsidP="000C7C25">
      <w:pPr>
        <w:spacing w:before="240"/>
        <w:jc w:val="center"/>
        <w:rPr>
          <w:u w:val="single"/>
        </w:rPr>
      </w:pPr>
      <w:r>
        <w:tab/>
      </w:r>
      <w:r w:rsidR="000C7C25">
        <w:rPr>
          <w:u w:val="single"/>
        </w:rPr>
        <w:tab/>
      </w:r>
      <w:r w:rsidR="000C7C25">
        <w:rPr>
          <w:u w:val="single"/>
        </w:rPr>
        <w:tab/>
      </w:r>
      <w:r w:rsidR="000C7C25">
        <w:rPr>
          <w:u w:val="single"/>
        </w:rPr>
        <w:tab/>
      </w:r>
    </w:p>
    <w:p w14:paraId="2541E7AD" w14:textId="77777777" w:rsidR="00834EB6" w:rsidRPr="00043513" w:rsidRDefault="00834EB6" w:rsidP="004858F5"/>
    <w:sectPr w:rsidR="00834EB6" w:rsidRPr="00043513" w:rsidSect="00043513">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B1474" w14:textId="77777777" w:rsidR="00043513" w:rsidRPr="00C47B2E" w:rsidRDefault="00043513" w:rsidP="00C47B2E">
      <w:pPr>
        <w:pStyle w:val="Footer"/>
      </w:pPr>
    </w:p>
  </w:endnote>
  <w:endnote w:type="continuationSeparator" w:id="0">
    <w:p w14:paraId="5CCC9810" w14:textId="77777777" w:rsidR="00043513" w:rsidRPr="00C47B2E" w:rsidRDefault="00043513" w:rsidP="00C47B2E">
      <w:pPr>
        <w:pStyle w:val="Footer"/>
      </w:pPr>
    </w:p>
  </w:endnote>
  <w:endnote w:type="continuationNotice" w:id="1">
    <w:p w14:paraId="04B9C9C6" w14:textId="77777777" w:rsidR="00043513" w:rsidRPr="00C47B2E" w:rsidRDefault="0004351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837D" w14:textId="77777777" w:rsidR="00D94B05" w:rsidRPr="00043513" w:rsidRDefault="00043513" w:rsidP="00043513">
    <w:pPr>
      <w:pStyle w:val="Footer"/>
      <w:tabs>
        <w:tab w:val="right" w:pos="9598"/>
        <w:tab w:val="right" w:pos="9638"/>
      </w:tabs>
      <w:rPr>
        <w:sz w:val="18"/>
      </w:rPr>
    </w:pPr>
    <w:r w:rsidRPr="00043513">
      <w:rPr>
        <w:b/>
        <w:sz w:val="18"/>
      </w:rPr>
      <w:fldChar w:fldCharType="begin"/>
    </w:r>
    <w:r w:rsidRPr="00043513">
      <w:rPr>
        <w:b/>
        <w:sz w:val="18"/>
      </w:rPr>
      <w:instrText xml:space="preserve"> PAGE  \* MERGEFORMAT </w:instrText>
    </w:r>
    <w:r w:rsidRPr="00043513">
      <w:rPr>
        <w:b/>
        <w:sz w:val="18"/>
      </w:rPr>
      <w:fldChar w:fldCharType="separate"/>
    </w:r>
    <w:r w:rsidRPr="00043513">
      <w:rPr>
        <w:b/>
        <w:noProof/>
        <w:sz w:val="18"/>
      </w:rPr>
      <w:t>2</w:t>
    </w:r>
    <w:r w:rsidRPr="000435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6E4A" w14:textId="77777777" w:rsidR="00D94B05" w:rsidRPr="00043513" w:rsidRDefault="00043513" w:rsidP="00043513">
    <w:pPr>
      <w:pStyle w:val="Footer"/>
      <w:tabs>
        <w:tab w:val="left" w:pos="5775"/>
        <w:tab w:val="right" w:pos="9598"/>
        <w:tab w:val="right" w:pos="9638"/>
      </w:tabs>
      <w:rPr>
        <w:sz w:val="18"/>
      </w:rPr>
    </w:pPr>
    <w:r>
      <w:rPr>
        <w:b/>
        <w:sz w:val="18"/>
      </w:rPr>
      <w:tab/>
    </w:r>
    <w:r w:rsidRPr="00043513">
      <w:rPr>
        <w:sz w:val="18"/>
      </w:rPr>
      <w:fldChar w:fldCharType="begin"/>
    </w:r>
    <w:r w:rsidRPr="00043513">
      <w:rPr>
        <w:sz w:val="18"/>
      </w:rPr>
      <w:instrText xml:space="preserve"> PAGE  \* MERGEFORMAT </w:instrText>
    </w:r>
    <w:r w:rsidRPr="00043513">
      <w:rPr>
        <w:sz w:val="18"/>
      </w:rPr>
      <w:fldChar w:fldCharType="separate"/>
    </w:r>
    <w:r w:rsidRPr="00043513">
      <w:rPr>
        <w:noProof/>
        <w:sz w:val="18"/>
      </w:rPr>
      <w:t>3</w:t>
    </w:r>
    <w:r w:rsidRPr="0004351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EC55" w14:textId="77777777" w:rsidR="00D94B05" w:rsidRPr="00043513"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7C21F6A" wp14:editId="1D3C146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5193" w14:textId="77777777" w:rsidR="00043513" w:rsidRPr="00C47B2E" w:rsidRDefault="00043513" w:rsidP="00C47B2E">
      <w:pPr>
        <w:tabs>
          <w:tab w:val="right" w:pos="2155"/>
        </w:tabs>
        <w:spacing w:after="80" w:line="240" w:lineRule="auto"/>
        <w:ind w:left="680"/>
      </w:pPr>
      <w:r>
        <w:rPr>
          <w:u w:val="single"/>
        </w:rPr>
        <w:tab/>
      </w:r>
    </w:p>
  </w:footnote>
  <w:footnote w:type="continuationSeparator" w:id="0">
    <w:p w14:paraId="4B85CC82" w14:textId="77777777" w:rsidR="00043513" w:rsidRPr="00C47B2E" w:rsidRDefault="00043513" w:rsidP="005E716E">
      <w:pPr>
        <w:tabs>
          <w:tab w:val="right" w:pos="2155"/>
        </w:tabs>
        <w:spacing w:after="80" w:line="240" w:lineRule="auto"/>
        <w:ind w:left="680"/>
      </w:pPr>
      <w:r>
        <w:rPr>
          <w:u w:val="single"/>
        </w:rPr>
        <w:tab/>
      </w:r>
    </w:p>
  </w:footnote>
  <w:footnote w:type="continuationNotice" w:id="1">
    <w:p w14:paraId="08F317EA" w14:textId="77777777" w:rsidR="00043513" w:rsidRPr="00C47B2E" w:rsidRDefault="00043513" w:rsidP="00C47B2E">
      <w:pPr>
        <w:pStyle w:val="Footer"/>
      </w:pPr>
    </w:p>
  </w:footnote>
  <w:footnote w:id="2">
    <w:p w14:paraId="6125FA07" w14:textId="7ADE37A3" w:rsidR="00834EB6" w:rsidRPr="00834EB6" w:rsidRDefault="00834EB6" w:rsidP="009054E9">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981320">
        <w:rPr>
          <w:lang w:val="en-US"/>
        </w:rPr>
        <w:t>)</w:t>
      </w:r>
    </w:p>
  </w:footnote>
  <w:footnote w:id="3">
    <w:p w14:paraId="0B3441B7" w14:textId="420EB343" w:rsidR="009054E9" w:rsidRPr="009054E9" w:rsidRDefault="009054E9" w:rsidP="009054E9">
      <w:pPr>
        <w:pStyle w:val="FootnoteText"/>
        <w:tabs>
          <w:tab w:val="left" w:pos="1418"/>
        </w:tabs>
        <w:ind w:firstLine="0"/>
        <w:rPr>
          <w:lang w:val="fr-CH"/>
        </w:rPr>
      </w:pPr>
      <w:r>
        <w:rPr>
          <w:rStyle w:val="FootnoteReference"/>
        </w:rPr>
        <w:t>**</w:t>
      </w:r>
      <w:r>
        <w:t xml:space="preserve"> </w:t>
      </w:r>
      <w:r>
        <w:tab/>
      </w:r>
      <w:r>
        <w:rPr>
          <w:lang w:val="en-US"/>
        </w:rPr>
        <w:t>This document was scheduled for publication after the standard publication date owing to circumstances (CORVID-19)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838DF" w14:textId="19C3E400" w:rsidR="00043513" w:rsidRPr="00043513" w:rsidRDefault="00025579">
    <w:pPr>
      <w:pStyle w:val="Header"/>
    </w:pPr>
    <w:fldSimple w:instr=" TITLE  \* MERGEFORMAT ">
      <w:r w:rsidR="00576758">
        <w:t>ST/SG/AC.10/C.3/2020/56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4B5AF" w14:textId="486D199C" w:rsidR="00D94B05" w:rsidRPr="00043513" w:rsidRDefault="00025579" w:rsidP="00043513">
    <w:pPr>
      <w:pStyle w:val="Header"/>
      <w:jc w:val="right"/>
    </w:pPr>
    <w:fldSimple w:instr=" TITLE  \* MERGEFORMAT ">
      <w:r w:rsidR="00576758">
        <w:t>ST/SG/AC.10/C.3/2020/56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13631"/>
    <w:multiLevelType w:val="multilevel"/>
    <w:tmpl w:val="43E40774"/>
    <w:lvl w:ilvl="0">
      <w:start w:val="1"/>
      <w:numFmt w:val="decimal"/>
      <w:pStyle w:val="1Heading"/>
      <w:lvlText w:val="%1."/>
      <w:lvlJc w:val="left"/>
      <w:pPr>
        <w:tabs>
          <w:tab w:val="num" w:pos="720"/>
        </w:tabs>
        <w:ind w:left="720" w:hanging="720"/>
      </w:pPr>
      <w:rPr>
        <w:rFonts w:ascii="Times New Roman" w:hAnsi="Times New Roman" w:cs="Times New Roman"/>
        <w:b w:val="0"/>
        <w:i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B3254"/>
    <w:multiLevelType w:val="hybridMultilevel"/>
    <w:tmpl w:val="52E817A8"/>
    <w:lvl w:ilvl="0" w:tplc="DA128BD0">
      <w:start w:val="1"/>
      <w:numFmt w:val="decimal"/>
      <w:lvlText w:val="%1."/>
      <w:lvlJc w:val="left"/>
      <w:pPr>
        <w:ind w:left="1494" w:hanging="360"/>
      </w:pPr>
      <w:rPr>
        <w:b w:val="0"/>
        <w:sz w:val="24"/>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9"/>
  </w:num>
  <w:num w:numId="5">
    <w:abstractNumId w:val="10"/>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13"/>
    <w:rsid w:val="00025579"/>
    <w:rsid w:val="00043513"/>
    <w:rsid w:val="00046E92"/>
    <w:rsid w:val="00063C90"/>
    <w:rsid w:val="000C7C25"/>
    <w:rsid w:val="00101B98"/>
    <w:rsid w:val="001514D1"/>
    <w:rsid w:val="00244B51"/>
    <w:rsid w:val="00247E2C"/>
    <w:rsid w:val="002A32CB"/>
    <w:rsid w:val="002D5B2C"/>
    <w:rsid w:val="002D6C53"/>
    <w:rsid w:val="002F5595"/>
    <w:rsid w:val="00334F6A"/>
    <w:rsid w:val="00342AC8"/>
    <w:rsid w:val="00343302"/>
    <w:rsid w:val="003979DE"/>
    <w:rsid w:val="003B4550"/>
    <w:rsid w:val="003D2A18"/>
    <w:rsid w:val="00413386"/>
    <w:rsid w:val="00455A09"/>
    <w:rsid w:val="00461253"/>
    <w:rsid w:val="004858F5"/>
    <w:rsid w:val="004A2814"/>
    <w:rsid w:val="004C0622"/>
    <w:rsid w:val="005042C2"/>
    <w:rsid w:val="00576758"/>
    <w:rsid w:val="005E716E"/>
    <w:rsid w:val="006476E1"/>
    <w:rsid w:val="006604DF"/>
    <w:rsid w:val="00671529"/>
    <w:rsid w:val="0070489D"/>
    <w:rsid w:val="007268F9"/>
    <w:rsid w:val="00750282"/>
    <w:rsid w:val="00764440"/>
    <w:rsid w:val="0077101B"/>
    <w:rsid w:val="007B0E33"/>
    <w:rsid w:val="007C52B0"/>
    <w:rsid w:val="007C6033"/>
    <w:rsid w:val="008147C8"/>
    <w:rsid w:val="0081753A"/>
    <w:rsid w:val="00834EB6"/>
    <w:rsid w:val="00857D23"/>
    <w:rsid w:val="009054E9"/>
    <w:rsid w:val="009411B4"/>
    <w:rsid w:val="00946F1D"/>
    <w:rsid w:val="00981320"/>
    <w:rsid w:val="009D0139"/>
    <w:rsid w:val="009D717D"/>
    <w:rsid w:val="009F5CDC"/>
    <w:rsid w:val="00A072D7"/>
    <w:rsid w:val="00A775CF"/>
    <w:rsid w:val="00A84A2C"/>
    <w:rsid w:val="00AD1A9C"/>
    <w:rsid w:val="00AF5DE1"/>
    <w:rsid w:val="00B06045"/>
    <w:rsid w:val="00B206DD"/>
    <w:rsid w:val="00B439B6"/>
    <w:rsid w:val="00B52EF4"/>
    <w:rsid w:val="00B777AD"/>
    <w:rsid w:val="00C03015"/>
    <w:rsid w:val="00C0358D"/>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B45187"/>
  <w15:docId w15:val="{011ECE42-4596-4C89-BD92-39135C05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Zchn"/>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834EB6"/>
    <w:rPr>
      <w:b/>
      <w:sz w:val="28"/>
    </w:rPr>
  </w:style>
  <w:style w:type="character" w:customStyle="1" w:styleId="H1GChar">
    <w:name w:val="_ H_1_G Char"/>
    <w:link w:val="H1G"/>
    <w:rsid w:val="00834EB6"/>
    <w:rPr>
      <w:b/>
      <w:sz w:val="24"/>
    </w:rPr>
  </w:style>
  <w:style w:type="character" w:customStyle="1" w:styleId="SingleTxtGZchn">
    <w:name w:val="_ Single Txt_G Zchn"/>
    <w:link w:val="SingleTxtG"/>
    <w:rsid w:val="00834EB6"/>
  </w:style>
  <w:style w:type="paragraph" w:customStyle="1" w:styleId="2Para">
    <w:name w:val="2Para"/>
    <w:basedOn w:val="Normal"/>
    <w:rsid w:val="00834EB6"/>
    <w:pPr>
      <w:numPr>
        <w:ilvl w:val="1"/>
        <w:numId w:val="15"/>
      </w:numPr>
      <w:tabs>
        <w:tab w:val="left" w:pos="1440"/>
      </w:tabs>
      <w:suppressAutoHyphens w:val="0"/>
      <w:kinsoku/>
      <w:overflowPunct/>
      <w:autoSpaceDE/>
      <w:autoSpaceDN/>
      <w:adjustRightInd/>
      <w:snapToGrid/>
      <w:spacing w:before="260" w:after="260" w:line="240" w:lineRule="auto"/>
      <w:jc w:val="both"/>
    </w:pPr>
    <w:rPr>
      <w:rFonts w:eastAsiaTheme="minorEastAsia"/>
      <w:sz w:val="22"/>
      <w:szCs w:val="22"/>
      <w:lang w:eastAsia="en-US"/>
    </w:rPr>
  </w:style>
  <w:style w:type="paragraph" w:customStyle="1" w:styleId="3Para">
    <w:name w:val="3Para"/>
    <w:basedOn w:val="Normal"/>
    <w:rsid w:val="00834EB6"/>
    <w:pPr>
      <w:numPr>
        <w:ilvl w:val="2"/>
        <w:numId w:val="15"/>
      </w:numPr>
      <w:tabs>
        <w:tab w:val="left" w:pos="1440"/>
      </w:tabs>
      <w:suppressAutoHyphens w:val="0"/>
      <w:kinsoku/>
      <w:overflowPunct/>
      <w:snapToGrid/>
      <w:spacing w:before="260" w:after="260" w:line="240" w:lineRule="auto"/>
      <w:jc w:val="both"/>
    </w:pPr>
    <w:rPr>
      <w:rFonts w:eastAsiaTheme="minorEastAsia"/>
      <w:sz w:val="22"/>
      <w:szCs w:val="24"/>
      <w:lang w:eastAsia="en-US"/>
    </w:rPr>
  </w:style>
  <w:style w:type="paragraph" w:customStyle="1" w:styleId="4Para">
    <w:name w:val="4Para"/>
    <w:basedOn w:val="Normal"/>
    <w:rsid w:val="00834EB6"/>
    <w:pPr>
      <w:numPr>
        <w:ilvl w:val="3"/>
        <w:numId w:val="15"/>
      </w:numPr>
      <w:tabs>
        <w:tab w:val="left" w:pos="1440"/>
      </w:tabs>
      <w:suppressAutoHyphens w:val="0"/>
      <w:kinsoku/>
      <w:overflowPunct/>
      <w:autoSpaceDE/>
      <w:autoSpaceDN/>
      <w:adjustRightInd/>
      <w:snapToGrid/>
      <w:spacing w:before="260" w:after="260" w:line="240" w:lineRule="auto"/>
      <w:jc w:val="both"/>
    </w:pPr>
    <w:rPr>
      <w:rFonts w:eastAsiaTheme="minorEastAsia"/>
      <w:sz w:val="22"/>
      <w:szCs w:val="24"/>
      <w:lang w:eastAsia="en-US"/>
    </w:rPr>
  </w:style>
  <w:style w:type="paragraph" w:customStyle="1" w:styleId="5Para">
    <w:name w:val="5Para"/>
    <w:basedOn w:val="Normal"/>
    <w:rsid w:val="00834EB6"/>
    <w:pPr>
      <w:numPr>
        <w:ilvl w:val="4"/>
        <w:numId w:val="15"/>
      </w:numPr>
      <w:tabs>
        <w:tab w:val="left" w:pos="1440"/>
      </w:tabs>
      <w:suppressAutoHyphens w:val="0"/>
      <w:kinsoku/>
      <w:overflowPunct/>
      <w:autoSpaceDE/>
      <w:autoSpaceDN/>
      <w:adjustRightInd/>
      <w:snapToGrid/>
      <w:spacing w:before="260" w:after="260" w:line="240" w:lineRule="auto"/>
      <w:jc w:val="both"/>
    </w:pPr>
    <w:rPr>
      <w:rFonts w:eastAsiaTheme="minorEastAsia"/>
      <w:sz w:val="22"/>
      <w:szCs w:val="24"/>
      <w:lang w:eastAsia="en-US"/>
    </w:rPr>
  </w:style>
  <w:style w:type="paragraph" w:customStyle="1" w:styleId="6Para">
    <w:name w:val="6Para"/>
    <w:basedOn w:val="Normal"/>
    <w:rsid w:val="00834EB6"/>
    <w:pPr>
      <w:numPr>
        <w:ilvl w:val="5"/>
        <w:numId w:val="15"/>
      </w:numPr>
      <w:tabs>
        <w:tab w:val="left" w:pos="1440"/>
      </w:tabs>
      <w:suppressAutoHyphens w:val="0"/>
      <w:kinsoku/>
      <w:overflowPunct/>
      <w:autoSpaceDE/>
      <w:autoSpaceDN/>
      <w:adjustRightInd/>
      <w:snapToGrid/>
      <w:spacing w:before="260" w:after="260" w:line="240" w:lineRule="auto"/>
      <w:jc w:val="both"/>
    </w:pPr>
    <w:rPr>
      <w:rFonts w:eastAsiaTheme="minorEastAsia"/>
      <w:sz w:val="22"/>
      <w:szCs w:val="24"/>
      <w:lang w:eastAsia="en-US"/>
    </w:rPr>
  </w:style>
  <w:style w:type="paragraph" w:customStyle="1" w:styleId="7Para">
    <w:name w:val="7Para"/>
    <w:basedOn w:val="Normal"/>
    <w:rsid w:val="00834EB6"/>
    <w:pPr>
      <w:numPr>
        <w:ilvl w:val="6"/>
        <w:numId w:val="15"/>
      </w:numPr>
      <w:tabs>
        <w:tab w:val="left" w:pos="1440"/>
      </w:tabs>
      <w:suppressAutoHyphens w:val="0"/>
      <w:kinsoku/>
      <w:overflowPunct/>
      <w:autoSpaceDE/>
      <w:autoSpaceDN/>
      <w:adjustRightInd/>
      <w:snapToGrid/>
      <w:spacing w:before="260" w:after="260" w:line="240" w:lineRule="auto"/>
      <w:jc w:val="both"/>
    </w:pPr>
    <w:rPr>
      <w:rFonts w:eastAsiaTheme="minorEastAsia"/>
      <w:sz w:val="22"/>
      <w:szCs w:val="24"/>
      <w:lang w:eastAsia="en-US"/>
    </w:rPr>
  </w:style>
  <w:style w:type="paragraph" w:customStyle="1" w:styleId="8Para">
    <w:name w:val="8Para"/>
    <w:basedOn w:val="Normal"/>
    <w:rsid w:val="00834EB6"/>
    <w:pPr>
      <w:numPr>
        <w:ilvl w:val="7"/>
        <w:numId w:val="15"/>
      </w:numPr>
      <w:tabs>
        <w:tab w:val="left" w:pos="1440"/>
      </w:tabs>
      <w:suppressAutoHyphens w:val="0"/>
      <w:kinsoku/>
      <w:overflowPunct/>
      <w:autoSpaceDE/>
      <w:autoSpaceDN/>
      <w:adjustRightInd/>
      <w:snapToGrid/>
      <w:spacing w:before="260" w:after="260" w:line="240" w:lineRule="auto"/>
      <w:jc w:val="both"/>
    </w:pPr>
    <w:rPr>
      <w:rFonts w:eastAsiaTheme="minorEastAsia"/>
      <w:sz w:val="22"/>
      <w:szCs w:val="24"/>
      <w:lang w:eastAsia="en-US"/>
    </w:rPr>
  </w:style>
  <w:style w:type="paragraph" w:customStyle="1" w:styleId="1Heading">
    <w:name w:val="1Heading"/>
    <w:basedOn w:val="TOC1"/>
    <w:next w:val="2Para"/>
    <w:rsid w:val="00834EB6"/>
    <w:pPr>
      <w:keepNext/>
      <w:numPr>
        <w:numId w:val="15"/>
      </w:numPr>
      <w:tabs>
        <w:tab w:val="clear" w:pos="720"/>
        <w:tab w:val="num" w:pos="360"/>
      </w:tabs>
      <w:suppressAutoHyphens w:val="0"/>
      <w:kinsoku/>
      <w:overflowPunct/>
      <w:autoSpaceDE/>
      <w:autoSpaceDN/>
      <w:adjustRightInd/>
      <w:snapToGrid/>
      <w:spacing w:before="520" w:after="260" w:line="240" w:lineRule="auto"/>
      <w:ind w:left="2418" w:right="2880" w:hanging="360"/>
      <w:jc w:val="both"/>
      <w:outlineLvl w:val="0"/>
    </w:pPr>
    <w:rPr>
      <w:rFonts w:eastAsiaTheme="minorEastAsia"/>
      <w:b/>
      <w:caps/>
      <w:sz w:val="22"/>
      <w:szCs w:val="22"/>
      <w:lang w:eastAsia="en-US"/>
    </w:rPr>
  </w:style>
  <w:style w:type="paragraph" w:styleId="TOC1">
    <w:name w:val="toc 1"/>
    <w:basedOn w:val="Normal"/>
    <w:next w:val="Normal"/>
    <w:autoRedefine/>
    <w:uiPriority w:val="39"/>
    <w:semiHidden/>
    <w:unhideWhenUsed/>
    <w:rsid w:val="00834E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A722-DDD8-4C21-850A-0D9F0339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104</TotalTime>
  <Pages>2</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ST/SG/AC.10/C.3/2020/56</vt: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ST/SG/AC.10/C.3/2020/56</dc:title>
  <dc:subject/>
  <dc:creator>Editorial</dc:creator>
  <cp:lastModifiedBy>Laurence Berthet</cp:lastModifiedBy>
  <cp:revision>6</cp:revision>
  <cp:lastPrinted>2020-04-16T16:43:00Z</cp:lastPrinted>
  <dcterms:created xsi:type="dcterms:W3CDTF">2020-04-16T06:30:00Z</dcterms:created>
  <dcterms:modified xsi:type="dcterms:W3CDTF">2020-04-16T16:43:00Z</dcterms:modified>
</cp:coreProperties>
</file>