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A96C78B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BACEF8" w14:textId="77777777" w:rsidR="00132EA9" w:rsidRPr="00DB58B5" w:rsidRDefault="00132EA9" w:rsidP="00371C2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A2E43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1945C8" w14:textId="77777777" w:rsidR="00132EA9" w:rsidRPr="00DB58B5" w:rsidRDefault="00371C26" w:rsidP="00371C26">
            <w:pPr>
              <w:jc w:val="right"/>
            </w:pPr>
            <w:r w:rsidRPr="00371C26">
              <w:rPr>
                <w:sz w:val="40"/>
              </w:rPr>
              <w:t>ST</w:t>
            </w:r>
            <w:r>
              <w:t>/SG/AC.10/C.3/2020/52</w:t>
            </w:r>
          </w:p>
        </w:tc>
      </w:tr>
      <w:tr w:rsidR="00132EA9" w:rsidRPr="00DB58B5" w14:paraId="7994566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72210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494611" wp14:editId="6D11D05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6AA57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59E952" w14:textId="77777777" w:rsidR="00132EA9" w:rsidRDefault="00371C26" w:rsidP="00F01738">
            <w:pPr>
              <w:spacing w:before="240"/>
            </w:pPr>
            <w:r>
              <w:t>Distr. générale</w:t>
            </w:r>
          </w:p>
          <w:p w14:paraId="4858BFA3" w14:textId="77777777" w:rsidR="00371C26" w:rsidRDefault="00371C26" w:rsidP="00371C26">
            <w:pPr>
              <w:spacing w:line="240" w:lineRule="exact"/>
            </w:pPr>
            <w:r>
              <w:t>17 avril 2020</w:t>
            </w:r>
          </w:p>
          <w:p w14:paraId="0FBCA9AF" w14:textId="77777777" w:rsidR="00371C26" w:rsidRDefault="00371C26" w:rsidP="00371C26">
            <w:pPr>
              <w:spacing w:line="240" w:lineRule="exact"/>
            </w:pPr>
            <w:r>
              <w:t>Français</w:t>
            </w:r>
          </w:p>
          <w:p w14:paraId="53C64D67" w14:textId="77777777" w:rsidR="00371C26" w:rsidRPr="00DB58B5" w:rsidRDefault="00371C26" w:rsidP="00371C26">
            <w:pPr>
              <w:spacing w:line="240" w:lineRule="exact"/>
            </w:pPr>
            <w:r>
              <w:t>Original : anglais</w:t>
            </w:r>
          </w:p>
        </w:tc>
      </w:tr>
    </w:tbl>
    <w:p w14:paraId="4AC3ECDC" w14:textId="77777777" w:rsidR="00371C26" w:rsidRPr="00CA0680" w:rsidRDefault="00371C2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962915B" w14:textId="77777777" w:rsidR="00371C26" w:rsidRPr="00CA0680" w:rsidRDefault="00371C2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356F3D4E" w14:textId="77777777" w:rsidR="00371C26" w:rsidRPr="00967BD1" w:rsidRDefault="00371C26" w:rsidP="00371C26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Cinquante-septième session</w:t>
      </w:r>
    </w:p>
    <w:p w14:paraId="078FACBC" w14:textId="77777777" w:rsidR="00371C26" w:rsidRDefault="00371C26" w:rsidP="00371C26">
      <w:pPr>
        <w:rPr>
          <w:lang w:val="fr-FR"/>
        </w:rPr>
      </w:pPr>
      <w:r>
        <w:rPr>
          <w:lang w:val="fr-FR"/>
        </w:rPr>
        <w:t>Genève, 29 juin-8 juillet 2020</w:t>
      </w:r>
    </w:p>
    <w:p w14:paraId="2DE26225" w14:textId="77777777" w:rsidR="00371C26" w:rsidRPr="00967BD1" w:rsidRDefault="00371C26" w:rsidP="00371C26">
      <w:pPr>
        <w:rPr>
          <w:lang w:val="fr-FR"/>
        </w:rPr>
      </w:pPr>
      <w:r>
        <w:rPr>
          <w:lang w:val="fr-FR"/>
        </w:rPr>
        <w:t>Point 3 de l’ordre du jour provisoire</w:t>
      </w:r>
    </w:p>
    <w:p w14:paraId="60DBE19B" w14:textId="77777777" w:rsidR="00371C26" w:rsidRDefault="00371C26" w:rsidP="00371C26">
      <w:pPr>
        <w:rPr>
          <w:b/>
          <w:bCs/>
          <w:lang w:val="fr-FR"/>
        </w:rPr>
      </w:pPr>
      <w:r>
        <w:rPr>
          <w:b/>
          <w:bCs/>
          <w:lang w:val="fr-FR"/>
        </w:rPr>
        <w:t>Inscription, classement et emballage</w:t>
      </w:r>
    </w:p>
    <w:p w14:paraId="6E6AF20A" w14:textId="77777777" w:rsidR="00371C26" w:rsidRPr="00967BD1" w:rsidRDefault="00371C26" w:rsidP="00371C2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d’amendement à l’instruction d’emballage LP903</w:t>
      </w:r>
    </w:p>
    <w:p w14:paraId="17D457B5" w14:textId="77777777" w:rsidR="00371C26" w:rsidRPr="00967BD1" w:rsidRDefault="00371C26" w:rsidP="00371C2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l’expert du Royaume-Uni de Grande-Bretagne et d’Irlande du Nord</w:t>
      </w:r>
      <w:r w:rsidRPr="00371C2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371C26">
        <w:rPr>
          <w:b w:val="0"/>
          <w:sz w:val="20"/>
          <w:vertAlign w:val="superscript"/>
        </w:rPr>
        <w:t>,</w:t>
      </w:r>
      <w:r w:rsidRPr="00371C26">
        <w:rPr>
          <w:b w:val="0"/>
          <w:sz w:val="20"/>
        </w:rPr>
        <w:t xml:space="preserve"> </w:t>
      </w:r>
      <w:r w:rsidRPr="00371C26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p w14:paraId="483567C9" w14:textId="77777777" w:rsidR="00371C26" w:rsidRPr="00967BD1" w:rsidRDefault="00371C26" w:rsidP="00371C2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43DB6A3A" w14:textId="77777777" w:rsidR="00371C26" w:rsidRPr="00967BD1" w:rsidRDefault="00371C26" w:rsidP="00371C2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Le Royaume-Uni propose de modifier l’instruction pour grands emballages LP903 de façon à </w:t>
      </w:r>
      <w:r w:rsidRPr="00D33409">
        <w:rPr>
          <w:lang w:val="fr-FR"/>
        </w:rPr>
        <w:t>autoriser l</w:t>
      </w:r>
      <w:r>
        <w:rPr>
          <w:lang w:val="fr-FR"/>
        </w:rPr>
        <w:t>’</w:t>
      </w:r>
      <w:r w:rsidRPr="00D33409">
        <w:rPr>
          <w:lang w:val="fr-FR"/>
        </w:rPr>
        <w:t>emballage de</w:t>
      </w:r>
      <w:r>
        <w:rPr>
          <w:lang w:val="fr-FR"/>
        </w:rPr>
        <w:t xml:space="preserve"> plusieurs batteries ou équipements </w:t>
      </w:r>
      <w:r w:rsidRPr="00D33409">
        <w:rPr>
          <w:lang w:val="fr-FR"/>
        </w:rPr>
        <w:t xml:space="preserve">dans certaines </w:t>
      </w:r>
      <w:r>
        <w:rPr>
          <w:lang w:val="fr-FR"/>
        </w:rPr>
        <w:t>conditions particulières.</w:t>
      </w:r>
    </w:p>
    <w:p w14:paraId="5387159A" w14:textId="77777777" w:rsidR="00371C26" w:rsidRPr="00967BD1" w:rsidRDefault="00371C26" w:rsidP="00371C2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L’expert du Royaume-Uni dans le domaine des emballages a été récemment confronté à une situation qui a attiré son attention sur l’instruction pour grands emballages LP903. Un grand emballage avait été approuvé pour une batterie </w:t>
      </w:r>
      <w:r w:rsidRPr="00371C26">
        <w:rPr>
          <w:lang w:val="fr-FR"/>
        </w:rPr>
        <w:t>monobloc</w:t>
      </w:r>
      <w:r>
        <w:rPr>
          <w:lang w:val="fr-FR"/>
        </w:rPr>
        <w:t xml:space="preserve"> comprenant 12 accumulateurs (ou modules). L’unité de fabrication était en mesure de produire ces modules, mais pas de les assembler pour fabriquer le </w:t>
      </w:r>
      <w:r w:rsidRPr="00AD0305">
        <w:rPr>
          <w:lang w:val="fr-FR"/>
        </w:rPr>
        <w:t>produit final</w:t>
      </w:r>
      <w:r>
        <w:rPr>
          <w:lang w:val="fr-FR"/>
        </w:rPr>
        <w:t xml:space="preserve"> monobloc. </w:t>
      </w:r>
      <w:r w:rsidRPr="00143CEF">
        <w:rPr>
          <w:lang w:val="fr-FR"/>
        </w:rPr>
        <w:t>Comme il ne disposait pas d</w:t>
      </w:r>
      <w:r>
        <w:rPr>
          <w:lang w:val="fr-FR"/>
        </w:rPr>
        <w:t>’</w:t>
      </w:r>
      <w:r w:rsidRPr="00143CEF">
        <w:rPr>
          <w:lang w:val="fr-FR"/>
        </w:rPr>
        <w:t>un emballage adéquat, le fabricant a demandé s</w:t>
      </w:r>
      <w:r>
        <w:rPr>
          <w:lang w:val="fr-FR"/>
        </w:rPr>
        <w:t>’</w:t>
      </w:r>
      <w:r w:rsidRPr="00143CEF">
        <w:rPr>
          <w:lang w:val="fr-FR"/>
        </w:rPr>
        <w:t>il pouvait emballer séparément les différents modules et les mettre dans le grand emballage pour les transporter jusqu</w:t>
      </w:r>
      <w:r>
        <w:rPr>
          <w:lang w:val="fr-FR"/>
        </w:rPr>
        <w:t>’</w:t>
      </w:r>
      <w:r w:rsidRPr="00143CEF">
        <w:rPr>
          <w:lang w:val="fr-FR"/>
        </w:rPr>
        <w:t>à un autre site d</w:t>
      </w:r>
      <w:r>
        <w:rPr>
          <w:lang w:val="fr-FR"/>
        </w:rPr>
        <w:t>’</w:t>
      </w:r>
      <w:r w:rsidRPr="00143CEF">
        <w:rPr>
          <w:lang w:val="fr-FR"/>
        </w:rPr>
        <w:t xml:space="preserve">assemblage final, </w:t>
      </w:r>
      <w:r>
        <w:rPr>
          <w:lang w:val="fr-FR"/>
        </w:rPr>
        <w:t>ce qui était contraire aux dispositions de l’instruction LP903, selon laquelle un emballage ne peut contenir qu’une seule batterie ou un seul équipement.</w:t>
      </w:r>
    </w:p>
    <w:p w14:paraId="00548952" w14:textId="77777777" w:rsidR="00371C26" w:rsidRPr="00967BD1" w:rsidRDefault="00371C26" w:rsidP="00371C2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L’expert du Royaume-Uni estime que cette restriction à une seule batterie par grand emballage visait à l’origine à éviter que ces emballages soient utilisés pour le transport en vrac d’un grand nombre de batteries et de piles de petite taille. Toutefois, </w:t>
      </w:r>
      <w:r w:rsidRPr="00143CEF">
        <w:rPr>
          <w:lang w:val="fr-FR"/>
        </w:rPr>
        <w:t>si on l</w:t>
      </w:r>
      <w:r>
        <w:rPr>
          <w:lang w:val="fr-FR"/>
        </w:rPr>
        <w:t xml:space="preserve">a considère sous l’angle des épreuves et de la performance des emballages, cette restriction va à l’encontre de la </w:t>
      </w:r>
      <w:r w:rsidRPr="00143CEF">
        <w:rPr>
          <w:lang w:val="fr-FR"/>
        </w:rPr>
        <w:t>logique</w:t>
      </w:r>
      <w:r>
        <w:rPr>
          <w:lang w:val="fr-FR"/>
        </w:rPr>
        <w:t xml:space="preserve"> et des principes de l’ONU en matière d’épreuves et d’agrément.</w:t>
      </w:r>
    </w:p>
    <w:p w14:paraId="4624B022" w14:textId="77777777" w:rsidR="00371C26" w:rsidRPr="00967BD1" w:rsidRDefault="00371C26" w:rsidP="00371C26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L’expert du Royaume-Uni fait en outre observer que l’instruction d’emballage similaire P903 (</w:t>
      </w:r>
      <w:r w:rsidRPr="005F6D76">
        <w:rPr>
          <w:lang w:val="fr-FR"/>
        </w:rPr>
        <w:t>applicable lorsque la</w:t>
      </w:r>
      <w:r>
        <w:rPr>
          <w:lang w:val="fr-FR"/>
        </w:rPr>
        <w:t xml:space="preserve"> masse nette ne </w:t>
      </w:r>
      <w:r w:rsidRPr="005F6D76">
        <w:rPr>
          <w:lang w:val="fr-FR"/>
        </w:rPr>
        <w:t>dépasse</w:t>
      </w:r>
      <w:r>
        <w:rPr>
          <w:lang w:val="fr-FR"/>
        </w:rPr>
        <w:t xml:space="preserve"> pas 400 kg) ne comporte aucune restriction</w:t>
      </w:r>
      <w:r w:rsidRPr="0036751B">
        <w:rPr>
          <w:lang w:val="fr-FR"/>
        </w:rPr>
        <w:t xml:space="preserve"> relative au nombre</w:t>
      </w:r>
      <w:r>
        <w:rPr>
          <w:lang w:val="fr-FR"/>
        </w:rPr>
        <w:t xml:space="preserve"> et que pour les batteries d’une masse supérieure à 12 kg avec une enveloppe extérieure résistante aux chocs, le paragraphe 2 ne fixe aucune limite quant au nombre de batteries ou à la taille de l’emballage utilisé.</w:t>
      </w:r>
    </w:p>
    <w:p w14:paraId="0885DBAD" w14:textId="77777777" w:rsidR="00371C26" w:rsidRPr="00967BD1" w:rsidRDefault="00371C26" w:rsidP="00371C2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12493D1D" w14:textId="77777777" w:rsidR="00371C26" w:rsidRDefault="00371C26" w:rsidP="00371C2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Modifier l’instruction d’emballage LP903 comme suit (le texte supprimé figure en caractères </w:t>
      </w:r>
      <w:r>
        <w:rPr>
          <w:strike/>
          <w:lang w:val="fr-FR"/>
        </w:rPr>
        <w:t>biffés</w:t>
      </w:r>
      <w:r>
        <w:rPr>
          <w:lang w:val="fr-FR"/>
        </w:rPr>
        <w:t xml:space="preserve"> et les ajouts en caractères </w:t>
      </w:r>
      <w:r>
        <w:rPr>
          <w:u w:val="single"/>
          <w:lang w:val="fr-FR"/>
        </w:rPr>
        <w:t>soulignés</w:t>
      </w:r>
      <w:r>
        <w:rPr>
          <w:lang w:val="fr-FR"/>
        </w:rPr>
        <w:t>) :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180"/>
        <w:gridCol w:w="8459"/>
      </w:tblGrid>
      <w:tr w:rsidR="00371C26" w14:paraId="69C417EC" w14:textId="77777777" w:rsidTr="00371C26"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3D08" w14:textId="77777777" w:rsidR="00371C26" w:rsidRDefault="00371C26" w:rsidP="008B24B1">
            <w:pPr>
              <w:pStyle w:val="SingleTxtG"/>
              <w:keepNext/>
              <w:ind w:right="345"/>
              <w:rPr>
                <w:b/>
              </w:rPr>
            </w:pPr>
            <w:r>
              <w:rPr>
                <w:b/>
                <w:bCs/>
                <w:lang w:val="fr-FR"/>
              </w:rPr>
              <w:t>LP903                                   INSTRUCTION D’EMBALLAGE                                              LP903</w:t>
            </w:r>
          </w:p>
        </w:tc>
      </w:tr>
      <w:tr w:rsidR="00371C26" w:rsidRPr="00173A39" w14:paraId="1F99225B" w14:textId="77777777" w:rsidTr="00371C26"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588" w14:textId="77777777" w:rsidR="00371C26" w:rsidRPr="00967BD1" w:rsidRDefault="00371C26" w:rsidP="008B24B1">
            <w:pPr>
              <w:pStyle w:val="SingleTxtG"/>
              <w:keepNext/>
              <w:rPr>
                <w:lang w:val="fr-FR"/>
              </w:rPr>
            </w:pPr>
            <w:r>
              <w:rPr>
                <w:lang w:val="fr-FR"/>
              </w:rPr>
              <w:t>Cette instruction s’applique aux Nos ONU 3090, 3091, 3480 et 3481.</w:t>
            </w:r>
          </w:p>
        </w:tc>
      </w:tr>
      <w:tr w:rsidR="00371C26" w:rsidRPr="00173A39" w14:paraId="574FF610" w14:textId="77777777" w:rsidTr="00371C26"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7CFA1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Les grands emballages suivants sont autorisés pour </w:t>
            </w:r>
            <w:r>
              <w:rPr>
                <w:strike/>
                <w:lang w:val="fr-FR"/>
              </w:rPr>
              <w:t>une seule</w:t>
            </w:r>
            <w:r>
              <w:rPr>
                <w:u w:val="single"/>
                <w:lang w:val="fr-FR"/>
              </w:rPr>
              <w:t>les</w:t>
            </w:r>
            <w:r w:rsidRPr="00BC1CD1">
              <w:rPr>
                <w:lang w:val="fr-FR"/>
              </w:rPr>
              <w:t xml:space="preserve"> </w:t>
            </w:r>
            <w:r>
              <w:rPr>
                <w:lang w:val="fr-FR"/>
              </w:rPr>
              <w:t>batterie</w:t>
            </w:r>
            <w:r>
              <w:rPr>
                <w:u w:val="single"/>
                <w:lang w:val="fr-FR"/>
              </w:rPr>
              <w:t>s</w:t>
            </w:r>
            <w:r>
              <w:rPr>
                <w:lang w:val="fr-FR"/>
              </w:rPr>
              <w:t xml:space="preserve">, et </w:t>
            </w:r>
            <w:r w:rsidRPr="00E56E04">
              <w:rPr>
                <w:strike/>
                <w:lang w:val="fr-FR"/>
              </w:rPr>
              <w:t>pour</w:t>
            </w:r>
            <w:r w:rsidRPr="00371C26">
              <w:rPr>
                <w:strike/>
                <w:lang w:val="fr-FR"/>
              </w:rPr>
              <w:t xml:space="preserve"> </w:t>
            </w:r>
            <w:r>
              <w:rPr>
                <w:strike/>
                <w:lang w:val="fr-FR"/>
              </w:rPr>
              <w:t>un</w:t>
            </w:r>
            <w:r>
              <w:rPr>
                <w:u w:val="single"/>
                <w:lang w:val="fr-FR"/>
              </w:rPr>
              <w:t>les</w:t>
            </w:r>
            <w:r w:rsidRPr="00BC1CD1">
              <w:rPr>
                <w:lang w:val="fr-FR"/>
              </w:rPr>
              <w:t xml:space="preserve"> </w:t>
            </w:r>
            <w:r>
              <w:rPr>
                <w:lang w:val="fr-FR"/>
              </w:rPr>
              <w:t>équipement</w:t>
            </w:r>
            <w:r>
              <w:rPr>
                <w:u w:val="single"/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  <w:r>
              <w:rPr>
                <w:strike/>
                <w:lang w:val="fr-FR"/>
              </w:rPr>
              <w:t xml:space="preserve">seul </w:t>
            </w:r>
            <w:r>
              <w:rPr>
                <w:lang w:val="fr-FR"/>
              </w:rPr>
              <w:t xml:space="preserve">contenant des batteries, s’il est satisfait aux dispositions générales des </w:t>
            </w:r>
            <w:r>
              <w:rPr>
                <w:b/>
                <w:bCs/>
                <w:lang w:val="fr-FR"/>
              </w:rPr>
              <w:t>4.1.1 et 4.1.3</w:t>
            </w:r>
            <w:r>
              <w:rPr>
                <w:lang w:val="fr-FR"/>
              </w:rPr>
              <w:t> :</w:t>
            </w:r>
          </w:p>
          <w:p w14:paraId="1C7533C6" w14:textId="77777777" w:rsidR="00371C26" w:rsidRPr="00967BD1" w:rsidRDefault="00371C26" w:rsidP="008B24B1">
            <w:pPr>
              <w:pStyle w:val="SingleTxtG"/>
              <w:keepNext/>
              <w:rPr>
                <w:lang w:val="fr-FR"/>
              </w:rPr>
            </w:pPr>
            <w:r>
              <w:rPr>
                <w:lang w:val="fr-FR"/>
              </w:rPr>
              <w:t>Grands emballages rigides satisfaisant au niveau d’épreuve du groupe d’emballage II, en :</w:t>
            </w:r>
          </w:p>
        </w:tc>
      </w:tr>
      <w:tr w:rsidR="00371C26" w14:paraId="3161CE2F" w14:textId="77777777" w:rsidTr="00371C26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FBA6D" w14:textId="77777777" w:rsidR="00371C26" w:rsidRPr="00967BD1" w:rsidRDefault="00371C26" w:rsidP="008B24B1">
            <w:pPr>
              <w:pStyle w:val="SingleTxtG"/>
              <w:keepNext/>
              <w:rPr>
                <w:sz w:val="22"/>
                <w:szCs w:val="22"/>
                <w:lang w:val="fr-FR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FAFAD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Acier (50A) ;</w:t>
            </w:r>
          </w:p>
          <w:p w14:paraId="6FC37602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Aluminium (50B) ;</w:t>
            </w:r>
          </w:p>
          <w:p w14:paraId="389315BA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Métal autre que l’acier ou l’aluminium (50N) ;</w:t>
            </w:r>
          </w:p>
          <w:p w14:paraId="7DB542BB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Plastique rigide (50H) ;</w:t>
            </w:r>
          </w:p>
          <w:p w14:paraId="2DCDE8AF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Bois naturel (50C) ;</w:t>
            </w:r>
          </w:p>
          <w:p w14:paraId="4F645904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Contre-plaqué (50D) ;</w:t>
            </w:r>
          </w:p>
          <w:p w14:paraId="57B7C751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Bois reconstitué (50F) ;</w:t>
            </w:r>
          </w:p>
          <w:p w14:paraId="40665899" w14:textId="77777777" w:rsidR="00371C26" w:rsidRDefault="00371C26" w:rsidP="008B24B1">
            <w:pPr>
              <w:pStyle w:val="SingleTxtG"/>
              <w:keepNext/>
              <w:rPr>
                <w:sz w:val="18"/>
                <w:szCs w:val="18"/>
              </w:rPr>
            </w:pPr>
            <w:r>
              <w:rPr>
                <w:lang w:val="fr-FR"/>
              </w:rPr>
              <w:t>Carton rigide (50G).</w:t>
            </w:r>
          </w:p>
        </w:tc>
      </w:tr>
      <w:tr w:rsidR="00371C26" w:rsidRPr="00173A39" w14:paraId="0FAA1122" w14:textId="77777777" w:rsidTr="00371C26">
        <w:tc>
          <w:tcPr>
            <w:tcW w:w="8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AA6F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strike/>
                <w:lang w:val="fr-FR"/>
              </w:rPr>
              <w:t>La</w:t>
            </w:r>
            <w:r>
              <w:rPr>
                <w:u w:val="single"/>
                <w:lang w:val="fr-FR"/>
              </w:rPr>
              <w:t>Chaque</w:t>
            </w:r>
            <w:r>
              <w:rPr>
                <w:lang w:val="fr-FR"/>
              </w:rPr>
              <w:t xml:space="preserve"> batterie ou </w:t>
            </w:r>
            <w:r>
              <w:rPr>
                <w:strike/>
                <w:lang w:val="fr-FR"/>
              </w:rPr>
              <w:t>l’</w:t>
            </w:r>
            <w:r>
              <w:rPr>
                <w:lang w:val="fr-FR"/>
              </w:rPr>
              <w:t xml:space="preserve">équipement doit être </w:t>
            </w:r>
            <w:r>
              <w:rPr>
                <w:u w:val="single"/>
                <w:lang w:val="fr-FR"/>
              </w:rPr>
              <w:t xml:space="preserve">enveloppé ou emballé dans un emballage intérieur, et l’emballage extérieur doit être pourvu de séparateurs ou de cloisons </w:t>
            </w:r>
            <w:r w:rsidRPr="00E56E04">
              <w:rPr>
                <w:u w:val="single"/>
                <w:lang w:val="fr-FR"/>
              </w:rPr>
              <w:t>isolant ces batteries ou ces équipements les uns des autres</w:t>
            </w:r>
            <w:r w:rsidRPr="0064220B">
              <w:rPr>
                <w:u w:val="single"/>
                <w:lang w:val="fr-FR"/>
              </w:rPr>
              <w:t xml:space="preserve"> </w:t>
            </w:r>
            <w:r w:rsidRPr="0064220B">
              <w:rPr>
                <w:lang w:val="fr-FR"/>
              </w:rPr>
              <w:t xml:space="preserve">de manière à </w:t>
            </w:r>
            <w:r w:rsidRPr="00E56E04">
              <w:rPr>
                <w:strike/>
                <w:lang w:val="fr-FR"/>
              </w:rPr>
              <w:t>être protégé</w:t>
            </w:r>
            <w:r w:rsidRPr="00371C26">
              <w:rPr>
                <w:strike/>
                <w:lang w:val="fr-FR"/>
              </w:rPr>
              <w:t xml:space="preserve"> </w:t>
            </w:r>
            <w:r w:rsidRPr="00E56E04">
              <w:rPr>
                <w:u w:val="single"/>
                <w:lang w:val="fr-FR"/>
              </w:rPr>
              <w:t>les protéger</w:t>
            </w:r>
            <w:r>
              <w:rPr>
                <w:lang w:val="fr-FR"/>
              </w:rPr>
              <w:t xml:space="preserve"> contre les dommages qui pourraient être causés par </w:t>
            </w:r>
            <w:r w:rsidRPr="00E56E04">
              <w:rPr>
                <w:strike/>
                <w:lang w:val="fr-FR"/>
              </w:rPr>
              <w:t>son</w:t>
            </w:r>
            <w:r w:rsidRPr="00371C26">
              <w:rPr>
                <w:strike/>
                <w:lang w:val="fr-FR"/>
              </w:rPr>
              <w:t xml:space="preserve"> </w:t>
            </w:r>
            <w:r w:rsidRPr="00E56E04">
              <w:rPr>
                <w:u w:val="single"/>
                <w:lang w:val="fr-FR"/>
              </w:rPr>
              <w:t>leu</w:t>
            </w:r>
            <w:r>
              <w:rPr>
                <w:lang w:val="fr-FR"/>
              </w:rPr>
              <w:t xml:space="preserve">r mouvement ou </w:t>
            </w:r>
            <w:r w:rsidRPr="00E56E04">
              <w:rPr>
                <w:strike/>
                <w:lang w:val="fr-FR"/>
              </w:rPr>
              <w:t>son</w:t>
            </w:r>
            <w:r w:rsidRPr="00371C26">
              <w:rPr>
                <w:strike/>
                <w:lang w:val="fr-FR"/>
              </w:rPr>
              <w:t xml:space="preserve"> </w:t>
            </w:r>
            <w:r w:rsidRPr="00E56E04">
              <w:rPr>
                <w:u w:val="single"/>
                <w:lang w:val="fr-FR"/>
              </w:rPr>
              <w:t>leur</w:t>
            </w:r>
            <w:r w:rsidRPr="00371C26">
              <w:rPr>
                <w:lang w:val="fr-FR"/>
              </w:rPr>
              <w:t xml:space="preserve"> </w:t>
            </w:r>
            <w:r>
              <w:rPr>
                <w:lang w:val="fr-FR"/>
              </w:rPr>
              <w:t>placement dans le grand emballage.</w:t>
            </w:r>
          </w:p>
        </w:tc>
      </w:tr>
      <w:tr w:rsidR="00371C26" w:rsidRPr="00173A39" w14:paraId="1B86F88F" w14:textId="77777777" w:rsidTr="00371C26"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10A8" w14:textId="77777777" w:rsidR="00371C26" w:rsidRPr="00967BD1" w:rsidRDefault="00371C26" w:rsidP="008B24B1">
            <w:pPr>
              <w:pStyle w:val="SingleTxtG"/>
              <w:keepNext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bCs/>
                <w:lang w:val="fr-FR"/>
              </w:rPr>
              <w:t>Disposition supplémentaire :</w:t>
            </w:r>
          </w:p>
          <w:p w14:paraId="226BC590" w14:textId="77777777" w:rsidR="00371C26" w:rsidRPr="00967BD1" w:rsidRDefault="00371C26" w:rsidP="008B24B1">
            <w:pPr>
              <w:pStyle w:val="SingleTxtG"/>
              <w:keepNext/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Les batteries doivent être protégées contre les courts-circuits.</w:t>
            </w:r>
          </w:p>
        </w:tc>
      </w:tr>
    </w:tbl>
    <w:p w14:paraId="23FA5839" w14:textId="77777777" w:rsidR="00371C26" w:rsidRPr="00967BD1" w:rsidRDefault="00371C26" w:rsidP="00371C2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5617471E" w14:textId="77777777" w:rsidR="00371C26" w:rsidRDefault="00371C26" w:rsidP="00371C2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 xml:space="preserve">La modification proposée ne diminue en rien la sécurité. Elle peut au contraire </w:t>
      </w:r>
      <w:r w:rsidRPr="00B94B17">
        <w:rPr>
          <w:lang w:val="fr-FR"/>
        </w:rPr>
        <w:t xml:space="preserve">favoriser </w:t>
      </w:r>
      <w:r>
        <w:rPr>
          <w:lang w:val="fr-FR"/>
        </w:rPr>
        <w:t xml:space="preserve">le recours à des emballages agréés, plutôt que l’approche libre du paragraphe 2 de l’instruction d’emballage P903. L’obligation d’envelopper ou d’emballer chaque batterie et de séparer ces batteries </w:t>
      </w:r>
      <w:r w:rsidRPr="00CB287E">
        <w:rPr>
          <w:lang w:val="fr-FR"/>
        </w:rPr>
        <w:t>à l</w:t>
      </w:r>
      <w:r>
        <w:rPr>
          <w:lang w:val="fr-FR"/>
        </w:rPr>
        <w:t>’</w:t>
      </w:r>
      <w:r w:rsidRPr="00CB287E">
        <w:rPr>
          <w:lang w:val="fr-FR"/>
        </w:rPr>
        <w:t>intérieur du</w:t>
      </w:r>
      <w:r>
        <w:rPr>
          <w:lang w:val="fr-FR"/>
        </w:rPr>
        <w:t xml:space="preserve"> grand emballage contribuera à atténuer les effets néfastes d’un éventuel court-circuit </w:t>
      </w:r>
      <w:r w:rsidRPr="00371C26">
        <w:rPr>
          <w:lang w:val="fr-FR"/>
        </w:rPr>
        <w:t>dans</w:t>
      </w:r>
      <w:r>
        <w:rPr>
          <w:lang w:val="fr-FR"/>
        </w:rPr>
        <w:t xml:space="preserve"> une batterie en ralentissant ou en empêchant la propagation de ces effets aux autres batteries. Le texte est rédigé de façon à empêcher l’utilisation de ces grands emballages pour </w:t>
      </w:r>
      <w:r w:rsidRPr="002A3A94">
        <w:rPr>
          <w:lang w:val="fr-FR"/>
        </w:rPr>
        <w:t>le transport en vrac</w:t>
      </w:r>
      <w:r>
        <w:rPr>
          <w:lang w:val="fr-FR"/>
        </w:rPr>
        <w:t>.</w:t>
      </w:r>
    </w:p>
    <w:p w14:paraId="56101D84" w14:textId="77777777" w:rsidR="00446FE5" w:rsidRPr="00371C26" w:rsidRDefault="00371C26" w:rsidP="00371C2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371C26" w:rsidSect="00371C2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5461" w14:textId="77777777" w:rsidR="00E74084" w:rsidRDefault="00E74084" w:rsidP="00F95C08">
      <w:pPr>
        <w:spacing w:line="240" w:lineRule="auto"/>
      </w:pPr>
    </w:p>
  </w:endnote>
  <w:endnote w:type="continuationSeparator" w:id="0">
    <w:p w14:paraId="48818E5C" w14:textId="77777777" w:rsidR="00E74084" w:rsidRPr="00AC3823" w:rsidRDefault="00E74084" w:rsidP="00AC3823">
      <w:pPr>
        <w:pStyle w:val="Footer"/>
      </w:pPr>
    </w:p>
  </w:endnote>
  <w:endnote w:type="continuationNotice" w:id="1">
    <w:p w14:paraId="6BD84447" w14:textId="77777777" w:rsidR="00E74084" w:rsidRDefault="00E74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E75C" w14:textId="77777777" w:rsidR="00371C26" w:rsidRPr="00371C26" w:rsidRDefault="00371C26" w:rsidP="00371C26">
    <w:pPr>
      <w:pStyle w:val="Footer"/>
      <w:tabs>
        <w:tab w:val="right" w:pos="9638"/>
      </w:tabs>
    </w:pPr>
    <w:r w:rsidRPr="00371C26">
      <w:rPr>
        <w:b/>
        <w:sz w:val="18"/>
      </w:rPr>
      <w:fldChar w:fldCharType="begin"/>
    </w:r>
    <w:r w:rsidRPr="00371C26">
      <w:rPr>
        <w:b/>
        <w:sz w:val="18"/>
      </w:rPr>
      <w:instrText xml:space="preserve"> PAGE  \* MERGEFORMAT </w:instrText>
    </w:r>
    <w:r w:rsidRPr="00371C26">
      <w:rPr>
        <w:b/>
        <w:sz w:val="18"/>
      </w:rPr>
      <w:fldChar w:fldCharType="separate"/>
    </w:r>
    <w:r w:rsidRPr="00371C26">
      <w:rPr>
        <w:b/>
        <w:noProof/>
        <w:sz w:val="18"/>
      </w:rPr>
      <w:t>2</w:t>
    </w:r>
    <w:r w:rsidRPr="00371C26">
      <w:rPr>
        <w:b/>
        <w:sz w:val="18"/>
      </w:rPr>
      <w:fldChar w:fldCharType="end"/>
    </w:r>
    <w:r>
      <w:rPr>
        <w:b/>
        <w:sz w:val="18"/>
      </w:rPr>
      <w:tab/>
    </w:r>
    <w:r>
      <w:t>GE.20-05740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EF6D" w14:textId="77777777" w:rsidR="00371C26" w:rsidRPr="00371C26" w:rsidRDefault="00371C26" w:rsidP="00371C26">
    <w:pPr>
      <w:pStyle w:val="Footer"/>
      <w:tabs>
        <w:tab w:val="right" w:pos="9638"/>
      </w:tabs>
      <w:rPr>
        <w:b/>
        <w:sz w:val="18"/>
      </w:rPr>
    </w:pPr>
    <w:r>
      <w:t>GE.20-05740</w:t>
    </w:r>
    <w:r>
      <w:tab/>
    </w:r>
    <w:r w:rsidRPr="00371C26">
      <w:rPr>
        <w:b/>
        <w:sz w:val="18"/>
      </w:rPr>
      <w:fldChar w:fldCharType="begin"/>
    </w:r>
    <w:r w:rsidRPr="00371C26">
      <w:rPr>
        <w:b/>
        <w:sz w:val="18"/>
      </w:rPr>
      <w:instrText xml:space="preserve"> PAGE  \* MERGEFORMAT </w:instrText>
    </w:r>
    <w:r w:rsidRPr="00371C26">
      <w:rPr>
        <w:b/>
        <w:sz w:val="18"/>
      </w:rPr>
      <w:fldChar w:fldCharType="separate"/>
    </w:r>
    <w:r w:rsidRPr="00371C26">
      <w:rPr>
        <w:b/>
        <w:noProof/>
        <w:sz w:val="18"/>
      </w:rPr>
      <w:t>3</w:t>
    </w:r>
    <w:r w:rsidRPr="00371C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9EF7" w14:textId="77777777" w:rsidR="0068456F" w:rsidRPr="00371C26" w:rsidRDefault="00371C26" w:rsidP="00371C2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815698E" wp14:editId="087F227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20-05740  (F)    121020    141020</w:t>
    </w:r>
    <w:r>
      <w:rPr>
        <w:sz w:val="20"/>
      </w:rPr>
      <w:br/>
    </w:r>
    <w:r w:rsidRPr="00371C26">
      <w:rPr>
        <w:rFonts w:ascii="C39T30Lfz" w:hAnsi="C39T30Lfz"/>
        <w:sz w:val="56"/>
      </w:rPr>
      <w:t>*2005740*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0B0C404" wp14:editId="285C9B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17DB" w14:textId="77777777" w:rsidR="00E74084" w:rsidRPr="00AC3823" w:rsidRDefault="00E740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43236C" w14:textId="77777777" w:rsidR="00E74084" w:rsidRPr="00AC3823" w:rsidRDefault="00E740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DAE40F" w14:textId="77777777" w:rsidR="00E74084" w:rsidRPr="00AC3823" w:rsidRDefault="00E74084">
      <w:pPr>
        <w:spacing w:line="240" w:lineRule="auto"/>
        <w:rPr>
          <w:sz w:val="2"/>
          <w:szCs w:val="2"/>
        </w:rPr>
      </w:pPr>
    </w:p>
  </w:footnote>
  <w:footnote w:id="2">
    <w:p w14:paraId="03B5770E" w14:textId="77777777" w:rsidR="00371C26" w:rsidRPr="00371C26" w:rsidRDefault="00371C26" w:rsidP="00371C26">
      <w:pPr>
        <w:pStyle w:val="FootnoteText"/>
      </w:pPr>
      <w:r>
        <w:rPr>
          <w:rStyle w:val="FootnoteReference"/>
        </w:rPr>
        <w:tab/>
      </w:r>
      <w:r w:rsidRPr="00371C2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71C26">
        <w:t>Sous</w:t>
      </w:r>
      <w:r>
        <w:rPr>
          <w:lang w:val="fr-FR"/>
        </w:rPr>
        <w:t>-programme 2 du budget-programme pour 2020 (A/74/6 (Sect. 20)) et informations complémentaires.</w:t>
      </w:r>
    </w:p>
  </w:footnote>
  <w:footnote w:id="3">
    <w:p w14:paraId="63A4F713" w14:textId="77777777" w:rsidR="00371C26" w:rsidRPr="00D5089B" w:rsidRDefault="00371C26" w:rsidP="00371C26">
      <w:pPr>
        <w:pStyle w:val="FootnoteText"/>
      </w:pPr>
      <w:r>
        <w:rPr>
          <w:b/>
          <w:bCs/>
          <w:vertAlign w:val="superscript"/>
          <w:lang w:val="fr-FR"/>
        </w:rPr>
        <w:tab/>
      </w:r>
      <w:r w:rsidRPr="00371C26">
        <w:rPr>
          <w:sz w:val="20"/>
          <w:lang w:val="fr-FR"/>
        </w:rPr>
        <w:t>**</w:t>
      </w:r>
      <w:r>
        <w:rPr>
          <w:lang w:val="fr-FR"/>
        </w:rPr>
        <w:tab/>
        <w:t xml:space="preserve">Il a été convenu que le présent document serait publié après la date normale de publication en raison de circonstances  indépendantes de la volonté du soumetteur </w:t>
      </w:r>
      <w:r w:rsidRPr="005F6D76">
        <w:rPr>
          <w:lang w:val="fr-FR"/>
        </w:rPr>
        <w:t>(COVID-19)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03B3" w14:textId="3854B3EB" w:rsidR="00371C26" w:rsidRPr="00371C26" w:rsidRDefault="005077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51A66">
      <w:t>ST/SG/AC.10/C.3/2020/52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3AF8" w14:textId="6F1D1140" w:rsidR="00371C26" w:rsidRPr="00371C26" w:rsidRDefault="005077D3" w:rsidP="00371C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51A66">
      <w:t>ST/SG/AC.10/C.3/2020/52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8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71C26"/>
    <w:rsid w:val="00441C3B"/>
    <w:rsid w:val="00446FE5"/>
    <w:rsid w:val="00452396"/>
    <w:rsid w:val="004E468C"/>
    <w:rsid w:val="005077D3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51A66"/>
    <w:rsid w:val="00A53360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74084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D94E7"/>
  <w15:docId w15:val="{4B0AC6EF-0D46-4FA5-B92B-EBA2CC1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CA573-580C-4961-BD7F-EF038092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C7501-3AFA-40CE-A4C1-B186FD036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E5B45-BA36-4F66-B643-5A06FC740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ST/SG/AC.10/C.3/2020/52</dc:title>
  <dc:subject/>
  <dc:creator>Sandrine CLERE</dc:creator>
  <cp:keywords/>
  <cp:lastModifiedBy>Laurence Berthet</cp:lastModifiedBy>
  <cp:revision>2</cp:revision>
  <cp:lastPrinted>2020-10-14T08:54:00Z</cp:lastPrinted>
  <dcterms:created xsi:type="dcterms:W3CDTF">2020-10-14T11:23:00Z</dcterms:created>
  <dcterms:modified xsi:type="dcterms:W3CDTF">2020-10-14T11:23:00Z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