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7C994B6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21B5E8" w14:textId="77777777" w:rsidR="00132EA9" w:rsidRPr="00DB58B5" w:rsidRDefault="00132EA9" w:rsidP="00F2798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4C5EF8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E43A32" w14:textId="77777777" w:rsidR="00132EA9" w:rsidRPr="00DB58B5" w:rsidRDefault="00F2798D" w:rsidP="00F2798D">
            <w:pPr>
              <w:jc w:val="right"/>
            </w:pPr>
            <w:r w:rsidRPr="00F2798D">
              <w:rPr>
                <w:sz w:val="40"/>
              </w:rPr>
              <w:t>ST</w:t>
            </w:r>
            <w:r>
              <w:t>/SG/AC.10/C.3/2020/49</w:t>
            </w:r>
          </w:p>
        </w:tc>
      </w:tr>
      <w:tr w:rsidR="00132EA9" w:rsidRPr="00DB58B5" w14:paraId="038D1BAE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EFAEC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C6AA91B" wp14:editId="62E641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11C16B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3602A2" w14:textId="77777777" w:rsidR="00132EA9" w:rsidRDefault="00F2798D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80FD5BF" w14:textId="77777777" w:rsidR="00F2798D" w:rsidRDefault="00F2798D" w:rsidP="00F2798D">
            <w:pPr>
              <w:spacing w:line="240" w:lineRule="exact"/>
            </w:pPr>
            <w:r>
              <w:t>15 avril 2020</w:t>
            </w:r>
          </w:p>
          <w:p w14:paraId="5287D282" w14:textId="77777777" w:rsidR="00F2798D" w:rsidRDefault="00F2798D" w:rsidP="00F2798D">
            <w:pPr>
              <w:spacing w:line="240" w:lineRule="exact"/>
            </w:pPr>
            <w:r>
              <w:t>Français</w:t>
            </w:r>
          </w:p>
          <w:p w14:paraId="3FA3A210" w14:textId="77777777" w:rsidR="00F2798D" w:rsidRPr="00DB58B5" w:rsidRDefault="00F2798D" w:rsidP="00F2798D">
            <w:pPr>
              <w:spacing w:line="240" w:lineRule="exact"/>
            </w:pPr>
            <w:r>
              <w:t>Original : anglais</w:t>
            </w:r>
          </w:p>
        </w:tc>
      </w:tr>
    </w:tbl>
    <w:p w14:paraId="576B89D9" w14:textId="77777777" w:rsidR="00DE2EA5" w:rsidRPr="00392CC0" w:rsidRDefault="00DE2EA5" w:rsidP="00392CC0">
      <w:pPr>
        <w:spacing w:before="120"/>
        <w:rPr>
          <w:b/>
          <w:bCs/>
          <w:sz w:val="24"/>
          <w:szCs w:val="24"/>
          <w:lang w:val="fr-FR"/>
        </w:rPr>
      </w:pPr>
      <w:r w:rsidRPr="00392CC0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="00392CC0">
        <w:rPr>
          <w:b/>
          <w:bCs/>
          <w:sz w:val="24"/>
          <w:szCs w:val="24"/>
          <w:lang w:val="fr-FR"/>
        </w:rPr>
        <w:br/>
      </w:r>
      <w:r w:rsidRPr="00392CC0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392CC0">
        <w:rPr>
          <w:b/>
          <w:bCs/>
          <w:sz w:val="24"/>
          <w:szCs w:val="24"/>
          <w:lang w:val="fr-FR"/>
        </w:rPr>
        <w:br/>
      </w:r>
      <w:r w:rsidRPr="00392CC0">
        <w:rPr>
          <w:b/>
          <w:bCs/>
          <w:sz w:val="24"/>
          <w:szCs w:val="24"/>
          <w:lang w:val="fr-FR"/>
        </w:rPr>
        <w:t>et d’étiquetage des produits chimiques</w:t>
      </w:r>
    </w:p>
    <w:p w14:paraId="5394270B" w14:textId="77777777" w:rsidR="00DE2EA5" w:rsidRPr="00392CC0" w:rsidRDefault="00DE2EA5" w:rsidP="00392CC0">
      <w:pPr>
        <w:spacing w:before="120"/>
        <w:rPr>
          <w:rFonts w:ascii="Helv" w:hAnsi="Helv" w:cs="Helv"/>
          <w:b/>
          <w:color w:val="000000"/>
          <w:lang w:val="fr-FR"/>
        </w:rPr>
      </w:pPr>
      <w:r w:rsidRPr="00392CC0">
        <w:rPr>
          <w:b/>
          <w:bCs/>
          <w:lang w:val="fr-FR"/>
        </w:rPr>
        <w:t>Sous-Comité d’experts du transport des marchandises dangereuses</w:t>
      </w:r>
    </w:p>
    <w:p w14:paraId="75AAA955" w14:textId="77777777" w:rsidR="00DE2EA5" w:rsidRPr="00392CC0" w:rsidRDefault="00DE2EA5" w:rsidP="00392CC0">
      <w:pPr>
        <w:spacing w:before="120"/>
        <w:rPr>
          <w:b/>
          <w:lang w:val="fr-FR"/>
        </w:rPr>
      </w:pPr>
      <w:r w:rsidRPr="00392CC0">
        <w:rPr>
          <w:b/>
          <w:bCs/>
          <w:lang w:val="fr-FR"/>
        </w:rPr>
        <w:t>Cinquante-septième session</w:t>
      </w:r>
    </w:p>
    <w:p w14:paraId="2F2F2800" w14:textId="77777777" w:rsidR="00DE2EA5" w:rsidRPr="00392CC0" w:rsidRDefault="00DE2EA5" w:rsidP="00DE2EA5">
      <w:pPr>
        <w:rPr>
          <w:lang w:val="fr-FR"/>
        </w:rPr>
      </w:pPr>
      <w:r w:rsidRPr="00392CC0">
        <w:rPr>
          <w:lang w:val="fr-FR"/>
        </w:rPr>
        <w:t>Genève, 29 juin</w:t>
      </w:r>
      <w:r w:rsidR="0072639D">
        <w:rPr>
          <w:lang w:val="fr-FR"/>
        </w:rPr>
        <w:noBreakHyphen/>
      </w:r>
      <w:r w:rsidRPr="00392CC0">
        <w:rPr>
          <w:lang w:val="fr-FR"/>
        </w:rPr>
        <w:t xml:space="preserve">8 juillet 2020 </w:t>
      </w:r>
    </w:p>
    <w:p w14:paraId="3F1E673C" w14:textId="77777777" w:rsidR="00DE2EA5" w:rsidRPr="00392CC0" w:rsidRDefault="00DE2EA5" w:rsidP="00DE2EA5">
      <w:pPr>
        <w:rPr>
          <w:lang w:val="fr-FR"/>
        </w:rPr>
      </w:pPr>
      <w:r w:rsidRPr="00392CC0">
        <w:rPr>
          <w:lang w:val="fr-FR"/>
        </w:rPr>
        <w:t>Point 3 de l’ordre du jour provisoire</w:t>
      </w:r>
    </w:p>
    <w:p w14:paraId="0C6B3D78" w14:textId="77777777" w:rsidR="00DE2EA5" w:rsidRPr="00392CC0" w:rsidRDefault="00DE2EA5" w:rsidP="00DE2EA5">
      <w:pPr>
        <w:rPr>
          <w:b/>
          <w:bCs/>
          <w:lang w:val="fr-FR"/>
        </w:rPr>
      </w:pPr>
      <w:r w:rsidRPr="00392CC0">
        <w:rPr>
          <w:b/>
          <w:bCs/>
          <w:lang w:val="fr-FR"/>
        </w:rPr>
        <w:t>Inscription, classement et emballage</w:t>
      </w:r>
    </w:p>
    <w:p w14:paraId="0921E1D0" w14:textId="77777777" w:rsidR="00DE2EA5" w:rsidRPr="009B28DF" w:rsidRDefault="00DE2EA5" w:rsidP="00392CC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d’amendement à la disposition spéciale XXX </w:t>
      </w:r>
      <w:r w:rsidR="00392CC0">
        <w:rPr>
          <w:lang w:val="fr-FR"/>
        </w:rPr>
        <w:br/>
      </w:r>
      <w:r>
        <w:rPr>
          <w:lang w:val="fr-FR"/>
        </w:rPr>
        <w:t xml:space="preserve">telle qu’adoptée à la cinquante-sixième session </w:t>
      </w:r>
      <w:r w:rsidR="00392CC0">
        <w:rPr>
          <w:lang w:val="fr-FR"/>
        </w:rPr>
        <w:br/>
      </w:r>
      <w:r>
        <w:rPr>
          <w:lang w:val="fr-FR"/>
        </w:rPr>
        <w:t>sur la base du document informel INF.53</w:t>
      </w:r>
    </w:p>
    <w:p w14:paraId="73E0AB65" w14:textId="77777777" w:rsidR="00DE2EA5" w:rsidRPr="009B28DF" w:rsidRDefault="00DE2EA5" w:rsidP="00392CC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du Royaume-Uni </w:t>
      </w:r>
      <w:r w:rsidR="0072639D">
        <w:rPr>
          <w:lang w:val="fr-FR"/>
        </w:rPr>
        <w:br/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Grande-Bretagne et d’Irlande du Nord</w:t>
      </w:r>
      <w:r w:rsidR="0072639D" w:rsidRPr="0072639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D1C42CC" w14:textId="77777777" w:rsidR="00DE2EA5" w:rsidRPr="00F27855" w:rsidRDefault="00DE2EA5" w:rsidP="00392CC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103B3E64" w14:textId="77777777" w:rsidR="00DE2EA5" w:rsidRPr="009B28DF" w:rsidRDefault="00DE2EA5" w:rsidP="00392CC0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la cinquante-sixième</w:t>
      </w:r>
      <w:r w:rsidR="00392CC0">
        <w:rPr>
          <w:lang w:val="fr-FR"/>
        </w:rPr>
        <w:t xml:space="preserve"> </w:t>
      </w:r>
      <w:r>
        <w:rPr>
          <w:lang w:val="fr-FR"/>
        </w:rPr>
        <w:t>session du Sous-Comité, l’expert de l’Allemagne a présenté le document ST/SG/AC.10/2019/42 sur le transport de transformateurs équipés de bouteilles</w:t>
      </w:r>
      <w:r w:rsidR="00392CC0">
        <w:rPr>
          <w:lang w:val="fr-FR"/>
        </w:rPr>
        <w:t xml:space="preserve"> </w:t>
      </w:r>
      <w:r>
        <w:rPr>
          <w:lang w:val="fr-FR"/>
        </w:rPr>
        <w:t xml:space="preserve">à gaz. </w:t>
      </w:r>
      <w:r w:rsidRPr="005D5B60">
        <w:rPr>
          <w:lang w:val="fr-FR"/>
        </w:rPr>
        <w:t>Or</w:t>
      </w:r>
      <w:r>
        <w:rPr>
          <w:lang w:val="fr-FR"/>
        </w:rPr>
        <w:t>, ce document portait sur des</w:t>
      </w:r>
      <w:r w:rsidR="00392CC0">
        <w:rPr>
          <w:lang w:val="fr-FR"/>
        </w:rPr>
        <w:t xml:space="preserve"> </w:t>
      </w:r>
      <w:r>
        <w:rPr>
          <w:lang w:val="fr-FR"/>
        </w:rPr>
        <w:t>objets contenant des marchandises dangereuses de la classe 2, une rubrique qui avait été élaborée par les experts du Royaume</w:t>
      </w:r>
      <w:r w:rsidR="00FC0FCF">
        <w:rPr>
          <w:lang w:val="fr-FR"/>
        </w:rPr>
        <w:noBreakHyphen/>
      </w:r>
      <w:r>
        <w:rPr>
          <w:lang w:val="fr-FR"/>
        </w:rPr>
        <w:t>Uni, et n’était pas pleinement conforme à nos intentions présentées dans le document INF.42. Au cours du débat, l’expert de l’Allemagne a notamment</w:t>
      </w:r>
      <w:r w:rsidR="00392CC0">
        <w:rPr>
          <w:lang w:val="fr-FR"/>
        </w:rPr>
        <w:t xml:space="preserve"> </w:t>
      </w:r>
      <w:r>
        <w:rPr>
          <w:lang w:val="fr-FR"/>
        </w:rPr>
        <w:t xml:space="preserve">fait valoir </w:t>
      </w:r>
      <w:r w:rsidRPr="008D2B94">
        <w:rPr>
          <w:lang w:val="fr-FR"/>
        </w:rPr>
        <w:t>la marge d</w:t>
      </w:r>
      <w:r>
        <w:rPr>
          <w:lang w:val="fr-FR"/>
        </w:rPr>
        <w:t xml:space="preserve">’interprétation de la formule « objet contenant », étant donné qu’en l’occurrence l’objet concerné ne contenait pas de gaz. Malgré l’intervention du Royaume-Uni, le document INF.53 a été adopté. Toutefois, le </w:t>
      </w:r>
      <w:r w:rsidRPr="008D2B94">
        <w:rPr>
          <w:lang w:val="fr-FR"/>
        </w:rPr>
        <w:t>Président</w:t>
      </w:r>
      <w:r>
        <w:rPr>
          <w:lang w:val="fr-FR"/>
        </w:rPr>
        <w:t xml:space="preserve"> du Sous-Comité,</w:t>
      </w:r>
      <w:r w:rsidR="00392CC0">
        <w:rPr>
          <w:lang w:val="fr-FR"/>
        </w:rPr>
        <w:t xml:space="preserve"> </w:t>
      </w:r>
      <w:r>
        <w:rPr>
          <w:lang w:val="fr-FR"/>
        </w:rPr>
        <w:t xml:space="preserve">estimant que les délégués n’avaient peut-être pas eu le temps de consulter les représentants </w:t>
      </w:r>
      <w:r w:rsidRPr="005D5B60">
        <w:rPr>
          <w:lang w:val="fr-FR"/>
        </w:rPr>
        <w:t>du secteur dans</w:t>
      </w:r>
      <w:r>
        <w:rPr>
          <w:lang w:val="fr-FR"/>
        </w:rPr>
        <w:t xml:space="preserve"> leur pays, a </w:t>
      </w:r>
      <w:r w:rsidRPr="008D2B94">
        <w:rPr>
          <w:lang w:val="fr-FR"/>
        </w:rPr>
        <w:t>rappelé</w:t>
      </w:r>
      <w:r>
        <w:rPr>
          <w:lang w:val="fr-FR"/>
        </w:rPr>
        <w:t xml:space="preserve"> que toutes les délégations pouvaient soumettre d’autres propositions ou</w:t>
      </w:r>
      <w:r w:rsidR="00392CC0">
        <w:rPr>
          <w:lang w:val="fr-FR"/>
        </w:rPr>
        <w:t xml:space="preserve"> </w:t>
      </w:r>
      <w:r>
        <w:rPr>
          <w:lang w:val="fr-FR"/>
        </w:rPr>
        <w:t>amendements à des sessions ultérieures.</w:t>
      </w:r>
    </w:p>
    <w:p w14:paraId="4BD5313C" w14:textId="77777777" w:rsidR="00DE2EA5" w:rsidRPr="009B28DF" w:rsidRDefault="00DE2EA5" w:rsidP="00FC0FC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Résumé des constatations issues de nos recherches</w:t>
      </w:r>
    </w:p>
    <w:p w14:paraId="4CCE9965" w14:textId="77777777" w:rsidR="00DE2EA5" w:rsidRPr="009B28DF" w:rsidRDefault="00DE2EA5" w:rsidP="00FC0FCF">
      <w:pPr>
        <w:pStyle w:val="SingleTxtG"/>
        <w:keepNext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Une fois rentré dans son pays,</w:t>
      </w:r>
      <w:r w:rsidR="00392CC0">
        <w:rPr>
          <w:lang w:val="fr-FR"/>
        </w:rPr>
        <w:t xml:space="preserve"> </w:t>
      </w:r>
      <w:r>
        <w:rPr>
          <w:lang w:val="fr-FR"/>
        </w:rPr>
        <w:t>l’expert du Royaume-Uni</w:t>
      </w:r>
      <w:r w:rsidR="00392CC0">
        <w:rPr>
          <w:lang w:val="fr-FR"/>
        </w:rPr>
        <w:t xml:space="preserve"> </w:t>
      </w:r>
      <w:r>
        <w:rPr>
          <w:lang w:val="fr-FR"/>
        </w:rPr>
        <w:t>a mené des recherches sur le transport de transformateurs équipés de bouteilles</w:t>
      </w:r>
      <w:r w:rsidR="00392CC0">
        <w:rPr>
          <w:lang w:val="fr-FR"/>
        </w:rPr>
        <w:t xml:space="preserve"> </w:t>
      </w:r>
      <w:r>
        <w:rPr>
          <w:lang w:val="fr-FR"/>
        </w:rPr>
        <w:t>à gaz.</w:t>
      </w:r>
      <w:r w:rsidR="00392CC0">
        <w:rPr>
          <w:lang w:val="fr-FR"/>
        </w:rPr>
        <w:t xml:space="preserve"> </w:t>
      </w:r>
      <w:r>
        <w:rPr>
          <w:lang w:val="fr-FR"/>
        </w:rPr>
        <w:t>Ses constatations peuvent être résumées comme suit</w:t>
      </w:r>
      <w:r w:rsidR="00FC0FCF">
        <w:rPr>
          <w:lang w:val="fr-FR"/>
        </w:rPr>
        <w:t> </w:t>
      </w:r>
      <w:r>
        <w:rPr>
          <w:lang w:val="fr-FR"/>
        </w:rPr>
        <w:t>:</w:t>
      </w:r>
    </w:p>
    <w:p w14:paraId="2CDFA649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Dans certains transformateurs, la pression du gaz dépasse les 35</w:t>
      </w:r>
      <w:r w:rsidR="00FC0FCF">
        <w:rPr>
          <w:lang w:val="fr-FR"/>
        </w:rPr>
        <w:t> </w:t>
      </w:r>
      <w:r>
        <w:rPr>
          <w:lang w:val="fr-FR"/>
        </w:rPr>
        <w:t>kPa prévus dans le texte adopté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1AFB1C42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>Dans la plupart des cas, les bouteilles à gaz sont remplies d’air sec (dans 95</w:t>
      </w:r>
      <w:r w:rsidR="00FC0FCF">
        <w:rPr>
          <w:lang w:val="fr-FR"/>
        </w:rPr>
        <w:t> </w:t>
      </w:r>
      <w:r>
        <w:rPr>
          <w:lang w:val="fr-FR"/>
        </w:rPr>
        <w:t>% des cas</w:t>
      </w:r>
      <w:r w:rsidRPr="000002E4">
        <w:rPr>
          <w:lang w:val="fr-FR"/>
        </w:rPr>
        <w:t xml:space="preserve"> </w:t>
      </w:r>
      <w:r>
        <w:rPr>
          <w:lang w:val="fr-FR"/>
        </w:rPr>
        <w:t>probablement)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2E77CC5F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Il est possible d’utiliser d’autres gaz qui ne figurent pas dans la disposition spéciale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44E81B6C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Le gaz sert à</w:t>
      </w:r>
      <w:r w:rsidR="00392CC0">
        <w:rPr>
          <w:lang w:val="fr-FR"/>
        </w:rPr>
        <w:t xml:space="preserve"> </w:t>
      </w:r>
      <w:r>
        <w:rPr>
          <w:lang w:val="fr-FR"/>
        </w:rPr>
        <w:t>s’assurer qu’aucune humidité ne pénètre dans le transformateur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1770DFF2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Les transformateurs sont par conception étanches pour les liquides, mais pas pour les gaz, donc le gaz s’échappe au fil du temps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604BF4FE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</w:r>
      <w:r w:rsidRPr="008D2B94">
        <w:rPr>
          <w:lang w:val="fr-FR"/>
        </w:rPr>
        <w:t>Certains transformateurs sont transportés</w:t>
      </w:r>
      <w:r>
        <w:rPr>
          <w:lang w:val="fr-FR"/>
        </w:rPr>
        <w:t xml:space="preserve"> remplis d’huile avec un coussin d’azote, tandis que d’autres sont transportés sans huile. Dans les deux cas, le gaz remplit la même fonction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5D02A94F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>Les bouteilles</w:t>
      </w:r>
      <w:r w:rsidR="00392CC0">
        <w:rPr>
          <w:lang w:val="fr-FR"/>
        </w:rPr>
        <w:t xml:space="preserve"> </w:t>
      </w:r>
      <w:r>
        <w:rPr>
          <w:lang w:val="fr-FR"/>
        </w:rPr>
        <w:t>à gaz sont utilisées pour compléter le gaz contenu dans le transformateur ; il n’y a donc pas de flux continu de la bouteille au transformateur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4A263143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h)</w:t>
      </w:r>
      <w:r>
        <w:rPr>
          <w:lang w:val="fr-FR"/>
        </w:rPr>
        <w:tab/>
      </w:r>
      <w:r w:rsidRPr="00827E04">
        <w:rPr>
          <w:lang w:val="fr-FR"/>
        </w:rPr>
        <w:t>Le poids des</w:t>
      </w:r>
      <w:r>
        <w:rPr>
          <w:lang w:val="fr-FR"/>
        </w:rPr>
        <w:t xml:space="preserve"> transformateurs</w:t>
      </w:r>
      <w:r w:rsidR="00392CC0">
        <w:rPr>
          <w:lang w:val="fr-FR"/>
        </w:rPr>
        <w:t xml:space="preserve"> </w:t>
      </w:r>
      <w:r>
        <w:rPr>
          <w:lang w:val="fr-FR"/>
        </w:rPr>
        <w:t>varie entre environ 2</w:t>
      </w:r>
      <w:r w:rsidR="00FC0FCF">
        <w:rPr>
          <w:lang w:val="fr-FR"/>
        </w:rPr>
        <w:t> </w:t>
      </w:r>
      <w:r>
        <w:rPr>
          <w:lang w:val="fr-FR"/>
        </w:rPr>
        <w:t>tonnes et 30 à 40</w:t>
      </w:r>
      <w:r w:rsidR="00FC0FCF">
        <w:rPr>
          <w:lang w:val="fr-FR"/>
        </w:rPr>
        <w:t> </w:t>
      </w:r>
      <w:r>
        <w:rPr>
          <w:lang w:val="fr-FR"/>
        </w:rPr>
        <w:t>tonnes, voire beaucoup plus parfois (le plus lourd recensé pesait 192</w:t>
      </w:r>
      <w:r w:rsidR="00FC0FCF">
        <w:rPr>
          <w:lang w:val="fr-FR"/>
        </w:rPr>
        <w:t> </w:t>
      </w:r>
      <w:r>
        <w:rPr>
          <w:lang w:val="fr-FR"/>
        </w:rPr>
        <w:t>tonnes)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363CB0F4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Les transformateurs sont conçus pour être exploités à l’air libre et ne sont normalement pas emballés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515D63C5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j)</w:t>
      </w:r>
      <w:r>
        <w:rPr>
          <w:lang w:val="fr-FR"/>
        </w:rPr>
        <w:tab/>
        <w:t xml:space="preserve">Les transformateurs ont été transportés de cette manière pendant bien plus de </w:t>
      </w:r>
      <w:r w:rsidR="00FC0FCF">
        <w:rPr>
          <w:lang w:val="fr-FR"/>
        </w:rPr>
        <w:t>trente</w:t>
      </w:r>
      <w:r>
        <w:rPr>
          <w:lang w:val="fr-FR"/>
        </w:rPr>
        <w:t xml:space="preserve"> ans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06C96253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k)</w:t>
      </w:r>
      <w:r>
        <w:rPr>
          <w:lang w:val="fr-FR"/>
        </w:rPr>
        <w:tab/>
        <w:t>Aucun incident impliquant un dégagement d’azote pendant le transport n’a été recensé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76CDB0E3" w14:textId="77777777" w:rsidR="00DE2EA5" w:rsidRPr="009B28DF" w:rsidRDefault="00DE2EA5" w:rsidP="00FC0FCF">
      <w:pPr>
        <w:pStyle w:val="SingleTxtG"/>
        <w:ind w:firstLine="567"/>
        <w:rPr>
          <w:lang w:val="fr-FR"/>
        </w:rPr>
      </w:pPr>
      <w:r>
        <w:rPr>
          <w:lang w:val="fr-FR"/>
        </w:rPr>
        <w:t>l)</w:t>
      </w:r>
      <w:r>
        <w:rPr>
          <w:lang w:val="fr-FR"/>
        </w:rPr>
        <w:tab/>
        <w:t xml:space="preserve">Un fabricant expédie un transformateur tous les </w:t>
      </w:r>
      <w:r w:rsidR="00FC0FCF">
        <w:rPr>
          <w:lang w:val="fr-FR"/>
        </w:rPr>
        <w:t>deux</w:t>
      </w:r>
      <w:r>
        <w:rPr>
          <w:lang w:val="fr-FR"/>
        </w:rPr>
        <w:t xml:space="preserve"> à </w:t>
      </w:r>
      <w:r w:rsidR="00FC0FCF">
        <w:rPr>
          <w:lang w:val="fr-FR"/>
        </w:rPr>
        <w:t xml:space="preserve">trois </w:t>
      </w:r>
      <w:r>
        <w:rPr>
          <w:lang w:val="fr-FR"/>
        </w:rPr>
        <w:t>jours.</w:t>
      </w:r>
    </w:p>
    <w:p w14:paraId="4C07F125" w14:textId="77777777" w:rsidR="00DE2EA5" w:rsidRPr="009B28DF" w:rsidRDefault="00DE2EA5" w:rsidP="00FC0FC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Analyse de la nouvelle disposition spéciale XXX telle qu’adoptée</w:t>
      </w:r>
    </w:p>
    <w:p w14:paraId="67BAFBDF" w14:textId="77777777" w:rsidR="00DE2EA5" w:rsidRPr="000B3248" w:rsidRDefault="00DE2EA5" w:rsidP="00FC0FC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Comme indiqué ci-dessus, l’expert de l’Allemagne comptait sur la marge </w:t>
      </w:r>
      <w:r w:rsidRPr="005D5B60">
        <w:rPr>
          <w:lang w:val="fr-FR"/>
        </w:rPr>
        <w:t>d</w:t>
      </w:r>
      <w:r>
        <w:rPr>
          <w:lang w:val="fr-FR"/>
        </w:rPr>
        <w:t>’</w:t>
      </w:r>
      <w:r w:rsidRPr="005D5B60">
        <w:rPr>
          <w:lang w:val="fr-FR"/>
        </w:rPr>
        <w:t>interprétation pour que la nouvelle disposition spéciale puisse être adoptée. Cependant,</w:t>
      </w:r>
      <w:r w:rsidR="00392CC0">
        <w:rPr>
          <w:lang w:val="fr-FR"/>
        </w:rPr>
        <w:t xml:space="preserve"> </w:t>
      </w:r>
      <w:r>
        <w:rPr>
          <w:lang w:val="fr-FR"/>
        </w:rPr>
        <w:t>celle-ci</w:t>
      </w:r>
      <w:r w:rsidRPr="005D5B60">
        <w:rPr>
          <w:lang w:val="fr-FR"/>
        </w:rPr>
        <w:t xml:space="preserve"> n</w:t>
      </w:r>
      <w:r>
        <w:rPr>
          <w:lang w:val="fr-FR"/>
        </w:rPr>
        <w:t>’</w:t>
      </w:r>
      <w:r w:rsidRPr="005D5B60">
        <w:rPr>
          <w:lang w:val="fr-FR"/>
        </w:rPr>
        <w:t xml:space="preserve">offre pas la même marge. </w:t>
      </w:r>
      <w:r>
        <w:rPr>
          <w:lang w:val="fr-FR"/>
        </w:rPr>
        <w:t>En effet, l’</w:t>
      </w:r>
      <w:r w:rsidRPr="005D5B60">
        <w:rPr>
          <w:lang w:val="fr-FR"/>
        </w:rPr>
        <w:t>alinéa</w:t>
      </w:r>
      <w:r w:rsidR="00FC0FCF">
        <w:rPr>
          <w:lang w:val="fr-FR"/>
        </w:rPr>
        <w:t> </w:t>
      </w:r>
      <w:r>
        <w:rPr>
          <w:lang w:val="fr-FR"/>
        </w:rPr>
        <w:t>a) de la nouvelle disposition spéciale XXX</w:t>
      </w:r>
      <w:r w:rsidR="00392CC0">
        <w:rPr>
          <w:lang w:val="fr-FR"/>
        </w:rPr>
        <w:t xml:space="preserve"> </w:t>
      </w:r>
      <w:r>
        <w:rPr>
          <w:lang w:val="fr-FR"/>
        </w:rPr>
        <w:t>ne mentionne que trois gaz alors que, comme indiqué ci-dessus, d’autres gaz peuvent être utilisés. L’alinéa</w:t>
      </w:r>
      <w:r w:rsidR="00FC0FCF">
        <w:rPr>
          <w:lang w:val="fr-FR"/>
        </w:rPr>
        <w:t> </w:t>
      </w:r>
      <w:r>
        <w:rPr>
          <w:lang w:val="fr-FR"/>
        </w:rPr>
        <w:t>b) fixe de manière arbitraire la pression maximale à 35</w:t>
      </w:r>
      <w:r w:rsidR="00FC0FCF">
        <w:rPr>
          <w:lang w:val="fr-FR"/>
        </w:rPr>
        <w:t> </w:t>
      </w:r>
      <w:r>
        <w:rPr>
          <w:lang w:val="fr-FR"/>
        </w:rPr>
        <w:t>kPa,</w:t>
      </w:r>
      <w:r w:rsidR="00392CC0">
        <w:rPr>
          <w:lang w:val="fr-FR"/>
        </w:rPr>
        <w:t xml:space="preserve"> </w:t>
      </w:r>
      <w:r>
        <w:rPr>
          <w:lang w:val="fr-FR"/>
        </w:rPr>
        <w:t>sur la base de la pression</w:t>
      </w:r>
      <w:r w:rsidR="00392CC0">
        <w:rPr>
          <w:lang w:val="fr-FR"/>
        </w:rPr>
        <w:t xml:space="preserve"> </w:t>
      </w:r>
      <w:r>
        <w:rPr>
          <w:lang w:val="fr-FR"/>
        </w:rPr>
        <w:t>indiquée dans l’exemple</w:t>
      </w:r>
      <w:r w:rsidR="00392CC0">
        <w:rPr>
          <w:lang w:val="fr-FR"/>
        </w:rPr>
        <w:t xml:space="preserve"> </w:t>
      </w:r>
      <w:r>
        <w:rPr>
          <w:lang w:val="fr-FR"/>
        </w:rPr>
        <w:t>présenté dans la proposition. L’alinéa</w:t>
      </w:r>
      <w:r w:rsidR="00FC0FCF">
        <w:rPr>
          <w:lang w:val="fr-FR"/>
        </w:rPr>
        <w:t> </w:t>
      </w:r>
      <w:r>
        <w:rPr>
          <w:lang w:val="fr-FR"/>
        </w:rPr>
        <w:t>c) n’est pas nécessaire car, compte tenu des coûts qu’engendrerait la réparation d’un transformateur endommagé par une bouteille</w:t>
      </w:r>
      <w:r w:rsidR="00392CC0">
        <w:rPr>
          <w:lang w:val="fr-FR"/>
        </w:rPr>
        <w:t xml:space="preserve"> </w:t>
      </w:r>
      <w:r>
        <w:rPr>
          <w:lang w:val="fr-FR"/>
        </w:rPr>
        <w:t>à gaz non fixée ou un tuyau défectueux, les fabricants veillent déjà à ce que cette situation ne se produise pas. L’alinéa</w:t>
      </w:r>
      <w:r w:rsidR="00FC0FCF">
        <w:rPr>
          <w:lang w:val="fr-FR"/>
        </w:rPr>
        <w:t> </w:t>
      </w:r>
      <w:r>
        <w:rPr>
          <w:lang w:val="fr-FR"/>
        </w:rPr>
        <w:t>d) ne tient pas compte de l’importance de plusieurs des préoccupations susmentionnées ni de la pratique actuelle du secteur. L’alinéa</w:t>
      </w:r>
      <w:r w:rsidR="00FC0FCF">
        <w:rPr>
          <w:lang w:val="fr-FR"/>
        </w:rPr>
        <w:t> </w:t>
      </w:r>
      <w:r>
        <w:rPr>
          <w:lang w:val="fr-FR"/>
        </w:rPr>
        <w:t>f) est contradictoire, car si l’engin de transport est bien ventilé, il ne peut pas y avoir de risque d’asphyxie. Un tel risque existe seulement lorsqu’il n’y a pas de ventilation. Et même en l’absence de ventilation, deux bouteilles d’azote entièrement déchargées dans un conteneur de 20</w:t>
      </w:r>
      <w:r w:rsidR="00FC0FCF">
        <w:rPr>
          <w:lang w:val="fr-FR"/>
        </w:rPr>
        <w:t> </w:t>
      </w:r>
      <w:r>
        <w:rPr>
          <w:lang w:val="fr-FR"/>
        </w:rPr>
        <w:t xml:space="preserve">pieds ne produiront pas une </w:t>
      </w:r>
      <w:r w:rsidRPr="00AD3716">
        <w:rPr>
          <w:lang w:val="fr-FR"/>
        </w:rPr>
        <w:t>atmosphère asphyxiante.</w:t>
      </w:r>
    </w:p>
    <w:p w14:paraId="0B5D7547" w14:textId="77777777" w:rsidR="00DE2EA5" w:rsidRPr="000B3248" w:rsidRDefault="00DE2EA5" w:rsidP="00FC0FCF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Enfin, il est possible que cette prescription augmente considérablement les coûts d’expédition et restreigne la disponibilité du service. Un transformateur de 20</w:t>
      </w:r>
      <w:r w:rsidR="00FC0FCF">
        <w:rPr>
          <w:lang w:val="fr-FR"/>
        </w:rPr>
        <w:t> </w:t>
      </w:r>
      <w:r>
        <w:rPr>
          <w:lang w:val="fr-FR"/>
        </w:rPr>
        <w:t>tonnes, qui était auparavant expédié en tant que marchandise classique, sera dorénavant considéré comme 20</w:t>
      </w:r>
      <w:r w:rsidR="00FC0FCF">
        <w:rPr>
          <w:lang w:val="fr-FR"/>
        </w:rPr>
        <w:t> </w:t>
      </w:r>
      <w:r>
        <w:rPr>
          <w:lang w:val="fr-FR"/>
        </w:rPr>
        <w:t>tonnes de marchandises dangereuses. Les transporteurs ne sont pas tous aptes à manipuler des marchandises dangereuses et ceux qui le sont facturent généralement un supplément.</w:t>
      </w:r>
    </w:p>
    <w:p w14:paraId="1B68E16A" w14:textId="77777777" w:rsidR="00DE2EA5" w:rsidRPr="000B3248" w:rsidRDefault="00DE2EA5" w:rsidP="00FC0FC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Propositions</w:t>
      </w:r>
    </w:p>
    <w:p w14:paraId="219C50F6" w14:textId="77777777" w:rsidR="00DE2EA5" w:rsidRPr="000B3248" w:rsidRDefault="00DE2EA5" w:rsidP="00FC0FCF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 Royaume-Uni considère que la nouvelle disposition spéciale XXX introduit une</w:t>
      </w:r>
      <w:r w:rsidR="00392CC0">
        <w:rPr>
          <w:lang w:val="fr-FR"/>
        </w:rPr>
        <w:t xml:space="preserve"> </w:t>
      </w:r>
      <w:r>
        <w:rPr>
          <w:lang w:val="fr-FR"/>
        </w:rPr>
        <w:t>interférence inutile dans un domaine dans lequel les</w:t>
      </w:r>
      <w:r w:rsidR="00392CC0">
        <w:rPr>
          <w:lang w:val="fr-FR"/>
        </w:rPr>
        <w:t xml:space="preserve"> </w:t>
      </w:r>
      <w:r>
        <w:rPr>
          <w:lang w:val="fr-FR"/>
        </w:rPr>
        <w:t>activités se déroulent avec succès et sans incidents depuis de nombreuses années. Néanmoins,</w:t>
      </w:r>
      <w:r w:rsidR="00392CC0">
        <w:rPr>
          <w:lang w:val="fr-FR"/>
        </w:rPr>
        <w:t xml:space="preserve"> </w:t>
      </w:r>
      <w:r>
        <w:rPr>
          <w:lang w:val="fr-FR"/>
        </w:rPr>
        <w:t>il reconnaît que l’expert de l’Allemagne a soulevé un</w:t>
      </w:r>
      <w:r w:rsidR="00392CC0">
        <w:rPr>
          <w:lang w:val="fr-FR"/>
        </w:rPr>
        <w:t xml:space="preserve"> </w:t>
      </w:r>
      <w:r>
        <w:rPr>
          <w:lang w:val="fr-FR"/>
        </w:rPr>
        <w:t>point à considérer.</w:t>
      </w:r>
    </w:p>
    <w:p w14:paraId="04DAC2B7" w14:textId="77777777" w:rsidR="00DE2EA5" w:rsidRPr="000B3248" w:rsidRDefault="00DE2EA5" w:rsidP="00FC0FCF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 1</w:t>
      </w:r>
    </w:p>
    <w:p w14:paraId="576C95AF" w14:textId="77777777" w:rsidR="00DE2EA5" w:rsidRPr="000B3248" w:rsidRDefault="00DE2EA5" w:rsidP="00FC0FCF">
      <w:pPr>
        <w:pStyle w:val="SingleTxtG"/>
        <w:keepNext/>
        <w:ind w:firstLine="567"/>
        <w:rPr>
          <w:lang w:val="fr-FR"/>
        </w:rPr>
      </w:pPr>
      <w:r>
        <w:rPr>
          <w:lang w:val="fr-FR"/>
        </w:rPr>
        <w:t>Dans la nouvelle disposition spéciale XXX, supprimer le texte adopté et le remplacer par</w:t>
      </w:r>
      <w:r w:rsidR="00FC0FCF">
        <w:rPr>
          <w:lang w:val="fr-FR"/>
        </w:rPr>
        <w:t> </w:t>
      </w:r>
      <w:r>
        <w:rPr>
          <w:lang w:val="fr-FR"/>
        </w:rPr>
        <w:t>:</w:t>
      </w:r>
    </w:p>
    <w:p w14:paraId="7BB7450B" w14:textId="77777777" w:rsidR="00DE2EA5" w:rsidRPr="000B3248" w:rsidRDefault="00DE2EA5" w:rsidP="00FC0FCF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 Les objets de grande taille et robustes auxquels sont fixées des bouteilles</w:t>
      </w:r>
      <w:r w:rsidR="00392CC0">
        <w:rPr>
          <w:lang w:val="fr-FR"/>
        </w:rPr>
        <w:t xml:space="preserve"> </w:t>
      </w:r>
      <w:r>
        <w:rPr>
          <w:lang w:val="fr-FR"/>
        </w:rPr>
        <w:t>à gaz qui les approvisionnent en gaz pendant le transport à des fins de conditionnement ne sont pas visés par ces dispositions, à moins qu’ils ne soient transportés dans des conteneurs fermés.</w:t>
      </w:r>
    </w:p>
    <w:p w14:paraId="40E0BB78" w14:textId="77777777" w:rsidR="00DE2EA5" w:rsidRPr="0044679B" w:rsidRDefault="00DE2EA5" w:rsidP="00FC0FCF">
      <w:pPr>
        <w:pStyle w:val="SingleTxtG"/>
        <w:ind w:left="1701" w:firstLine="567"/>
        <w:rPr>
          <w:lang w:val="fr-FR"/>
        </w:rPr>
      </w:pPr>
      <w:r>
        <w:rPr>
          <w:lang w:val="fr-FR"/>
        </w:rPr>
        <w:t>Les engins de transport fermés et non ventilés doivent être marqués conformément au 5.5.3.6. ».</w:t>
      </w:r>
    </w:p>
    <w:p w14:paraId="0884C9D5" w14:textId="77777777" w:rsidR="00DE2EA5" w:rsidRPr="0044679B" w:rsidRDefault="00DE2EA5" w:rsidP="00FC0FCF">
      <w:pPr>
        <w:pStyle w:val="SingleTxtG"/>
        <w:keepNext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Si le Sous-Comité n’est pas disposé à accepter cette proposition, un autre texte est proposé comme suit</w:t>
      </w:r>
      <w:r w:rsidR="00FC0FCF">
        <w:rPr>
          <w:lang w:val="fr-FR"/>
        </w:rPr>
        <w:t> </w:t>
      </w:r>
      <w:r>
        <w:rPr>
          <w:lang w:val="fr-FR"/>
        </w:rPr>
        <w:t>:</w:t>
      </w:r>
    </w:p>
    <w:p w14:paraId="693F9EAF" w14:textId="77777777" w:rsidR="00DE2EA5" w:rsidRPr="000B3248" w:rsidRDefault="00DE2EA5" w:rsidP="00FC0FC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2</w:t>
      </w:r>
    </w:p>
    <w:p w14:paraId="48B78327" w14:textId="77777777" w:rsidR="00DE2EA5" w:rsidRPr="000B3248" w:rsidRDefault="00DE2EA5" w:rsidP="00FC0FCF">
      <w:pPr>
        <w:pStyle w:val="SingleTxtG"/>
        <w:keepNext/>
        <w:ind w:firstLine="567"/>
        <w:rPr>
          <w:lang w:val="fr-FR"/>
        </w:rPr>
      </w:pPr>
      <w:r>
        <w:rPr>
          <w:lang w:val="fr-FR"/>
        </w:rPr>
        <w:t>Dans la nouvelle disposition spéciale XXX, remplacer le texte adopté par</w:t>
      </w:r>
      <w:r w:rsidR="00FC0FCF">
        <w:rPr>
          <w:lang w:val="fr-FR"/>
        </w:rPr>
        <w:t> </w:t>
      </w:r>
      <w:r>
        <w:rPr>
          <w:lang w:val="fr-FR"/>
        </w:rPr>
        <w:t>:</w:t>
      </w:r>
    </w:p>
    <w:p w14:paraId="432F585E" w14:textId="77777777" w:rsidR="00DE2EA5" w:rsidRPr="000B3248" w:rsidRDefault="00DE2EA5" w:rsidP="00FC0FCF">
      <w:pPr>
        <w:pStyle w:val="SingleTxtG"/>
        <w:keepNext/>
        <w:ind w:left="1701" w:firstLine="567"/>
        <w:rPr>
          <w:lang w:val="fr-FR"/>
        </w:rPr>
      </w:pPr>
      <w:r>
        <w:rPr>
          <w:lang w:val="fr-FR"/>
        </w:rPr>
        <w:t>« Les objets de grande taille et robustes pesant jusqu’à 3</w:t>
      </w:r>
      <w:r w:rsidR="00FC0FCF">
        <w:rPr>
          <w:lang w:val="fr-FR"/>
        </w:rPr>
        <w:t> </w:t>
      </w:r>
      <w:r>
        <w:rPr>
          <w:lang w:val="fr-FR"/>
        </w:rPr>
        <w:t>tonnes auxquels sont fixées des bouteilles</w:t>
      </w:r>
      <w:r w:rsidR="00392CC0">
        <w:rPr>
          <w:lang w:val="fr-FR"/>
        </w:rPr>
        <w:t xml:space="preserve"> </w:t>
      </w:r>
      <w:r>
        <w:rPr>
          <w:lang w:val="fr-FR"/>
        </w:rPr>
        <w:t>à gaz qui les approvisionnent en gaz pendant le transport à des fins de conditionnement peuvent être transportés</w:t>
      </w:r>
      <w:r w:rsidR="00392CC0">
        <w:rPr>
          <w:lang w:val="fr-FR"/>
        </w:rPr>
        <w:t xml:space="preserve"> </w:t>
      </w:r>
      <w:r>
        <w:rPr>
          <w:lang w:val="fr-FR"/>
        </w:rPr>
        <w:t>dans les conditions suivantes</w:t>
      </w:r>
      <w:r w:rsidR="00FC0FCF">
        <w:rPr>
          <w:lang w:val="fr-FR"/>
        </w:rPr>
        <w:t> </w:t>
      </w:r>
      <w:r>
        <w:rPr>
          <w:lang w:val="fr-FR"/>
        </w:rPr>
        <w:t>:</w:t>
      </w:r>
    </w:p>
    <w:p w14:paraId="0A5DE8E4" w14:textId="77777777" w:rsidR="00DE2EA5" w:rsidRPr="000B3248" w:rsidRDefault="00DE2EA5" w:rsidP="00FC0FCF">
      <w:pPr>
        <w:pStyle w:val="SingleTxtG"/>
        <w:ind w:left="1701"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Seuls les gaz de la division 2.2 sont utilisés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4FBC2508" w14:textId="77777777" w:rsidR="00DE2EA5" w:rsidRPr="000B3248" w:rsidRDefault="00DE2EA5" w:rsidP="00FC0FCF">
      <w:pPr>
        <w:pStyle w:val="SingleTxtG"/>
        <w:ind w:left="1701"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La pression dans l’objet ne doit pas dépasser 0,2</w:t>
      </w:r>
      <w:r w:rsidR="00FC0FCF">
        <w:rPr>
          <w:lang w:val="fr-FR"/>
        </w:rPr>
        <w:t> </w:t>
      </w:r>
      <w:r>
        <w:rPr>
          <w:lang w:val="fr-FR"/>
        </w:rPr>
        <w:t>bar (200 kPa)</w:t>
      </w:r>
      <w:r w:rsidR="00FC0FCF">
        <w:rPr>
          <w:lang w:val="fr-FR"/>
        </w:rPr>
        <w:t> </w:t>
      </w:r>
      <w:r>
        <w:rPr>
          <w:lang w:val="fr-FR"/>
        </w:rPr>
        <w:t>;</w:t>
      </w:r>
    </w:p>
    <w:p w14:paraId="7FE57234" w14:textId="77777777" w:rsidR="00DE2EA5" w:rsidRPr="000B3248" w:rsidRDefault="00DE2EA5" w:rsidP="00FC0FCF">
      <w:pPr>
        <w:pStyle w:val="SingleTxtG"/>
        <w:ind w:left="1701" w:firstLine="567"/>
        <w:rPr>
          <w:lang w:val="fr-FR"/>
        </w:rPr>
      </w:pPr>
      <w:r>
        <w:rPr>
          <w:lang w:val="fr-FR"/>
        </w:rPr>
        <w:t>c)</w:t>
      </w:r>
      <w:r w:rsidR="00FC0FCF">
        <w:rPr>
          <w:lang w:val="fr-FR"/>
        </w:rPr>
        <w:tab/>
      </w:r>
      <w:r>
        <w:rPr>
          <w:lang w:val="fr-FR"/>
        </w:rPr>
        <w:t>Lorsque</w:t>
      </w:r>
      <w:r w:rsidR="00392CC0">
        <w:rPr>
          <w:lang w:val="fr-FR"/>
        </w:rPr>
        <w:t xml:space="preserve"> </w:t>
      </w:r>
      <w:r>
        <w:rPr>
          <w:lang w:val="fr-FR"/>
        </w:rPr>
        <w:t>l’objet est transporté dans</w:t>
      </w:r>
      <w:r w:rsidR="00392CC0">
        <w:rPr>
          <w:lang w:val="fr-FR"/>
        </w:rPr>
        <w:t xml:space="preserve"> </w:t>
      </w:r>
      <w:r>
        <w:rPr>
          <w:lang w:val="fr-FR"/>
        </w:rPr>
        <w:t>un conteneur fermé et non ventilé et qu’un gaz asphyxiant est utilisé, le conteneur doit être marqué conformément au</w:t>
      </w:r>
      <w:r w:rsidR="00FC0FCF">
        <w:rPr>
          <w:lang w:val="fr-FR"/>
        </w:rPr>
        <w:t> </w:t>
      </w:r>
      <w:r>
        <w:rPr>
          <w:lang w:val="fr-FR"/>
        </w:rPr>
        <w:t>5.5.3.6. ».</w:t>
      </w:r>
    </w:p>
    <w:p w14:paraId="205B2DFA" w14:textId="77777777" w:rsidR="00DE2EA5" w:rsidRDefault="00DE2EA5" w:rsidP="00FC0FCF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Un document comportant des images de transformateurs sera fourni pour permettre aux représentants de bien saisir de quoi il est question.</w:t>
      </w:r>
    </w:p>
    <w:p w14:paraId="64FF97AD" w14:textId="77777777" w:rsidR="00FC0FCF" w:rsidRPr="00FC0FCF" w:rsidRDefault="00FC0FCF" w:rsidP="00FC0FC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C0FCF" w:rsidRPr="00FC0FCF" w:rsidSect="00F279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7FD7" w14:textId="77777777" w:rsidR="00D823A8" w:rsidRDefault="00D823A8" w:rsidP="00F95C08">
      <w:pPr>
        <w:spacing w:line="240" w:lineRule="auto"/>
      </w:pPr>
    </w:p>
  </w:endnote>
  <w:endnote w:type="continuationSeparator" w:id="0">
    <w:p w14:paraId="4FAE90DD" w14:textId="77777777" w:rsidR="00D823A8" w:rsidRPr="00AC3823" w:rsidRDefault="00D823A8" w:rsidP="00AC3823">
      <w:pPr>
        <w:pStyle w:val="Footer"/>
      </w:pPr>
    </w:p>
  </w:endnote>
  <w:endnote w:type="continuationNotice" w:id="1">
    <w:p w14:paraId="2FD0EFD4" w14:textId="77777777" w:rsidR="00D823A8" w:rsidRDefault="00D823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B9C0" w14:textId="77777777" w:rsidR="00F2798D" w:rsidRPr="00F2798D" w:rsidRDefault="00F2798D" w:rsidP="00F2798D">
    <w:pPr>
      <w:pStyle w:val="Footer"/>
      <w:tabs>
        <w:tab w:val="right" w:pos="9638"/>
      </w:tabs>
    </w:pPr>
    <w:r w:rsidRPr="00F2798D">
      <w:rPr>
        <w:b/>
        <w:sz w:val="18"/>
      </w:rPr>
      <w:fldChar w:fldCharType="begin"/>
    </w:r>
    <w:r w:rsidRPr="00F2798D">
      <w:rPr>
        <w:b/>
        <w:sz w:val="18"/>
      </w:rPr>
      <w:instrText xml:space="preserve"> PAGE  \* MERGEFORMAT </w:instrText>
    </w:r>
    <w:r w:rsidRPr="00F2798D">
      <w:rPr>
        <w:b/>
        <w:sz w:val="18"/>
      </w:rPr>
      <w:fldChar w:fldCharType="separate"/>
    </w:r>
    <w:r w:rsidRPr="00F2798D">
      <w:rPr>
        <w:b/>
        <w:noProof/>
        <w:sz w:val="18"/>
      </w:rPr>
      <w:t>2</w:t>
    </w:r>
    <w:r w:rsidRPr="00F2798D">
      <w:rPr>
        <w:b/>
        <w:sz w:val="18"/>
      </w:rPr>
      <w:fldChar w:fldCharType="end"/>
    </w:r>
    <w:r>
      <w:rPr>
        <w:b/>
        <w:sz w:val="18"/>
      </w:rPr>
      <w:tab/>
    </w:r>
    <w:r>
      <w:t>GE.20-05579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12EC" w14:textId="77777777" w:rsidR="00F2798D" w:rsidRPr="00F2798D" w:rsidRDefault="00F2798D" w:rsidP="00F2798D">
    <w:pPr>
      <w:pStyle w:val="Footer"/>
      <w:tabs>
        <w:tab w:val="right" w:pos="9638"/>
      </w:tabs>
      <w:rPr>
        <w:b/>
        <w:sz w:val="18"/>
      </w:rPr>
    </w:pPr>
    <w:r>
      <w:t>GE.20-05579</w:t>
    </w:r>
    <w:r>
      <w:tab/>
    </w:r>
    <w:r w:rsidRPr="00F2798D">
      <w:rPr>
        <w:b/>
        <w:sz w:val="18"/>
      </w:rPr>
      <w:fldChar w:fldCharType="begin"/>
    </w:r>
    <w:r w:rsidRPr="00F2798D">
      <w:rPr>
        <w:b/>
        <w:sz w:val="18"/>
      </w:rPr>
      <w:instrText xml:space="preserve"> PAGE  \* MERGEFORMAT </w:instrText>
    </w:r>
    <w:r w:rsidRPr="00F2798D">
      <w:rPr>
        <w:b/>
        <w:sz w:val="18"/>
      </w:rPr>
      <w:fldChar w:fldCharType="separate"/>
    </w:r>
    <w:r w:rsidRPr="00F2798D">
      <w:rPr>
        <w:b/>
        <w:noProof/>
        <w:sz w:val="18"/>
      </w:rPr>
      <w:t>3</w:t>
    </w:r>
    <w:r w:rsidRPr="00F279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0BDB" w14:textId="77777777" w:rsidR="0068456F" w:rsidRPr="00F2798D" w:rsidRDefault="00F2798D" w:rsidP="00F2798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BDD7FF" wp14:editId="54145EE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05579</w:t>
    </w:r>
    <w:r w:rsidR="00392CC0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392CC0">
      <w:rPr>
        <w:sz w:val="20"/>
      </w:rPr>
      <w:t xml:space="preserve">    </w:t>
    </w:r>
    <w:r>
      <w:rPr>
        <w:sz w:val="20"/>
      </w:rPr>
      <w:t>081020</w:t>
    </w:r>
    <w:r w:rsidR="00392CC0">
      <w:rPr>
        <w:sz w:val="20"/>
      </w:rPr>
      <w:t xml:space="preserve">    </w:t>
    </w:r>
    <w:r>
      <w:rPr>
        <w:sz w:val="20"/>
      </w:rPr>
      <w:t>081020</w:t>
    </w:r>
    <w:r>
      <w:rPr>
        <w:sz w:val="20"/>
      </w:rPr>
      <w:br/>
    </w:r>
    <w:r w:rsidRPr="00F2798D">
      <w:rPr>
        <w:rFonts w:ascii="C39T30Lfz" w:hAnsi="C39T30Lfz"/>
        <w:sz w:val="56"/>
      </w:rPr>
      <w:t>*2005579*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C48EA3" wp14:editId="18A0D78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DDD8" w14:textId="77777777" w:rsidR="00D823A8" w:rsidRPr="00AC3823" w:rsidRDefault="00D823A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1BC6B8" w14:textId="77777777" w:rsidR="00D823A8" w:rsidRPr="00AC3823" w:rsidRDefault="00D823A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E5BA33" w14:textId="77777777" w:rsidR="00D823A8" w:rsidRPr="00AC3823" w:rsidRDefault="00D823A8">
      <w:pPr>
        <w:spacing w:line="240" w:lineRule="auto"/>
        <w:rPr>
          <w:sz w:val="2"/>
          <w:szCs w:val="2"/>
        </w:rPr>
      </w:pPr>
    </w:p>
  </w:footnote>
  <w:footnote w:id="2">
    <w:p w14:paraId="6D787D53" w14:textId="77777777" w:rsidR="0072639D" w:rsidRPr="0072639D" w:rsidRDefault="0072639D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72639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2639D">
        <w:rPr>
          <w:szCs w:val="18"/>
        </w:rPr>
        <w:t>Sous-programme 2 du budget-programme pour 2020 (A/74/6 (sect.</w:t>
      </w:r>
      <w:r>
        <w:rPr>
          <w:szCs w:val="18"/>
        </w:rPr>
        <w:t> </w:t>
      </w:r>
      <w:r w:rsidRPr="0072639D">
        <w:rPr>
          <w:szCs w:val="18"/>
        </w:rPr>
        <w:t>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A5E3" w14:textId="71B8D488" w:rsidR="00F2798D" w:rsidRPr="00F2798D" w:rsidRDefault="00AC24FC">
    <w:pPr>
      <w:pStyle w:val="Header"/>
    </w:pPr>
    <w:fldSimple w:instr=" TITLE  \* MERGEFORMAT ">
      <w:r w:rsidR="008E5E84">
        <w:t>ST/SG/AC.10/C.3/2020/49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5CD6" w14:textId="516A502A" w:rsidR="00F2798D" w:rsidRPr="00F2798D" w:rsidRDefault="00AC24FC" w:rsidP="00F2798D">
    <w:pPr>
      <w:pStyle w:val="Header"/>
      <w:jc w:val="right"/>
    </w:pPr>
    <w:fldSimple w:instr=" TITLE  \* MERGEFORMAT ">
      <w:r w:rsidR="008E5E84">
        <w:t>ST/SG/AC.10/C.3/2020/49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8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129C8"/>
    <w:rsid w:val="00392CC0"/>
    <w:rsid w:val="00441C3B"/>
    <w:rsid w:val="00446FE5"/>
    <w:rsid w:val="00452396"/>
    <w:rsid w:val="004C550B"/>
    <w:rsid w:val="004E468C"/>
    <w:rsid w:val="005505B7"/>
    <w:rsid w:val="00573BE5"/>
    <w:rsid w:val="00584DC4"/>
    <w:rsid w:val="00586ED3"/>
    <w:rsid w:val="00596AA9"/>
    <w:rsid w:val="0068456F"/>
    <w:rsid w:val="0071601D"/>
    <w:rsid w:val="0072639D"/>
    <w:rsid w:val="007A62E6"/>
    <w:rsid w:val="0080684C"/>
    <w:rsid w:val="00871C75"/>
    <w:rsid w:val="008776DC"/>
    <w:rsid w:val="008B40CD"/>
    <w:rsid w:val="008E5E84"/>
    <w:rsid w:val="009705C8"/>
    <w:rsid w:val="009C1CF4"/>
    <w:rsid w:val="00A30353"/>
    <w:rsid w:val="00AC24FC"/>
    <w:rsid w:val="00AC3823"/>
    <w:rsid w:val="00AE323C"/>
    <w:rsid w:val="00B00181"/>
    <w:rsid w:val="00B00B0D"/>
    <w:rsid w:val="00B765F7"/>
    <w:rsid w:val="00BA0CA9"/>
    <w:rsid w:val="00C02897"/>
    <w:rsid w:val="00D3439C"/>
    <w:rsid w:val="00D561D9"/>
    <w:rsid w:val="00D823A8"/>
    <w:rsid w:val="00DB1831"/>
    <w:rsid w:val="00DD3BFD"/>
    <w:rsid w:val="00DE2EA5"/>
    <w:rsid w:val="00DF6678"/>
    <w:rsid w:val="00EF2E22"/>
    <w:rsid w:val="00F01738"/>
    <w:rsid w:val="00F2798D"/>
    <w:rsid w:val="00F660DF"/>
    <w:rsid w:val="00F730C8"/>
    <w:rsid w:val="00F95C08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8C2F9"/>
  <w15:docId w15:val="{F3E3FAA7-F74C-438D-AEA8-3A2D7B3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ST/SG/AC.10/C.3/2020/49</vt:lpstr>
    </vt:vector>
  </TitlesOfParts>
  <Company>DCM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ST/SG/AC.10/C.3/2020/49</dc:title>
  <dc:subject/>
  <dc:creator>Christine CHAUTAGNAT</dc:creator>
  <cp:keywords/>
  <cp:lastModifiedBy>Laurence Berthet</cp:lastModifiedBy>
  <cp:revision>3</cp:revision>
  <cp:lastPrinted>2020-10-08T09:42:00Z</cp:lastPrinted>
  <dcterms:created xsi:type="dcterms:W3CDTF">2020-10-08T09:38:00Z</dcterms:created>
  <dcterms:modified xsi:type="dcterms:W3CDTF">2020-10-08T09:42:00Z</dcterms:modified>
</cp:coreProperties>
</file>