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132EA9" w:rsidRPr="00DB58B5" w14:paraId="5753E198" w14:textId="77777777" w:rsidTr="00F01738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15E2BC96" w14:textId="77777777" w:rsidR="00132EA9" w:rsidRPr="00DB58B5" w:rsidRDefault="00132EA9" w:rsidP="009A16C5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36697EC4" w14:textId="77777777" w:rsidR="00132EA9" w:rsidRPr="00DB58B5" w:rsidRDefault="00132EA9" w:rsidP="00F01738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0830E87E" w14:textId="77777777" w:rsidR="00132EA9" w:rsidRPr="00DB58B5" w:rsidRDefault="009A16C5" w:rsidP="009A16C5">
            <w:pPr>
              <w:jc w:val="right"/>
            </w:pPr>
            <w:r w:rsidRPr="009A16C5">
              <w:rPr>
                <w:sz w:val="40"/>
              </w:rPr>
              <w:t>ST</w:t>
            </w:r>
            <w:r>
              <w:t>/SG/AC.10/C.3/2020/46</w:t>
            </w:r>
          </w:p>
        </w:tc>
      </w:tr>
      <w:tr w:rsidR="00132EA9" w:rsidRPr="00DB58B5" w14:paraId="46A54132" w14:textId="77777777" w:rsidTr="00F01738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48026A6C" w14:textId="77777777" w:rsidR="00132EA9" w:rsidRPr="00DB58B5" w:rsidRDefault="00132EA9" w:rsidP="00F01738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2A2A8805" wp14:editId="3CB0E482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FB981C9" w14:textId="77777777" w:rsidR="00132EA9" w:rsidRPr="00740562" w:rsidRDefault="00132EA9" w:rsidP="00F01738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A55C22">
              <w:rPr>
                <w:b/>
                <w:sz w:val="40"/>
                <w:szCs w:val="40"/>
              </w:rPr>
              <w:t>Secrétariat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2AB4B99D" w14:textId="77777777" w:rsidR="00132EA9" w:rsidRDefault="009A16C5" w:rsidP="00F01738">
            <w:pPr>
              <w:spacing w:before="240"/>
            </w:pPr>
            <w:r>
              <w:t>Distr. générale</w:t>
            </w:r>
          </w:p>
          <w:p w14:paraId="72417B59" w14:textId="77777777" w:rsidR="009A16C5" w:rsidRDefault="009A16C5" w:rsidP="009A16C5">
            <w:pPr>
              <w:spacing w:line="240" w:lineRule="exact"/>
            </w:pPr>
            <w:r>
              <w:t>9 avril 2020</w:t>
            </w:r>
          </w:p>
          <w:p w14:paraId="5525F1D4" w14:textId="77777777" w:rsidR="009A16C5" w:rsidRDefault="009A16C5" w:rsidP="009A16C5">
            <w:pPr>
              <w:spacing w:line="240" w:lineRule="exact"/>
            </w:pPr>
            <w:r>
              <w:t>Français</w:t>
            </w:r>
          </w:p>
          <w:p w14:paraId="2BBB2C75" w14:textId="77777777" w:rsidR="009A16C5" w:rsidRPr="00DB58B5" w:rsidRDefault="009A16C5" w:rsidP="009A16C5">
            <w:pPr>
              <w:spacing w:line="240" w:lineRule="exact"/>
            </w:pPr>
            <w:r>
              <w:t>Original</w:t>
            </w:r>
            <w:r w:rsidR="00A424B7">
              <w:t> </w:t>
            </w:r>
            <w:r>
              <w:t>: anglais</w:t>
            </w:r>
          </w:p>
        </w:tc>
      </w:tr>
    </w:tbl>
    <w:p w14:paraId="4CC2F9F3" w14:textId="77777777" w:rsidR="00FE4718" w:rsidRPr="00EC4124" w:rsidRDefault="00FE4718" w:rsidP="00FE4718">
      <w:pPr>
        <w:spacing w:before="120"/>
        <w:rPr>
          <w:b/>
          <w:sz w:val="24"/>
          <w:szCs w:val="24"/>
          <w:lang w:val="fr-FR"/>
        </w:rPr>
      </w:pPr>
      <w:r w:rsidRPr="00EC4124">
        <w:rPr>
          <w:b/>
          <w:sz w:val="24"/>
          <w:szCs w:val="24"/>
          <w:lang w:val="fr-FR"/>
        </w:rPr>
        <w:t>Comité d</w:t>
      </w:r>
      <w:r>
        <w:rPr>
          <w:b/>
          <w:sz w:val="24"/>
          <w:szCs w:val="24"/>
          <w:lang w:val="fr-FR"/>
        </w:rPr>
        <w:t>’</w:t>
      </w:r>
      <w:r w:rsidRPr="00EC4124">
        <w:rPr>
          <w:b/>
          <w:sz w:val="24"/>
          <w:szCs w:val="24"/>
          <w:lang w:val="fr-FR"/>
        </w:rPr>
        <w:t xml:space="preserve">experts du transport des marchandises dangereuses </w:t>
      </w:r>
      <w:r>
        <w:rPr>
          <w:b/>
          <w:sz w:val="24"/>
          <w:szCs w:val="24"/>
          <w:lang w:val="fr-FR"/>
        </w:rPr>
        <w:br/>
      </w:r>
      <w:r w:rsidRPr="00EC4124">
        <w:rPr>
          <w:b/>
          <w:sz w:val="24"/>
          <w:szCs w:val="24"/>
          <w:lang w:val="fr-FR"/>
        </w:rPr>
        <w:t xml:space="preserve">et du Système général harmonisé de classification </w:t>
      </w:r>
      <w:r>
        <w:rPr>
          <w:b/>
          <w:sz w:val="24"/>
          <w:szCs w:val="24"/>
          <w:lang w:val="fr-FR"/>
        </w:rPr>
        <w:br/>
      </w:r>
      <w:r w:rsidRPr="00EC4124">
        <w:rPr>
          <w:b/>
          <w:sz w:val="24"/>
          <w:szCs w:val="24"/>
          <w:lang w:val="fr-FR"/>
        </w:rPr>
        <w:t>et</w:t>
      </w:r>
      <w:r>
        <w:rPr>
          <w:b/>
          <w:sz w:val="24"/>
          <w:szCs w:val="24"/>
          <w:lang w:val="fr-FR"/>
        </w:rPr>
        <w:t xml:space="preserve"> </w:t>
      </w:r>
      <w:r w:rsidRPr="00EC4124">
        <w:rPr>
          <w:b/>
          <w:sz w:val="24"/>
          <w:szCs w:val="24"/>
          <w:lang w:val="fr-FR"/>
        </w:rPr>
        <w:t>d</w:t>
      </w:r>
      <w:r>
        <w:rPr>
          <w:b/>
          <w:sz w:val="24"/>
          <w:szCs w:val="24"/>
          <w:lang w:val="fr-FR"/>
        </w:rPr>
        <w:t>’</w:t>
      </w:r>
      <w:r w:rsidRPr="00EC4124">
        <w:rPr>
          <w:b/>
          <w:sz w:val="24"/>
          <w:szCs w:val="24"/>
          <w:lang w:val="fr-FR"/>
        </w:rPr>
        <w:t>étiquetage des produits chimiques</w:t>
      </w:r>
    </w:p>
    <w:p w14:paraId="6EFBB07F" w14:textId="77777777" w:rsidR="00FE4718" w:rsidRPr="00356549" w:rsidRDefault="00FE4718" w:rsidP="00FE4718">
      <w:pPr>
        <w:spacing w:before="120"/>
        <w:ind w:right="3260"/>
        <w:rPr>
          <w:rFonts w:ascii="Helv" w:hAnsi="Helv" w:cs="Helv"/>
          <w:b/>
          <w:color w:val="000000"/>
          <w:lang w:val="fr-FR"/>
        </w:rPr>
      </w:pPr>
      <w:r w:rsidRPr="00356549">
        <w:rPr>
          <w:b/>
          <w:lang w:val="fr-FR"/>
        </w:rPr>
        <w:t>Sous-Comité d</w:t>
      </w:r>
      <w:r>
        <w:rPr>
          <w:b/>
          <w:lang w:val="fr-FR"/>
        </w:rPr>
        <w:t>’</w:t>
      </w:r>
      <w:r w:rsidRPr="00356549">
        <w:rPr>
          <w:b/>
          <w:lang w:val="fr-FR"/>
        </w:rPr>
        <w:t>experts du transport des</w:t>
      </w:r>
      <w:r w:rsidR="00A424B7">
        <w:rPr>
          <w:b/>
          <w:lang w:val="fr-FR"/>
        </w:rPr>
        <w:t xml:space="preserve"> </w:t>
      </w:r>
      <w:r w:rsidRPr="00356549">
        <w:rPr>
          <w:b/>
          <w:lang w:val="fr-FR"/>
        </w:rPr>
        <w:t>marchandises dangereuses</w:t>
      </w:r>
    </w:p>
    <w:p w14:paraId="48AEF471" w14:textId="77777777" w:rsidR="00FE4718" w:rsidRPr="00EC4124" w:rsidRDefault="00FE4718" w:rsidP="00FE4718">
      <w:pPr>
        <w:spacing w:before="120"/>
        <w:ind w:right="3260"/>
        <w:rPr>
          <w:b/>
          <w:lang w:val="fr-FR"/>
        </w:rPr>
      </w:pPr>
      <w:r w:rsidRPr="00EC4124">
        <w:rPr>
          <w:b/>
          <w:lang w:val="fr-FR"/>
        </w:rPr>
        <w:t>Cinquante-septième session</w:t>
      </w:r>
    </w:p>
    <w:p w14:paraId="7AE47A13" w14:textId="77777777" w:rsidR="00FE4718" w:rsidRDefault="00FE4718" w:rsidP="00FE4718">
      <w:pPr>
        <w:ind w:right="3260"/>
        <w:rPr>
          <w:lang w:val="fr-FR"/>
        </w:rPr>
      </w:pPr>
      <w:r w:rsidRPr="00EC4124">
        <w:rPr>
          <w:lang w:val="fr-FR"/>
        </w:rPr>
        <w:t>Genève, 29 juin-8 juillet 2020</w:t>
      </w:r>
    </w:p>
    <w:p w14:paraId="2A2C21BE" w14:textId="77777777" w:rsidR="00FE4718" w:rsidRPr="00EC4124" w:rsidRDefault="00FE4718" w:rsidP="00FE4718">
      <w:pPr>
        <w:ind w:right="3260"/>
        <w:rPr>
          <w:lang w:val="fr-FR"/>
        </w:rPr>
      </w:pPr>
      <w:r>
        <w:rPr>
          <w:lang w:val="fr-FR"/>
        </w:rPr>
        <w:t>Point</w:t>
      </w:r>
      <w:r w:rsidRPr="00EC4124">
        <w:rPr>
          <w:lang w:val="fr-FR"/>
        </w:rPr>
        <w:t xml:space="preserve"> 4 c) de l</w:t>
      </w:r>
      <w:r>
        <w:rPr>
          <w:lang w:val="fr-FR"/>
        </w:rPr>
        <w:t>’</w:t>
      </w:r>
      <w:r w:rsidRPr="00EC4124">
        <w:rPr>
          <w:lang w:val="fr-FR"/>
        </w:rPr>
        <w:t>ordre du jour provisoire</w:t>
      </w:r>
    </w:p>
    <w:p w14:paraId="7A172CCB" w14:textId="77777777" w:rsidR="00FE4718" w:rsidRPr="00EC4124" w:rsidRDefault="00FE4718" w:rsidP="00FE4718">
      <w:pPr>
        <w:ind w:right="3260"/>
        <w:rPr>
          <w:b/>
          <w:bCs/>
          <w:lang w:val="fr-FR"/>
        </w:rPr>
      </w:pPr>
      <w:r w:rsidRPr="00EC4124">
        <w:rPr>
          <w:b/>
          <w:bCs/>
          <w:lang w:val="fr-FR"/>
        </w:rPr>
        <w:t>Systèmes de stockage de l</w:t>
      </w:r>
      <w:r>
        <w:rPr>
          <w:b/>
          <w:bCs/>
          <w:lang w:val="fr-FR"/>
        </w:rPr>
        <w:t>’</w:t>
      </w:r>
      <w:r w:rsidRPr="00EC4124">
        <w:rPr>
          <w:b/>
          <w:bCs/>
          <w:lang w:val="fr-FR"/>
        </w:rPr>
        <w:t>électricité</w:t>
      </w:r>
      <w:r>
        <w:rPr>
          <w:b/>
          <w:bCs/>
          <w:lang w:val="fr-FR"/>
        </w:rPr>
        <w:t> :</w:t>
      </w:r>
      <w:r w:rsidRPr="00EC4124">
        <w:rPr>
          <w:b/>
          <w:bCs/>
          <w:lang w:val="fr-FR"/>
        </w:rPr>
        <w:t xml:space="preserve"> </w:t>
      </w:r>
      <w:r>
        <w:rPr>
          <w:b/>
          <w:bCs/>
          <w:lang w:val="fr-FR"/>
        </w:rPr>
        <w:br/>
      </w:r>
      <w:r w:rsidRPr="00EC4124">
        <w:rPr>
          <w:b/>
          <w:bCs/>
          <w:lang w:val="fr-FR"/>
        </w:rPr>
        <w:t>dispositions relatives au</w:t>
      </w:r>
      <w:r>
        <w:rPr>
          <w:b/>
          <w:bCs/>
          <w:lang w:val="fr-FR"/>
        </w:rPr>
        <w:t xml:space="preserve"> </w:t>
      </w:r>
      <w:r w:rsidRPr="00EC4124">
        <w:rPr>
          <w:b/>
          <w:bCs/>
          <w:lang w:val="fr-FR"/>
        </w:rPr>
        <w:t>transport</w:t>
      </w:r>
    </w:p>
    <w:p w14:paraId="661E5F7B" w14:textId="77777777" w:rsidR="00FE4718" w:rsidRPr="00EC4124" w:rsidRDefault="00FE4718" w:rsidP="00FE4718">
      <w:pPr>
        <w:pStyle w:val="HChG"/>
        <w:rPr>
          <w:lang w:val="fr-FR"/>
        </w:rPr>
      </w:pPr>
      <w:r w:rsidRPr="00EC4124">
        <w:rPr>
          <w:lang w:val="fr-FR"/>
        </w:rPr>
        <w:tab/>
      </w:r>
      <w:r w:rsidRPr="00EC4124">
        <w:rPr>
          <w:lang w:val="fr-FR"/>
        </w:rPr>
        <w:tab/>
        <w:t>Utilisation d</w:t>
      </w:r>
      <w:r>
        <w:rPr>
          <w:lang w:val="fr-FR"/>
        </w:rPr>
        <w:t>’</w:t>
      </w:r>
      <w:r w:rsidRPr="00EC4124">
        <w:rPr>
          <w:lang w:val="fr-FR"/>
        </w:rPr>
        <w:t>emballages non soumis à la prescription du</w:t>
      </w:r>
      <w:r>
        <w:rPr>
          <w:lang w:val="fr-FR"/>
        </w:rPr>
        <w:t> </w:t>
      </w:r>
      <w:r w:rsidRPr="00EC4124">
        <w:rPr>
          <w:lang w:val="fr-FR"/>
        </w:rPr>
        <w:t>point 4.1.1.3 et d</w:t>
      </w:r>
      <w:r>
        <w:rPr>
          <w:lang w:val="fr-FR"/>
        </w:rPr>
        <w:t>’</w:t>
      </w:r>
      <w:r w:rsidRPr="00EC4124">
        <w:rPr>
          <w:lang w:val="fr-FR"/>
        </w:rPr>
        <w:t>une masse nette supérieure à</w:t>
      </w:r>
      <w:r>
        <w:rPr>
          <w:lang w:val="fr-FR"/>
        </w:rPr>
        <w:t> </w:t>
      </w:r>
      <w:r w:rsidRPr="00EC4124">
        <w:rPr>
          <w:lang w:val="fr-FR"/>
        </w:rPr>
        <w:t>400</w:t>
      </w:r>
      <w:r>
        <w:rPr>
          <w:lang w:val="fr-FR"/>
        </w:rPr>
        <w:t> kg</w:t>
      </w:r>
      <w:r w:rsidR="00A424B7">
        <w:rPr>
          <w:lang w:val="fr-FR"/>
        </w:rPr>
        <w:t xml:space="preserve"> </w:t>
      </w:r>
      <w:r w:rsidRPr="00EC4124">
        <w:rPr>
          <w:lang w:val="fr-FR"/>
        </w:rPr>
        <w:t xml:space="preserve">pour le transport de </w:t>
      </w:r>
      <w:r>
        <w:rPr>
          <w:lang w:val="fr-FR"/>
        </w:rPr>
        <w:t>batteries</w:t>
      </w:r>
      <w:r w:rsidRPr="00EC4124">
        <w:rPr>
          <w:lang w:val="fr-FR"/>
        </w:rPr>
        <w:t xml:space="preserve"> au lithium</w:t>
      </w:r>
    </w:p>
    <w:p w14:paraId="3641D5B7" w14:textId="77777777" w:rsidR="00FE4718" w:rsidRPr="00EC4124" w:rsidRDefault="00FE4718" w:rsidP="00FE4718">
      <w:pPr>
        <w:pStyle w:val="H1G"/>
        <w:rPr>
          <w:lang w:val="fr-FR"/>
        </w:rPr>
      </w:pPr>
      <w:r w:rsidRPr="00EC4124">
        <w:rPr>
          <w:lang w:val="fr-FR"/>
        </w:rPr>
        <w:tab/>
      </w:r>
      <w:r w:rsidRPr="00EC4124">
        <w:rPr>
          <w:lang w:val="fr-FR"/>
        </w:rPr>
        <w:tab/>
      </w:r>
      <w:r>
        <w:rPr>
          <w:lang w:val="fr-FR"/>
        </w:rPr>
        <w:t xml:space="preserve">Communication de la </w:t>
      </w:r>
      <w:r w:rsidRPr="00982320">
        <w:rPr>
          <w:lang w:val="fr-FR"/>
        </w:rPr>
        <w:t>Rechargeable Battery Association</w:t>
      </w:r>
      <w:r>
        <w:rPr>
          <w:lang w:val="fr-FR"/>
        </w:rPr>
        <w:t xml:space="preserve"> (PRBA)</w:t>
      </w:r>
      <w:r w:rsidRPr="00982320">
        <w:rPr>
          <w:lang w:val="fr-FR"/>
        </w:rPr>
        <w:t xml:space="preserve"> </w:t>
      </w:r>
      <w:r>
        <w:rPr>
          <w:lang w:val="fr-FR"/>
        </w:rPr>
        <w:t>et de l’</w:t>
      </w:r>
      <w:r w:rsidRPr="00982320">
        <w:rPr>
          <w:lang w:val="fr-FR"/>
        </w:rPr>
        <w:t xml:space="preserve">Advanced Rechargeable </w:t>
      </w:r>
      <w:r>
        <w:rPr>
          <w:lang w:val="fr-FR"/>
        </w:rPr>
        <w:t>and</w:t>
      </w:r>
      <w:r w:rsidRPr="00982320">
        <w:rPr>
          <w:lang w:val="fr-FR"/>
        </w:rPr>
        <w:t xml:space="preserve"> Lithium Batteries Association (RECHARGE)</w:t>
      </w:r>
      <w:r w:rsidRPr="00FE4718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14:paraId="16B093C4" w14:textId="77777777" w:rsidR="00FE4718" w:rsidRPr="00EC4124" w:rsidRDefault="00FE4718" w:rsidP="00FE4718">
      <w:pPr>
        <w:pStyle w:val="HChG"/>
        <w:rPr>
          <w:lang w:val="fr-FR"/>
        </w:rPr>
      </w:pPr>
      <w:r w:rsidRPr="00EC4124">
        <w:rPr>
          <w:lang w:val="fr-FR"/>
        </w:rPr>
        <w:tab/>
      </w:r>
      <w:r w:rsidRPr="00EC4124">
        <w:rPr>
          <w:lang w:val="fr-FR"/>
        </w:rPr>
        <w:tab/>
        <w:t>Introduction</w:t>
      </w:r>
    </w:p>
    <w:p w14:paraId="0F218838" w14:textId="77777777" w:rsidR="00FE4718" w:rsidRPr="00EC4124" w:rsidRDefault="00FE4718" w:rsidP="00FE4718">
      <w:pPr>
        <w:pStyle w:val="SingleTxtG"/>
        <w:rPr>
          <w:lang w:val="fr-FR"/>
        </w:rPr>
      </w:pPr>
      <w:r>
        <w:rPr>
          <w:lang w:val="fr-FR"/>
        </w:rPr>
        <w:t>1.</w:t>
      </w:r>
      <w:r w:rsidRPr="00EC4124">
        <w:rPr>
          <w:lang w:val="fr-FR"/>
        </w:rPr>
        <w:tab/>
      </w:r>
      <w:r>
        <w:rPr>
          <w:lang w:val="fr-FR"/>
        </w:rPr>
        <w:t xml:space="preserve">Il est donné suite dans le </w:t>
      </w:r>
      <w:r w:rsidRPr="00EC4124">
        <w:rPr>
          <w:lang w:val="fr-FR"/>
        </w:rPr>
        <w:t xml:space="preserve">présent document </w:t>
      </w:r>
      <w:r>
        <w:rPr>
          <w:lang w:val="fr-FR"/>
        </w:rPr>
        <w:t xml:space="preserve">aux </w:t>
      </w:r>
      <w:r w:rsidRPr="00EC4124">
        <w:rPr>
          <w:lang w:val="fr-FR"/>
        </w:rPr>
        <w:t>observations reçues en ré</w:t>
      </w:r>
      <w:r>
        <w:rPr>
          <w:lang w:val="fr-FR"/>
        </w:rPr>
        <w:t>action</w:t>
      </w:r>
      <w:r w:rsidRPr="00EC4124">
        <w:rPr>
          <w:lang w:val="fr-FR"/>
        </w:rPr>
        <w:t xml:space="preserve"> au document ST/SG/AC.10/C.3/2019/34 et au document informel INF.17 (</w:t>
      </w:r>
      <w:r w:rsidRPr="00694B2B">
        <w:rPr>
          <w:lang w:val="fr-FR"/>
        </w:rPr>
        <w:t xml:space="preserve">cinquante-sixième </w:t>
      </w:r>
      <w:r w:rsidRPr="00EC4124">
        <w:rPr>
          <w:lang w:val="fr-FR"/>
        </w:rPr>
        <w:t>session) sur la question de l</w:t>
      </w:r>
      <w:r>
        <w:rPr>
          <w:lang w:val="fr-FR"/>
        </w:rPr>
        <w:t>’</w:t>
      </w:r>
      <w:r w:rsidRPr="00EC4124">
        <w:rPr>
          <w:lang w:val="fr-FR"/>
        </w:rPr>
        <w:t>instruction d</w:t>
      </w:r>
      <w:r>
        <w:rPr>
          <w:lang w:val="fr-FR"/>
        </w:rPr>
        <w:t>’</w:t>
      </w:r>
      <w:r w:rsidRPr="00EC4124">
        <w:rPr>
          <w:lang w:val="fr-FR"/>
        </w:rPr>
        <w:t>emballage P903 et de l</w:t>
      </w:r>
      <w:r>
        <w:rPr>
          <w:lang w:val="fr-FR"/>
        </w:rPr>
        <w:t>’</w:t>
      </w:r>
      <w:r w:rsidRPr="00EC4124">
        <w:rPr>
          <w:lang w:val="fr-FR"/>
        </w:rPr>
        <w:t>utilisation d</w:t>
      </w:r>
      <w:r>
        <w:rPr>
          <w:lang w:val="fr-FR"/>
        </w:rPr>
        <w:t>’</w:t>
      </w:r>
      <w:r w:rsidRPr="00EC4124">
        <w:rPr>
          <w:lang w:val="fr-FR"/>
        </w:rPr>
        <w:t>emballages d</w:t>
      </w:r>
      <w:r>
        <w:rPr>
          <w:lang w:val="fr-FR"/>
        </w:rPr>
        <w:t>’</w:t>
      </w:r>
      <w:r w:rsidRPr="00EC4124">
        <w:rPr>
          <w:lang w:val="fr-FR"/>
        </w:rPr>
        <w:t>une masse nette supérieure à 400</w:t>
      </w:r>
      <w:r>
        <w:rPr>
          <w:lang w:val="fr-FR"/>
        </w:rPr>
        <w:t> kg</w:t>
      </w:r>
      <w:r w:rsidRPr="00EC4124">
        <w:rPr>
          <w:lang w:val="fr-FR"/>
        </w:rPr>
        <w:t>.</w:t>
      </w:r>
    </w:p>
    <w:p w14:paraId="147380CC" w14:textId="77777777" w:rsidR="00FE4718" w:rsidRPr="00EC4124" w:rsidRDefault="00FE4718" w:rsidP="00FE4718">
      <w:pPr>
        <w:pStyle w:val="SingleTxtG"/>
        <w:rPr>
          <w:lang w:val="fr-FR"/>
        </w:rPr>
      </w:pPr>
      <w:r w:rsidRPr="00EC4124">
        <w:rPr>
          <w:lang w:val="fr-FR"/>
        </w:rPr>
        <w:t>2</w:t>
      </w:r>
      <w:r>
        <w:rPr>
          <w:lang w:val="fr-FR"/>
        </w:rPr>
        <w:t>.</w:t>
      </w:r>
      <w:r w:rsidRPr="00EC4124">
        <w:rPr>
          <w:lang w:val="fr-FR"/>
        </w:rPr>
        <w:tab/>
      </w:r>
      <w:r>
        <w:rPr>
          <w:lang w:val="fr-FR"/>
        </w:rPr>
        <w:t>Ainsi que</w:t>
      </w:r>
      <w:r w:rsidRPr="00EC4124">
        <w:rPr>
          <w:lang w:val="fr-FR"/>
        </w:rPr>
        <w:t xml:space="preserve"> la PRBA l</w:t>
      </w:r>
      <w:r>
        <w:rPr>
          <w:lang w:val="fr-FR"/>
        </w:rPr>
        <w:t>’</w:t>
      </w:r>
      <w:r w:rsidRPr="00EC4124">
        <w:rPr>
          <w:lang w:val="fr-FR"/>
        </w:rPr>
        <w:t>a expliqué lors des cinquante-cinquième et cinquante-sixième sessions, certaines autorités compétentes, transitaires, exploitants de navires et autres entités de la chaîne logistique ne semblent pas comprendre pleinement que si la masse nette d</w:t>
      </w:r>
      <w:r>
        <w:rPr>
          <w:lang w:val="fr-FR"/>
        </w:rPr>
        <w:t>’</w:t>
      </w:r>
      <w:r w:rsidRPr="00EC4124">
        <w:rPr>
          <w:lang w:val="fr-FR"/>
        </w:rPr>
        <w:t>un emballage tel qu</w:t>
      </w:r>
      <w:r>
        <w:rPr>
          <w:lang w:val="fr-FR"/>
        </w:rPr>
        <w:t>’</w:t>
      </w:r>
      <w:r w:rsidRPr="00EC4124">
        <w:rPr>
          <w:lang w:val="fr-FR"/>
        </w:rPr>
        <w:t>autorisé par l</w:t>
      </w:r>
      <w:r>
        <w:rPr>
          <w:lang w:val="fr-FR"/>
        </w:rPr>
        <w:t>’</w:t>
      </w:r>
      <w:r w:rsidRPr="00EC4124">
        <w:rPr>
          <w:lang w:val="fr-FR"/>
        </w:rPr>
        <w:t>instruction P903</w:t>
      </w:r>
      <w:r>
        <w:rPr>
          <w:lang w:val="fr-FR"/>
        </w:rPr>
        <w:t> </w:t>
      </w:r>
      <w:r w:rsidRPr="00EC4124">
        <w:rPr>
          <w:lang w:val="fr-FR"/>
        </w:rPr>
        <w:t>2) ou</w:t>
      </w:r>
      <w:r>
        <w:rPr>
          <w:lang w:val="fr-FR"/>
        </w:rPr>
        <w:t xml:space="preserve"> </w:t>
      </w:r>
      <w:r w:rsidRPr="00EC4124">
        <w:rPr>
          <w:lang w:val="fr-FR"/>
        </w:rPr>
        <w:t xml:space="preserve">4) dépasse la limite de masse généralement prescrite au chapitre 6.1, les </w:t>
      </w:r>
      <w:r>
        <w:rPr>
          <w:lang w:val="fr-FR"/>
        </w:rPr>
        <w:t>batteries</w:t>
      </w:r>
      <w:r w:rsidRPr="00EC4124">
        <w:rPr>
          <w:lang w:val="fr-FR"/>
        </w:rPr>
        <w:t xml:space="preserve"> ou les </w:t>
      </w:r>
      <w:r>
        <w:rPr>
          <w:lang w:val="fr-FR"/>
        </w:rPr>
        <w:t>dispositifs</w:t>
      </w:r>
      <w:r w:rsidRPr="00EC4124">
        <w:rPr>
          <w:lang w:val="fr-FR"/>
        </w:rPr>
        <w:t xml:space="preserve"> </w:t>
      </w:r>
      <w:r w:rsidRPr="00A424B7">
        <w:rPr>
          <w:u w:val="single"/>
          <w:lang w:val="fr-FR"/>
        </w:rPr>
        <w:t>n’</w:t>
      </w:r>
      <w:r w:rsidRPr="00EC4124">
        <w:rPr>
          <w:lang w:val="fr-FR"/>
        </w:rPr>
        <w:t xml:space="preserve">ont </w:t>
      </w:r>
      <w:r w:rsidRPr="00EC4124">
        <w:rPr>
          <w:u w:val="single"/>
          <w:lang w:val="fr-FR"/>
        </w:rPr>
        <w:t>pas</w:t>
      </w:r>
      <w:r w:rsidRPr="00EC4124">
        <w:rPr>
          <w:lang w:val="fr-FR"/>
        </w:rPr>
        <w:t xml:space="preserve"> besoin d</w:t>
      </w:r>
      <w:r>
        <w:rPr>
          <w:lang w:val="fr-FR"/>
        </w:rPr>
        <w:t>’</w:t>
      </w:r>
      <w:r w:rsidRPr="00EC4124">
        <w:rPr>
          <w:lang w:val="fr-FR"/>
        </w:rPr>
        <w:t>être emballés dans de grands emballages conformément à l</w:t>
      </w:r>
      <w:r>
        <w:rPr>
          <w:lang w:val="fr-FR"/>
        </w:rPr>
        <w:t>’</w:t>
      </w:r>
      <w:r w:rsidRPr="00EC4124">
        <w:rPr>
          <w:lang w:val="fr-FR"/>
        </w:rPr>
        <w:t>instruction LP903.</w:t>
      </w:r>
    </w:p>
    <w:p w14:paraId="2E20CB48" w14:textId="77777777" w:rsidR="00FE4718" w:rsidRPr="00EC4124" w:rsidRDefault="00FE4718" w:rsidP="00FE4718">
      <w:pPr>
        <w:pStyle w:val="SingleTxtG"/>
        <w:rPr>
          <w:lang w:val="fr-FR"/>
        </w:rPr>
      </w:pPr>
      <w:r>
        <w:rPr>
          <w:lang w:val="fr-FR"/>
        </w:rPr>
        <w:t>3.</w:t>
      </w:r>
      <w:r>
        <w:rPr>
          <w:lang w:val="fr-FR"/>
        </w:rPr>
        <w:tab/>
      </w:r>
      <w:r w:rsidRPr="00EC4124">
        <w:rPr>
          <w:lang w:val="fr-FR"/>
        </w:rPr>
        <w:t xml:space="preserve">Dans </w:t>
      </w:r>
      <w:r>
        <w:rPr>
          <w:lang w:val="fr-FR"/>
        </w:rPr>
        <w:t>le présent</w:t>
      </w:r>
      <w:r w:rsidRPr="00EC4124">
        <w:rPr>
          <w:lang w:val="fr-FR"/>
        </w:rPr>
        <w:t xml:space="preserve"> document, la PRBA propose des amendements au Règlement type </w:t>
      </w:r>
      <w:r>
        <w:rPr>
          <w:lang w:val="fr-FR"/>
        </w:rPr>
        <w:t>afin de</w:t>
      </w:r>
      <w:r w:rsidRPr="00EC4124">
        <w:rPr>
          <w:lang w:val="fr-FR"/>
        </w:rPr>
        <w:t xml:space="preserve"> mieux </w:t>
      </w:r>
      <w:r>
        <w:rPr>
          <w:lang w:val="fr-FR"/>
        </w:rPr>
        <w:t>préciser</w:t>
      </w:r>
      <w:r w:rsidRPr="00EC4124">
        <w:rPr>
          <w:lang w:val="fr-FR"/>
        </w:rPr>
        <w:t xml:space="preserve"> ce point par l</w:t>
      </w:r>
      <w:r>
        <w:rPr>
          <w:lang w:val="fr-FR"/>
        </w:rPr>
        <w:t>’</w:t>
      </w:r>
      <w:r w:rsidRPr="00EC4124">
        <w:rPr>
          <w:lang w:val="fr-FR"/>
        </w:rPr>
        <w:t>ajout d</w:t>
      </w:r>
      <w:r>
        <w:rPr>
          <w:lang w:val="fr-FR"/>
        </w:rPr>
        <w:t>’</w:t>
      </w:r>
      <w:r w:rsidRPr="00EC4124">
        <w:rPr>
          <w:lang w:val="fr-FR"/>
        </w:rPr>
        <w:t>un not</w:t>
      </w:r>
      <w:r>
        <w:rPr>
          <w:lang w:val="fr-FR"/>
        </w:rPr>
        <w:t>a</w:t>
      </w:r>
      <w:r w:rsidRPr="00EC4124">
        <w:rPr>
          <w:lang w:val="fr-FR"/>
        </w:rPr>
        <w:t xml:space="preserve"> indiquant que les emballages visés par </w:t>
      </w:r>
      <w:r>
        <w:rPr>
          <w:lang w:val="fr-FR"/>
        </w:rPr>
        <w:t>les alinéas</w:t>
      </w:r>
      <w:r w:rsidR="00486855">
        <w:rPr>
          <w:lang w:val="fr-FR"/>
        </w:rPr>
        <w:t xml:space="preserve"> </w:t>
      </w:r>
      <w:r w:rsidRPr="00EC4124">
        <w:rPr>
          <w:lang w:val="fr-FR"/>
        </w:rPr>
        <w:t>2) et</w:t>
      </w:r>
      <w:r w:rsidR="00486855">
        <w:rPr>
          <w:lang w:val="fr-FR"/>
        </w:rPr>
        <w:t xml:space="preserve"> </w:t>
      </w:r>
      <w:r w:rsidRPr="00EC4124">
        <w:rPr>
          <w:lang w:val="fr-FR"/>
        </w:rPr>
        <w:t>4)</w:t>
      </w:r>
      <w:r>
        <w:rPr>
          <w:lang w:val="fr-FR"/>
        </w:rPr>
        <w:t xml:space="preserve"> de </w:t>
      </w:r>
      <w:r w:rsidRPr="00EC4124">
        <w:rPr>
          <w:lang w:val="fr-FR"/>
        </w:rPr>
        <w:t>l</w:t>
      </w:r>
      <w:r>
        <w:rPr>
          <w:lang w:val="fr-FR"/>
        </w:rPr>
        <w:t>’</w:t>
      </w:r>
      <w:r w:rsidRPr="00EC4124">
        <w:rPr>
          <w:lang w:val="fr-FR"/>
        </w:rPr>
        <w:t>instruction d</w:t>
      </w:r>
      <w:r>
        <w:rPr>
          <w:lang w:val="fr-FR"/>
        </w:rPr>
        <w:t>’</w:t>
      </w:r>
      <w:r w:rsidRPr="00EC4124">
        <w:rPr>
          <w:lang w:val="fr-FR"/>
        </w:rPr>
        <w:t>emballage P903 peuvent dépasser 400</w:t>
      </w:r>
      <w:r>
        <w:rPr>
          <w:lang w:val="fr-FR"/>
        </w:rPr>
        <w:t> kg</w:t>
      </w:r>
      <w:r w:rsidRPr="00EC4124">
        <w:rPr>
          <w:lang w:val="fr-FR"/>
        </w:rPr>
        <w:t xml:space="preserve"> de masse nette et prévoit</w:t>
      </w:r>
      <w:r>
        <w:rPr>
          <w:lang w:val="fr-FR"/>
        </w:rPr>
        <w:t xml:space="preserve"> d’apporter</w:t>
      </w:r>
      <w:r w:rsidRPr="00EC4124">
        <w:rPr>
          <w:lang w:val="fr-FR"/>
        </w:rPr>
        <w:t xml:space="preserve"> des modifications </w:t>
      </w:r>
      <w:r>
        <w:rPr>
          <w:lang w:val="fr-FR"/>
        </w:rPr>
        <w:t xml:space="preserve">à </w:t>
      </w:r>
      <w:r w:rsidRPr="00EC4124">
        <w:rPr>
          <w:lang w:val="fr-FR"/>
        </w:rPr>
        <w:t>d</w:t>
      </w:r>
      <w:r>
        <w:rPr>
          <w:lang w:val="fr-FR"/>
        </w:rPr>
        <w:t>’</w:t>
      </w:r>
      <w:r w:rsidRPr="00EC4124">
        <w:rPr>
          <w:lang w:val="fr-FR"/>
        </w:rPr>
        <w:t>autres instructions d</w:t>
      </w:r>
      <w:r>
        <w:rPr>
          <w:lang w:val="fr-FR"/>
        </w:rPr>
        <w:t>’</w:t>
      </w:r>
      <w:r w:rsidRPr="00EC4124">
        <w:rPr>
          <w:lang w:val="fr-FR"/>
        </w:rPr>
        <w:t xml:space="preserve">emballage </w:t>
      </w:r>
      <w:r>
        <w:rPr>
          <w:lang w:val="fr-FR"/>
        </w:rPr>
        <w:t xml:space="preserve">dont la formulation est </w:t>
      </w:r>
      <w:r w:rsidRPr="00EC4124">
        <w:rPr>
          <w:lang w:val="fr-FR"/>
        </w:rPr>
        <w:t xml:space="preserve">similaire à </w:t>
      </w:r>
      <w:r>
        <w:rPr>
          <w:lang w:val="fr-FR"/>
        </w:rPr>
        <w:t>celle</w:t>
      </w:r>
      <w:r w:rsidRPr="00EC4124">
        <w:rPr>
          <w:lang w:val="fr-FR"/>
        </w:rPr>
        <w:t xml:space="preserve"> de l</w:t>
      </w:r>
      <w:r>
        <w:rPr>
          <w:lang w:val="fr-FR"/>
        </w:rPr>
        <w:t>’</w:t>
      </w:r>
      <w:r w:rsidRPr="00EC4124">
        <w:rPr>
          <w:lang w:val="fr-FR"/>
        </w:rPr>
        <w:t>instruction P903.</w:t>
      </w:r>
    </w:p>
    <w:p w14:paraId="3B235356" w14:textId="77777777" w:rsidR="00FE4718" w:rsidRPr="00EC4124" w:rsidRDefault="00FE4718" w:rsidP="00486855">
      <w:pPr>
        <w:pStyle w:val="SingleTxtG"/>
        <w:keepLines/>
        <w:rPr>
          <w:lang w:val="fr-FR"/>
        </w:rPr>
      </w:pPr>
      <w:bookmarkStart w:id="1" w:name="_Hlk25149299"/>
      <w:r w:rsidRPr="00EC4124">
        <w:rPr>
          <w:lang w:val="fr-FR"/>
        </w:rPr>
        <w:lastRenderedPageBreak/>
        <w:t>4.</w:t>
      </w:r>
      <w:r w:rsidRPr="00EC4124">
        <w:rPr>
          <w:lang w:val="fr-FR"/>
        </w:rPr>
        <w:tab/>
      </w:r>
      <w:r w:rsidRPr="00D81EDC">
        <w:rPr>
          <w:lang w:val="fr-FR"/>
        </w:rPr>
        <w:t>Ainsi qu</w:t>
      </w:r>
      <w:r>
        <w:rPr>
          <w:lang w:val="fr-FR"/>
        </w:rPr>
        <w:t>’il est</w:t>
      </w:r>
      <w:r w:rsidRPr="00D81EDC">
        <w:rPr>
          <w:lang w:val="fr-FR"/>
        </w:rPr>
        <w:t xml:space="preserve"> </w:t>
      </w:r>
      <w:r w:rsidRPr="00EC4124">
        <w:rPr>
          <w:lang w:val="fr-FR"/>
        </w:rPr>
        <w:t>expliqué dans le document ST/SG/AC.10/C.3/2019/34 et le document informel INF.17 (</w:t>
      </w:r>
      <w:r w:rsidRPr="0031491C">
        <w:rPr>
          <w:lang w:val="fr-FR"/>
        </w:rPr>
        <w:t xml:space="preserve">cinquante-sixième </w:t>
      </w:r>
      <w:r w:rsidRPr="00EC4124">
        <w:rPr>
          <w:lang w:val="fr-FR"/>
        </w:rPr>
        <w:t xml:space="preserve">session), les </w:t>
      </w:r>
      <w:r>
        <w:rPr>
          <w:lang w:val="fr-FR"/>
        </w:rPr>
        <w:t>P</w:t>
      </w:r>
      <w:r w:rsidRPr="00EC4124">
        <w:rPr>
          <w:lang w:val="fr-FR"/>
        </w:rPr>
        <w:t xml:space="preserve">rincipes directeurs </w:t>
      </w:r>
      <w:r>
        <w:rPr>
          <w:lang w:val="fr-FR"/>
        </w:rPr>
        <w:t>relatifs à</w:t>
      </w:r>
      <w:r w:rsidRPr="00EC4124">
        <w:rPr>
          <w:lang w:val="fr-FR"/>
        </w:rPr>
        <w:t xml:space="preserve"> la dix</w:t>
      </w:r>
      <w:r w:rsidR="00A424B7">
        <w:rPr>
          <w:lang w:val="fr-FR"/>
        </w:rPr>
        <w:noBreakHyphen/>
      </w:r>
      <w:r w:rsidRPr="00EC4124">
        <w:rPr>
          <w:lang w:val="fr-FR"/>
        </w:rPr>
        <w:t xml:space="preserve">neuvième édition révisée du Règlement type traitent </w:t>
      </w:r>
      <w:r>
        <w:rPr>
          <w:lang w:val="fr-FR"/>
        </w:rPr>
        <w:t>explicit</w:t>
      </w:r>
      <w:r w:rsidRPr="00EC4124">
        <w:rPr>
          <w:lang w:val="fr-FR"/>
        </w:rPr>
        <w:t xml:space="preserve">ement de cette question. </w:t>
      </w:r>
      <w:r w:rsidRPr="004A57BF">
        <w:rPr>
          <w:lang w:val="fr-FR"/>
        </w:rPr>
        <w:t>À la vingtième page de</w:t>
      </w:r>
      <w:r>
        <w:rPr>
          <w:lang w:val="fr-FR"/>
        </w:rPr>
        <w:t>sdits P</w:t>
      </w:r>
      <w:r w:rsidRPr="004A57BF">
        <w:rPr>
          <w:lang w:val="fr-FR"/>
        </w:rPr>
        <w:t>rincipes directeurs, à propos des emballages autorisés en vertu des instructions d</w:t>
      </w:r>
      <w:r>
        <w:rPr>
          <w:lang w:val="fr-FR"/>
        </w:rPr>
        <w:t>’</w:t>
      </w:r>
      <w:r w:rsidRPr="004A57BF">
        <w:rPr>
          <w:lang w:val="fr-FR"/>
        </w:rPr>
        <w:t>emballage «</w:t>
      </w:r>
      <w:r>
        <w:rPr>
          <w:lang w:val="fr-FR"/>
        </w:rPr>
        <w:t> </w:t>
      </w:r>
      <w:r w:rsidRPr="004A57BF">
        <w:rPr>
          <w:lang w:val="fr-FR"/>
        </w:rPr>
        <w:t>P</w:t>
      </w:r>
      <w:r>
        <w:rPr>
          <w:lang w:val="fr-FR"/>
        </w:rPr>
        <w:t> </w:t>
      </w:r>
      <w:r w:rsidRPr="004A57BF">
        <w:rPr>
          <w:lang w:val="fr-FR"/>
        </w:rPr>
        <w:t xml:space="preserve">», il est précisé que lesdites instructions portent sur </w:t>
      </w:r>
      <w:r>
        <w:rPr>
          <w:lang w:val="fr-FR"/>
        </w:rPr>
        <w:t>« les e</w:t>
      </w:r>
      <w:r w:rsidRPr="00EC4124">
        <w:rPr>
          <w:lang w:val="fr-FR"/>
        </w:rPr>
        <w:t xml:space="preserve">mballages conformes </w:t>
      </w:r>
      <w:r w:rsidRPr="004A57BF">
        <w:rPr>
          <w:lang w:val="fr-FR"/>
        </w:rPr>
        <w:t>aux prescriptions du</w:t>
      </w:r>
      <w:r>
        <w:rPr>
          <w:lang w:val="fr-FR"/>
        </w:rPr>
        <w:t xml:space="preserve"> </w:t>
      </w:r>
      <w:r w:rsidRPr="00EC4124">
        <w:rPr>
          <w:lang w:val="fr-FR"/>
        </w:rPr>
        <w:t>chapitre 6.1 (jusqu</w:t>
      </w:r>
      <w:r>
        <w:rPr>
          <w:lang w:val="fr-FR"/>
        </w:rPr>
        <w:t>’</w:t>
      </w:r>
      <w:r w:rsidRPr="00EC4124">
        <w:rPr>
          <w:lang w:val="fr-FR"/>
        </w:rPr>
        <w:t>à 450</w:t>
      </w:r>
      <w:r w:rsidRPr="008A693D">
        <w:rPr>
          <w:lang w:val="fr-FR"/>
        </w:rPr>
        <w:t> l</w:t>
      </w:r>
      <w:r w:rsidRPr="00EC4124">
        <w:rPr>
          <w:lang w:val="fr-FR"/>
        </w:rPr>
        <w:t xml:space="preserve"> ou 400</w:t>
      </w:r>
      <w:r>
        <w:rPr>
          <w:lang w:val="fr-FR"/>
        </w:rPr>
        <w:t> kg</w:t>
      </w:r>
      <w:r w:rsidRPr="00EC4124">
        <w:rPr>
          <w:lang w:val="fr-FR"/>
        </w:rPr>
        <w:t xml:space="preserve"> </w:t>
      </w:r>
      <w:r>
        <w:rPr>
          <w:lang w:val="fr-FR"/>
        </w:rPr>
        <w:t xml:space="preserve">de masse </w:t>
      </w:r>
      <w:r w:rsidRPr="00EC4124">
        <w:rPr>
          <w:lang w:val="fr-FR"/>
        </w:rPr>
        <w:t>net</w:t>
      </w:r>
      <w:r>
        <w:rPr>
          <w:lang w:val="fr-FR"/>
        </w:rPr>
        <w:t>te</w:t>
      </w:r>
      <w:r w:rsidRPr="00EC4124">
        <w:rPr>
          <w:lang w:val="fr-FR"/>
        </w:rPr>
        <w:t>, selon le cas)</w:t>
      </w:r>
      <w:r>
        <w:rPr>
          <w:lang w:val="fr-FR"/>
        </w:rPr>
        <w:t> »</w:t>
      </w:r>
      <w:r w:rsidRPr="00EC4124">
        <w:rPr>
          <w:lang w:val="fr-FR"/>
        </w:rPr>
        <w:t xml:space="preserve"> ainsi que </w:t>
      </w:r>
      <w:r>
        <w:rPr>
          <w:lang w:val="fr-FR"/>
        </w:rPr>
        <w:t>sur « les e</w:t>
      </w:r>
      <w:r w:rsidRPr="00EC4124">
        <w:rPr>
          <w:lang w:val="fr-FR"/>
        </w:rPr>
        <w:t>mballages ou méthodes d</w:t>
      </w:r>
      <w:r>
        <w:rPr>
          <w:lang w:val="fr-FR"/>
        </w:rPr>
        <w:t>’</w:t>
      </w:r>
      <w:r w:rsidRPr="00EC4124">
        <w:rPr>
          <w:lang w:val="fr-FR"/>
        </w:rPr>
        <w:t xml:space="preserve">emballage </w:t>
      </w:r>
      <w:r>
        <w:rPr>
          <w:lang w:val="fr-FR"/>
        </w:rPr>
        <w:t>qui ne sont pas</w:t>
      </w:r>
      <w:r w:rsidRPr="00EC4124">
        <w:rPr>
          <w:lang w:val="fr-FR"/>
        </w:rPr>
        <w:t xml:space="preserve"> soumis aux dispositions des chapitres 6.1, 6.2, 6.3, 6.5 ou 6.6</w:t>
      </w:r>
      <w:r>
        <w:rPr>
          <w:lang w:val="fr-FR"/>
        </w:rPr>
        <w:t> »</w:t>
      </w:r>
      <w:r w:rsidRPr="00EC4124">
        <w:rPr>
          <w:lang w:val="fr-FR"/>
        </w:rPr>
        <w:t xml:space="preserve">. Ainsi, </w:t>
      </w:r>
      <w:r w:rsidRPr="00694B2B">
        <w:rPr>
          <w:lang w:val="fr-FR"/>
        </w:rPr>
        <w:t>les emballages qui ne sont pas soumis au 4.1.1.3 lorsqu</w:t>
      </w:r>
      <w:r>
        <w:rPr>
          <w:lang w:val="fr-FR"/>
        </w:rPr>
        <w:t>’</w:t>
      </w:r>
      <w:r w:rsidRPr="00694B2B">
        <w:rPr>
          <w:lang w:val="fr-FR"/>
        </w:rPr>
        <w:t>ils sont autorisés en vertu d</w:t>
      </w:r>
      <w:r>
        <w:rPr>
          <w:lang w:val="fr-FR"/>
        </w:rPr>
        <w:t>’</w:t>
      </w:r>
      <w:r w:rsidRPr="00694B2B">
        <w:rPr>
          <w:lang w:val="fr-FR"/>
        </w:rPr>
        <w:t>une instruction d</w:t>
      </w:r>
      <w:r>
        <w:rPr>
          <w:lang w:val="fr-FR"/>
        </w:rPr>
        <w:t>’</w:t>
      </w:r>
      <w:r w:rsidRPr="00694B2B">
        <w:rPr>
          <w:lang w:val="fr-FR"/>
        </w:rPr>
        <w:t>emballage P (par exemple P903) ne sont pas soumis à la limite des 450</w:t>
      </w:r>
      <w:r>
        <w:rPr>
          <w:lang w:val="fr-FR"/>
        </w:rPr>
        <w:t> </w:t>
      </w:r>
      <w:r w:rsidRPr="00694B2B">
        <w:rPr>
          <w:lang w:val="fr-FR"/>
        </w:rPr>
        <w:t>l</w:t>
      </w:r>
      <w:r>
        <w:rPr>
          <w:lang w:val="fr-FR"/>
        </w:rPr>
        <w:t xml:space="preserve"> ou </w:t>
      </w:r>
      <w:r w:rsidRPr="00694B2B">
        <w:rPr>
          <w:lang w:val="fr-FR"/>
        </w:rPr>
        <w:t>400</w:t>
      </w:r>
      <w:r>
        <w:rPr>
          <w:lang w:val="fr-FR"/>
        </w:rPr>
        <w:t> </w:t>
      </w:r>
      <w:r w:rsidRPr="00694B2B">
        <w:rPr>
          <w:lang w:val="fr-FR"/>
        </w:rPr>
        <w:t>kg, comme le prévoit le chapitre</w:t>
      </w:r>
      <w:r w:rsidR="00A424B7">
        <w:rPr>
          <w:lang w:val="fr-FR"/>
        </w:rPr>
        <w:t xml:space="preserve"> </w:t>
      </w:r>
      <w:r w:rsidRPr="00EC4124">
        <w:rPr>
          <w:lang w:val="fr-FR"/>
        </w:rPr>
        <w:t>6.1, ni même</w:t>
      </w:r>
      <w:r>
        <w:rPr>
          <w:lang w:val="fr-FR"/>
        </w:rPr>
        <w:t>, en fait,</w:t>
      </w:r>
      <w:r w:rsidRPr="00EC4124">
        <w:rPr>
          <w:lang w:val="fr-FR"/>
        </w:rPr>
        <w:t xml:space="preserve"> à une limite de masse</w:t>
      </w:r>
      <w:r>
        <w:rPr>
          <w:lang w:val="fr-FR"/>
        </w:rPr>
        <w:t xml:space="preserve"> quelconque</w:t>
      </w:r>
      <w:r w:rsidRPr="00EC4124">
        <w:rPr>
          <w:lang w:val="fr-FR"/>
        </w:rPr>
        <w:t xml:space="preserve">. Malheureusement, les </w:t>
      </w:r>
      <w:r>
        <w:rPr>
          <w:lang w:val="fr-FR"/>
        </w:rPr>
        <w:t>P</w:t>
      </w:r>
      <w:r w:rsidRPr="00EC4124">
        <w:rPr>
          <w:lang w:val="fr-FR"/>
        </w:rPr>
        <w:t>rincipes directeurs ne sont pas lus ou</w:t>
      </w:r>
      <w:r>
        <w:rPr>
          <w:lang w:val="fr-FR"/>
        </w:rPr>
        <w:t xml:space="preserve"> ne sont pas</w:t>
      </w:r>
      <w:r w:rsidRPr="00EC4124">
        <w:rPr>
          <w:lang w:val="fr-FR"/>
        </w:rPr>
        <w:t xml:space="preserve"> entièrement compris par les transitaires, les exploitants de navires et les autres intervenants de la chaîne logistique qui </w:t>
      </w:r>
      <w:r>
        <w:rPr>
          <w:lang w:val="fr-FR"/>
        </w:rPr>
        <w:t xml:space="preserve">doutent pouvoir </w:t>
      </w:r>
      <w:r w:rsidRPr="00EC4124">
        <w:rPr>
          <w:lang w:val="fr-FR"/>
        </w:rPr>
        <w:t>utilis</w:t>
      </w:r>
      <w:r>
        <w:rPr>
          <w:lang w:val="fr-FR"/>
        </w:rPr>
        <w:t>er</w:t>
      </w:r>
      <w:r w:rsidRPr="00EC4124">
        <w:rPr>
          <w:lang w:val="fr-FR"/>
        </w:rPr>
        <w:t xml:space="preserve"> ces grands emballages lorsqu</w:t>
      </w:r>
      <w:r>
        <w:rPr>
          <w:lang w:val="fr-FR"/>
        </w:rPr>
        <w:t>’</w:t>
      </w:r>
      <w:r w:rsidRPr="00EC4124">
        <w:rPr>
          <w:lang w:val="fr-FR"/>
        </w:rPr>
        <w:t>ils sont expédiés conformément à l</w:t>
      </w:r>
      <w:r>
        <w:rPr>
          <w:lang w:val="fr-FR"/>
        </w:rPr>
        <w:t>’</w:t>
      </w:r>
      <w:r w:rsidRPr="00EC4124">
        <w:rPr>
          <w:lang w:val="fr-FR"/>
        </w:rPr>
        <w:t>instruction P903.</w:t>
      </w:r>
    </w:p>
    <w:p w14:paraId="5540DD56" w14:textId="77777777" w:rsidR="00FE4718" w:rsidRPr="00EC4124" w:rsidRDefault="00FE4718" w:rsidP="00FE4718">
      <w:pPr>
        <w:pStyle w:val="SingleTxtG"/>
        <w:rPr>
          <w:lang w:val="fr-FR"/>
        </w:rPr>
      </w:pPr>
      <w:bookmarkStart w:id="2" w:name="_Hlk25149358"/>
      <w:bookmarkEnd w:id="1"/>
      <w:r>
        <w:rPr>
          <w:lang w:val="fr-FR"/>
        </w:rPr>
        <w:t>5.</w:t>
      </w:r>
      <w:r w:rsidRPr="00EC4124">
        <w:rPr>
          <w:lang w:val="fr-FR"/>
        </w:rPr>
        <w:tab/>
        <w:t>Les propositions d</w:t>
      </w:r>
      <w:r>
        <w:rPr>
          <w:lang w:val="fr-FR"/>
        </w:rPr>
        <w:t>’</w:t>
      </w:r>
      <w:r w:rsidRPr="00EC4124">
        <w:rPr>
          <w:lang w:val="fr-FR"/>
        </w:rPr>
        <w:t>amendement au Règlement type présentées ci-après tiennent compte des observations formulées par le Sous-Comité en ré</w:t>
      </w:r>
      <w:r>
        <w:rPr>
          <w:lang w:val="fr-FR"/>
        </w:rPr>
        <w:t>action</w:t>
      </w:r>
      <w:r w:rsidRPr="00EC4124">
        <w:rPr>
          <w:lang w:val="fr-FR"/>
        </w:rPr>
        <w:t xml:space="preserve"> au document ST/SG/AC.10/C.3/2019/34 et au document informel INF.17 (cinquante-sixième session)</w:t>
      </w:r>
      <w:r>
        <w:rPr>
          <w:lang w:val="fr-FR"/>
        </w:rPr>
        <w:t>. L</w:t>
      </w:r>
      <w:r w:rsidRPr="00EC4124">
        <w:rPr>
          <w:lang w:val="fr-FR"/>
        </w:rPr>
        <w:t xml:space="preserve">es </w:t>
      </w:r>
      <w:r>
        <w:rPr>
          <w:lang w:val="fr-FR"/>
        </w:rPr>
        <w:t>prescriptions des P</w:t>
      </w:r>
      <w:r w:rsidRPr="00EC4124">
        <w:rPr>
          <w:lang w:val="fr-FR"/>
        </w:rPr>
        <w:t>rincipes directeurs</w:t>
      </w:r>
      <w:r w:rsidRPr="00694B2B">
        <w:rPr>
          <w:lang w:val="fr-FR"/>
        </w:rPr>
        <w:t xml:space="preserve"> </w:t>
      </w:r>
      <w:r>
        <w:rPr>
          <w:lang w:val="fr-FR"/>
        </w:rPr>
        <w:t xml:space="preserve">y sont </w:t>
      </w:r>
      <w:r w:rsidRPr="00EC4124">
        <w:rPr>
          <w:lang w:val="fr-FR"/>
        </w:rPr>
        <w:t>clairement énon</w:t>
      </w:r>
      <w:r>
        <w:rPr>
          <w:lang w:val="fr-FR"/>
        </w:rPr>
        <w:t>cées. Il est également proposé d’ajouter</w:t>
      </w:r>
      <w:r w:rsidRPr="00EC4124">
        <w:rPr>
          <w:lang w:val="fr-FR"/>
        </w:rPr>
        <w:t xml:space="preserve"> un nouveau </w:t>
      </w:r>
      <w:r>
        <w:rPr>
          <w:lang w:val="fr-FR"/>
        </w:rPr>
        <w:t>nota</w:t>
      </w:r>
      <w:r w:rsidRPr="00EC4124">
        <w:rPr>
          <w:lang w:val="fr-FR"/>
        </w:rPr>
        <w:t xml:space="preserve"> pour l</w:t>
      </w:r>
      <w:r>
        <w:rPr>
          <w:lang w:val="fr-FR"/>
        </w:rPr>
        <w:t>’</w:t>
      </w:r>
      <w:r w:rsidRPr="00EC4124">
        <w:rPr>
          <w:lang w:val="fr-FR"/>
        </w:rPr>
        <w:t>instruction d</w:t>
      </w:r>
      <w:r>
        <w:rPr>
          <w:lang w:val="fr-FR"/>
        </w:rPr>
        <w:t>’</w:t>
      </w:r>
      <w:r w:rsidRPr="00EC4124">
        <w:rPr>
          <w:lang w:val="fr-FR"/>
        </w:rPr>
        <w:t xml:space="preserve">emballage P903 et </w:t>
      </w:r>
      <w:r>
        <w:rPr>
          <w:lang w:val="fr-FR"/>
        </w:rPr>
        <w:t>d’apporter des</w:t>
      </w:r>
      <w:r w:rsidRPr="00EC4124">
        <w:rPr>
          <w:lang w:val="fr-FR"/>
        </w:rPr>
        <w:t xml:space="preserve"> modifications similaires à d</w:t>
      </w:r>
      <w:r>
        <w:rPr>
          <w:lang w:val="fr-FR"/>
        </w:rPr>
        <w:t>’</w:t>
      </w:r>
      <w:r w:rsidRPr="00EC4124">
        <w:rPr>
          <w:lang w:val="fr-FR"/>
        </w:rPr>
        <w:t>autres instructions d</w:t>
      </w:r>
      <w:r>
        <w:rPr>
          <w:lang w:val="fr-FR"/>
        </w:rPr>
        <w:t>’</w:t>
      </w:r>
      <w:r w:rsidRPr="00EC4124">
        <w:rPr>
          <w:lang w:val="fr-FR"/>
        </w:rPr>
        <w:t xml:space="preserve">emballage </w:t>
      </w:r>
      <w:r>
        <w:rPr>
          <w:lang w:val="fr-FR"/>
        </w:rPr>
        <w:t>pour</w:t>
      </w:r>
      <w:r w:rsidRPr="00EC4124">
        <w:rPr>
          <w:lang w:val="fr-FR"/>
        </w:rPr>
        <w:t xml:space="preserve"> contribuer à faciliter le </w:t>
      </w:r>
      <w:r>
        <w:rPr>
          <w:lang w:val="fr-FR"/>
        </w:rPr>
        <w:t>transport</w:t>
      </w:r>
      <w:r w:rsidRPr="00EC4124">
        <w:rPr>
          <w:lang w:val="fr-FR"/>
        </w:rPr>
        <w:t xml:space="preserve"> des marchandises dangereuses conformément aux </w:t>
      </w:r>
      <w:r>
        <w:rPr>
          <w:lang w:val="fr-FR"/>
        </w:rPr>
        <w:t>P</w:t>
      </w:r>
      <w:r w:rsidRPr="00EC4124">
        <w:rPr>
          <w:lang w:val="fr-FR"/>
        </w:rPr>
        <w:t>rincipes directeurs.</w:t>
      </w:r>
      <w:bookmarkEnd w:id="2"/>
    </w:p>
    <w:p w14:paraId="347816F1" w14:textId="77777777" w:rsidR="00FE4718" w:rsidRPr="00EC4124" w:rsidRDefault="00FE4718" w:rsidP="00FE4718">
      <w:pPr>
        <w:pStyle w:val="HChG"/>
        <w:rPr>
          <w:lang w:val="fr-FR"/>
        </w:rPr>
      </w:pPr>
      <w:r w:rsidRPr="00EC4124">
        <w:rPr>
          <w:lang w:val="fr-FR"/>
        </w:rPr>
        <w:tab/>
      </w:r>
      <w:r w:rsidRPr="00EC4124">
        <w:rPr>
          <w:lang w:val="fr-FR"/>
        </w:rPr>
        <w:tab/>
        <w:t>Propositions</w:t>
      </w:r>
    </w:p>
    <w:p w14:paraId="7E14E833" w14:textId="77777777" w:rsidR="00FE4718" w:rsidRPr="00EC4124" w:rsidRDefault="00FE4718" w:rsidP="00A424B7">
      <w:pPr>
        <w:pStyle w:val="SingleTxtG"/>
        <w:rPr>
          <w:lang w:val="fr-FR"/>
        </w:rPr>
      </w:pPr>
      <w:r>
        <w:rPr>
          <w:lang w:val="fr-FR"/>
        </w:rPr>
        <w:t>6.</w:t>
      </w:r>
      <w:r w:rsidRPr="00EC4124">
        <w:rPr>
          <w:lang w:val="fr-FR"/>
        </w:rPr>
        <w:tab/>
        <w:t xml:space="preserve">Au 4.1.3.3, ajouter une nouvelle dernière phrase à lire (le nouveau texte est </w:t>
      </w:r>
      <w:r w:rsidRPr="00EC4124">
        <w:rPr>
          <w:u w:val="single"/>
          <w:lang w:val="fr-FR"/>
        </w:rPr>
        <w:t>souligné</w:t>
      </w:r>
      <w:r w:rsidRPr="00EC4124">
        <w:rPr>
          <w:lang w:val="fr-FR"/>
        </w:rPr>
        <w:t>)</w:t>
      </w:r>
      <w:r>
        <w:rPr>
          <w:lang w:val="fr-FR"/>
        </w:rPr>
        <w:t> :</w:t>
      </w:r>
    </w:p>
    <w:p w14:paraId="031CE5C4" w14:textId="77777777" w:rsidR="00FE4718" w:rsidRPr="00EC4124" w:rsidRDefault="00FE4718" w:rsidP="00FE4718">
      <w:pPr>
        <w:pStyle w:val="SingleTxtG"/>
        <w:ind w:left="1689"/>
        <w:rPr>
          <w:lang w:val="fr-FR"/>
        </w:rPr>
      </w:pPr>
      <w:r>
        <w:rPr>
          <w:lang w:val="fr-FR"/>
        </w:rPr>
        <w:t>« </w:t>
      </w:r>
      <w:r w:rsidRPr="00EC4124">
        <w:rPr>
          <w:lang w:val="fr-FR"/>
        </w:rPr>
        <w:t>4.1.3.3</w:t>
      </w:r>
      <w:r>
        <w:rPr>
          <w:lang w:val="fr-FR"/>
        </w:rPr>
        <w:tab/>
      </w:r>
      <w:r w:rsidRPr="00694B2B">
        <w:rPr>
          <w:lang w:val="fr-FR"/>
        </w:rPr>
        <w:t>Chaque instruction d</w:t>
      </w:r>
      <w:r>
        <w:rPr>
          <w:lang w:val="fr-FR"/>
        </w:rPr>
        <w:t>’</w:t>
      </w:r>
      <w:r w:rsidRPr="00694B2B">
        <w:rPr>
          <w:lang w:val="fr-FR"/>
        </w:rPr>
        <w:t>emballage mentionne, s</w:t>
      </w:r>
      <w:r>
        <w:rPr>
          <w:lang w:val="fr-FR"/>
        </w:rPr>
        <w:t>’</w:t>
      </w:r>
      <w:r w:rsidRPr="00694B2B">
        <w:rPr>
          <w:lang w:val="fr-FR"/>
        </w:rPr>
        <w:t>il y a lieu, les emballages simples ou combinés admissibles. Pour les emballages combinés sont indiqués les emballages extérieurs et intérieurs admissibles et, s</w:t>
      </w:r>
      <w:r>
        <w:rPr>
          <w:lang w:val="fr-FR"/>
        </w:rPr>
        <w:t>’</w:t>
      </w:r>
      <w:r w:rsidRPr="00694B2B">
        <w:rPr>
          <w:lang w:val="fr-FR"/>
        </w:rPr>
        <w:t>il y a lieu, la quantité maximale autorisée dans chaque emballage intérieur ou extérieur. La masse nette maximale et la contenance maximale sont définies dans la section 1.2.1</w:t>
      </w:r>
      <w:r w:rsidRPr="00EC4124">
        <w:rPr>
          <w:lang w:val="fr-FR"/>
        </w:rPr>
        <w:t xml:space="preserve">. </w:t>
      </w:r>
      <w:r w:rsidRPr="00EC4124">
        <w:rPr>
          <w:u w:val="single"/>
          <w:lang w:val="fr-FR"/>
        </w:rPr>
        <w:t>Lorsque des emballages qui ne doivent pas nécessairement satisfaire aux prescriptions du 4.1.1.3 (par exemple, caisses, palettes, etc.) sont autorisés dans une instruction d</w:t>
      </w:r>
      <w:r>
        <w:rPr>
          <w:u w:val="single"/>
          <w:lang w:val="fr-FR"/>
        </w:rPr>
        <w:t>’</w:t>
      </w:r>
      <w:r w:rsidRPr="00EC4124">
        <w:rPr>
          <w:u w:val="single"/>
          <w:lang w:val="fr-FR"/>
        </w:rPr>
        <w:t xml:space="preserve">emballage </w:t>
      </w:r>
      <w:r>
        <w:rPr>
          <w:u w:val="single"/>
          <w:lang w:val="fr-FR"/>
        </w:rPr>
        <w:t>« </w:t>
      </w:r>
      <w:r w:rsidRPr="00EC4124">
        <w:rPr>
          <w:u w:val="single"/>
          <w:lang w:val="fr-FR"/>
        </w:rPr>
        <w:t>P</w:t>
      </w:r>
      <w:r>
        <w:rPr>
          <w:u w:val="single"/>
          <w:lang w:val="fr-FR"/>
        </w:rPr>
        <w:t> »</w:t>
      </w:r>
      <w:r w:rsidRPr="00EC4124">
        <w:rPr>
          <w:u w:val="single"/>
          <w:lang w:val="fr-FR"/>
        </w:rPr>
        <w:t xml:space="preserve">, ces </w:t>
      </w:r>
      <w:r w:rsidRPr="00E80F04">
        <w:rPr>
          <w:u w:val="single"/>
          <w:lang w:val="fr-FR"/>
        </w:rPr>
        <w:t xml:space="preserve">emballages </w:t>
      </w:r>
      <w:r w:rsidRPr="00EC4124">
        <w:rPr>
          <w:u w:val="single"/>
          <w:lang w:val="fr-FR"/>
        </w:rPr>
        <w:t>ne sont pas soumis aux limites de masse ou de volume généralement applicables aux emballages conformes aux prescriptions du chapitre 6.1, sauf indication contraire dans l</w:t>
      </w:r>
      <w:r>
        <w:rPr>
          <w:u w:val="single"/>
          <w:lang w:val="fr-FR"/>
        </w:rPr>
        <w:t>’</w:t>
      </w:r>
      <w:r w:rsidRPr="00EC4124">
        <w:rPr>
          <w:u w:val="single"/>
          <w:lang w:val="fr-FR"/>
        </w:rPr>
        <w:t>instruction d</w:t>
      </w:r>
      <w:r>
        <w:rPr>
          <w:u w:val="single"/>
          <w:lang w:val="fr-FR"/>
        </w:rPr>
        <w:t>’</w:t>
      </w:r>
      <w:r w:rsidRPr="00EC4124">
        <w:rPr>
          <w:u w:val="single"/>
          <w:lang w:val="fr-FR"/>
        </w:rPr>
        <w:t>emballage pertinente.</w:t>
      </w:r>
      <w:r>
        <w:rPr>
          <w:lang w:val="fr-FR"/>
        </w:rPr>
        <w:t> ».</w:t>
      </w:r>
    </w:p>
    <w:p w14:paraId="06A73FC9" w14:textId="77777777" w:rsidR="00FE4718" w:rsidRPr="00EC4124" w:rsidRDefault="00FE4718" w:rsidP="00A424B7">
      <w:pPr>
        <w:pStyle w:val="SingleTxtG"/>
        <w:rPr>
          <w:lang w:val="fr-FR"/>
        </w:rPr>
      </w:pPr>
      <w:r w:rsidRPr="00EC4124">
        <w:rPr>
          <w:lang w:val="fr-FR"/>
        </w:rPr>
        <w:t>7.</w:t>
      </w:r>
      <w:r w:rsidRPr="00EC4124">
        <w:rPr>
          <w:lang w:val="fr-FR"/>
        </w:rPr>
        <w:tab/>
        <w:t>Dans l</w:t>
      </w:r>
      <w:r>
        <w:rPr>
          <w:lang w:val="fr-FR"/>
        </w:rPr>
        <w:t>’</w:t>
      </w:r>
      <w:r w:rsidRPr="00EC4124">
        <w:rPr>
          <w:lang w:val="fr-FR"/>
        </w:rPr>
        <w:t>instruction d</w:t>
      </w:r>
      <w:r>
        <w:rPr>
          <w:lang w:val="fr-FR"/>
        </w:rPr>
        <w:t>’</w:t>
      </w:r>
      <w:r w:rsidRPr="00EC4124">
        <w:rPr>
          <w:lang w:val="fr-FR"/>
        </w:rPr>
        <w:t>emballage P903, ajouter un nouve</w:t>
      </w:r>
      <w:r>
        <w:rPr>
          <w:lang w:val="fr-FR"/>
        </w:rPr>
        <w:t>au</w:t>
      </w:r>
      <w:r w:rsidRPr="00EC4124">
        <w:rPr>
          <w:lang w:val="fr-FR"/>
        </w:rPr>
        <w:t xml:space="preserve"> not</w:t>
      </w:r>
      <w:r>
        <w:rPr>
          <w:lang w:val="fr-FR"/>
        </w:rPr>
        <w:t>a</w:t>
      </w:r>
      <w:r w:rsidRPr="00EC4124">
        <w:rPr>
          <w:lang w:val="fr-FR"/>
        </w:rPr>
        <w:t xml:space="preserve"> à la suite </w:t>
      </w:r>
      <w:r>
        <w:rPr>
          <w:lang w:val="fr-FR"/>
        </w:rPr>
        <w:t>de l’alinéa </w:t>
      </w:r>
      <w:r w:rsidRPr="00EC4124">
        <w:rPr>
          <w:lang w:val="fr-FR"/>
        </w:rPr>
        <w:t>4)</w:t>
      </w:r>
      <w:r>
        <w:rPr>
          <w:lang w:val="fr-FR"/>
        </w:rPr>
        <w:t>, ainsi conçu :</w:t>
      </w:r>
    </w:p>
    <w:p w14:paraId="5946C29C" w14:textId="77777777" w:rsidR="00FE4718" w:rsidRPr="00E80F04" w:rsidRDefault="00FE4718" w:rsidP="00FE4718">
      <w:pPr>
        <w:pStyle w:val="SingleTxtG"/>
        <w:ind w:left="1701"/>
        <w:rPr>
          <w:lang w:val="fr-FR"/>
        </w:rPr>
      </w:pPr>
      <w:r>
        <w:rPr>
          <w:lang w:val="fr-FR"/>
        </w:rPr>
        <w:t>« </w:t>
      </w:r>
      <w:r w:rsidRPr="00EC4124">
        <w:rPr>
          <w:b/>
          <w:i/>
          <w:iCs/>
          <w:lang w:val="fr-FR"/>
        </w:rPr>
        <w:t>NOTA</w:t>
      </w:r>
      <w:r>
        <w:rPr>
          <w:b/>
          <w:i/>
          <w:iCs/>
          <w:lang w:val="fr-FR"/>
        </w:rPr>
        <w:t> :</w:t>
      </w:r>
      <w:r w:rsidRPr="00EC4124">
        <w:rPr>
          <w:i/>
          <w:iCs/>
          <w:lang w:val="fr-FR"/>
        </w:rPr>
        <w:t xml:space="preserve"> Les emballages autorisés aux </w:t>
      </w:r>
      <w:r>
        <w:rPr>
          <w:i/>
          <w:iCs/>
          <w:lang w:val="fr-FR"/>
        </w:rPr>
        <w:t>alinéas</w:t>
      </w:r>
      <w:r w:rsidR="0088345E">
        <w:rPr>
          <w:i/>
          <w:iCs/>
          <w:lang w:val="fr-FR"/>
        </w:rPr>
        <w:t xml:space="preserve"> </w:t>
      </w:r>
      <w:r w:rsidRPr="00EC4124">
        <w:rPr>
          <w:i/>
          <w:iCs/>
          <w:lang w:val="fr-FR"/>
        </w:rPr>
        <w:t>2 et</w:t>
      </w:r>
      <w:r w:rsidR="0088345E">
        <w:rPr>
          <w:i/>
          <w:iCs/>
          <w:lang w:val="fr-FR"/>
        </w:rPr>
        <w:t xml:space="preserve"> </w:t>
      </w:r>
      <w:r w:rsidRPr="00EC4124">
        <w:rPr>
          <w:i/>
          <w:iCs/>
          <w:lang w:val="fr-FR"/>
        </w:rPr>
        <w:t>4 peuvent dépasser une masse nette de 400</w:t>
      </w:r>
      <w:r>
        <w:rPr>
          <w:i/>
          <w:iCs/>
          <w:lang w:val="fr-FR"/>
        </w:rPr>
        <w:t> kg</w:t>
      </w:r>
      <w:r w:rsidRPr="00EC4124">
        <w:rPr>
          <w:i/>
          <w:iCs/>
          <w:lang w:val="fr-FR"/>
        </w:rPr>
        <w:t xml:space="preserve"> (voir 4.1.3.3).</w:t>
      </w:r>
      <w:r>
        <w:rPr>
          <w:lang w:val="fr-FR"/>
        </w:rPr>
        <w:t> ».</w:t>
      </w:r>
    </w:p>
    <w:p w14:paraId="0AA4BB2C" w14:textId="77777777" w:rsidR="00FE4718" w:rsidRPr="00EC4124" w:rsidRDefault="00FE4718" w:rsidP="00A424B7">
      <w:pPr>
        <w:pStyle w:val="SingleTxtG"/>
        <w:rPr>
          <w:lang w:val="fr-FR"/>
        </w:rPr>
      </w:pPr>
      <w:r w:rsidRPr="00EC4124">
        <w:rPr>
          <w:lang w:val="fr-FR"/>
        </w:rPr>
        <w:t>8.</w:t>
      </w:r>
      <w:r w:rsidRPr="00EC4124">
        <w:rPr>
          <w:lang w:val="fr-FR"/>
        </w:rPr>
        <w:tab/>
      </w:r>
      <w:r>
        <w:rPr>
          <w:lang w:val="fr-FR"/>
        </w:rPr>
        <w:t>M</w:t>
      </w:r>
      <w:r w:rsidRPr="00EC4124">
        <w:rPr>
          <w:lang w:val="fr-FR"/>
        </w:rPr>
        <w:t>odifier les instructions d</w:t>
      </w:r>
      <w:r>
        <w:rPr>
          <w:lang w:val="fr-FR"/>
        </w:rPr>
        <w:t>’</w:t>
      </w:r>
      <w:r w:rsidRPr="00EC4124">
        <w:rPr>
          <w:lang w:val="fr-FR"/>
        </w:rPr>
        <w:t xml:space="preserve">emballage </w:t>
      </w:r>
      <w:r>
        <w:rPr>
          <w:lang w:val="fr-FR"/>
        </w:rPr>
        <w:t>ci-après</w:t>
      </w:r>
      <w:r w:rsidRPr="00EC4124">
        <w:rPr>
          <w:lang w:val="fr-FR"/>
        </w:rPr>
        <w:t xml:space="preserve"> en </w:t>
      </w:r>
      <w:r>
        <w:rPr>
          <w:lang w:val="fr-FR"/>
        </w:rPr>
        <w:t xml:space="preserve">y </w:t>
      </w:r>
      <w:r w:rsidRPr="00EC4124">
        <w:rPr>
          <w:lang w:val="fr-FR"/>
        </w:rPr>
        <w:t>ajoutant u</w:t>
      </w:r>
      <w:r>
        <w:rPr>
          <w:lang w:val="fr-FR"/>
        </w:rPr>
        <w:t>n</w:t>
      </w:r>
      <w:r w:rsidRPr="00EC4124">
        <w:rPr>
          <w:lang w:val="fr-FR"/>
        </w:rPr>
        <w:t xml:space="preserve"> not</w:t>
      </w:r>
      <w:r>
        <w:rPr>
          <w:lang w:val="fr-FR"/>
        </w:rPr>
        <w:t>a</w:t>
      </w:r>
      <w:r w:rsidRPr="00EC4124">
        <w:rPr>
          <w:lang w:val="fr-FR"/>
        </w:rPr>
        <w:t xml:space="preserve"> semblable à </w:t>
      </w:r>
      <w:r>
        <w:rPr>
          <w:lang w:val="fr-FR"/>
        </w:rPr>
        <w:t>celui</w:t>
      </w:r>
      <w:r w:rsidRPr="00EC4124">
        <w:rPr>
          <w:lang w:val="fr-FR"/>
        </w:rPr>
        <w:t xml:space="preserve"> qui est </w:t>
      </w:r>
      <w:r>
        <w:rPr>
          <w:lang w:val="fr-FR"/>
        </w:rPr>
        <w:t>énoncé</w:t>
      </w:r>
      <w:r w:rsidRPr="00EC4124">
        <w:rPr>
          <w:lang w:val="fr-FR"/>
        </w:rPr>
        <w:t xml:space="preserve"> au paragraphe 7 ci-dessus (applicable à l</w:t>
      </w:r>
      <w:r>
        <w:rPr>
          <w:lang w:val="fr-FR"/>
        </w:rPr>
        <w:t>’</w:t>
      </w:r>
      <w:r w:rsidRPr="00EC4124">
        <w:rPr>
          <w:lang w:val="fr-FR"/>
        </w:rPr>
        <w:t>instruction d</w:t>
      </w:r>
      <w:r>
        <w:rPr>
          <w:lang w:val="fr-FR"/>
        </w:rPr>
        <w:t>’</w:t>
      </w:r>
      <w:r w:rsidRPr="00EC4124">
        <w:rPr>
          <w:lang w:val="fr-FR"/>
        </w:rPr>
        <w:t>emballage dans son ensemble, ou au(x) paragraphe(s) indiqué(s) ou à la disposition spéciale d</w:t>
      </w:r>
      <w:r>
        <w:rPr>
          <w:lang w:val="fr-FR"/>
        </w:rPr>
        <w:t>’</w:t>
      </w:r>
      <w:r w:rsidRPr="00EC4124">
        <w:rPr>
          <w:lang w:val="fr-FR"/>
        </w:rPr>
        <w:t>emballage qui autorise les emballages non soumis aux prescriptions du 4.1.1.3)</w:t>
      </w:r>
      <w:r>
        <w:rPr>
          <w:lang w:val="fr-FR"/>
        </w:rPr>
        <w:t> :</w:t>
      </w:r>
    </w:p>
    <w:p w14:paraId="6CAD4FBD" w14:textId="77777777" w:rsidR="00FE4718" w:rsidRPr="00EC4124" w:rsidRDefault="00FE4718" w:rsidP="00FE4718">
      <w:pPr>
        <w:pStyle w:val="SingleTxtG"/>
        <w:spacing w:after="0"/>
        <w:ind w:left="1685" w:right="1138"/>
        <w:rPr>
          <w:iCs/>
          <w:lang w:val="fr-FR"/>
        </w:rPr>
      </w:pPr>
      <w:r w:rsidRPr="00EC4124">
        <w:rPr>
          <w:iCs/>
          <w:lang w:val="fr-FR"/>
        </w:rPr>
        <w:t>P003 (PP32)</w:t>
      </w:r>
      <w:r>
        <w:rPr>
          <w:iCs/>
          <w:lang w:val="fr-FR"/>
        </w:rPr>
        <w:t> ;</w:t>
      </w:r>
    </w:p>
    <w:p w14:paraId="4FD8EDCF" w14:textId="77777777" w:rsidR="00FE4718" w:rsidRPr="00EC4124" w:rsidRDefault="00FE4718" w:rsidP="00FE4718">
      <w:pPr>
        <w:pStyle w:val="SingleTxtG"/>
        <w:spacing w:after="0"/>
        <w:ind w:left="1685" w:right="1138"/>
        <w:rPr>
          <w:iCs/>
          <w:lang w:val="fr-FR"/>
        </w:rPr>
      </w:pPr>
      <w:r w:rsidRPr="00EC4124">
        <w:rPr>
          <w:iCs/>
          <w:lang w:val="fr-FR"/>
        </w:rPr>
        <w:t>P004 2) et 3)</w:t>
      </w:r>
      <w:r>
        <w:rPr>
          <w:iCs/>
          <w:lang w:val="fr-FR"/>
        </w:rPr>
        <w:t> ;</w:t>
      </w:r>
    </w:p>
    <w:p w14:paraId="50280A9F" w14:textId="77777777" w:rsidR="00FE4718" w:rsidRPr="00EC4124" w:rsidRDefault="00FE4718" w:rsidP="00FE4718">
      <w:pPr>
        <w:pStyle w:val="SingleTxtG"/>
        <w:spacing w:after="0"/>
        <w:ind w:left="1685" w:right="1138"/>
        <w:rPr>
          <w:iCs/>
          <w:lang w:val="fr-FR"/>
        </w:rPr>
      </w:pPr>
      <w:r w:rsidRPr="00EC4124">
        <w:rPr>
          <w:iCs/>
          <w:lang w:val="fr-FR"/>
        </w:rPr>
        <w:t>P005</w:t>
      </w:r>
      <w:r>
        <w:rPr>
          <w:iCs/>
          <w:lang w:val="fr-FR"/>
        </w:rPr>
        <w:t> ;</w:t>
      </w:r>
    </w:p>
    <w:p w14:paraId="2B2C493C" w14:textId="77777777" w:rsidR="00FE4718" w:rsidRPr="00EC4124" w:rsidRDefault="00FE4718" w:rsidP="00FE4718">
      <w:pPr>
        <w:pStyle w:val="SingleTxtG"/>
        <w:spacing w:after="0"/>
        <w:ind w:left="1685" w:right="1138"/>
        <w:rPr>
          <w:iCs/>
          <w:lang w:val="fr-FR"/>
        </w:rPr>
      </w:pPr>
      <w:r w:rsidRPr="00EC4124">
        <w:rPr>
          <w:iCs/>
          <w:lang w:val="fr-FR"/>
        </w:rPr>
        <w:t>P006 2)</w:t>
      </w:r>
      <w:r>
        <w:rPr>
          <w:iCs/>
          <w:lang w:val="fr-FR"/>
        </w:rPr>
        <w:t> ;</w:t>
      </w:r>
    </w:p>
    <w:p w14:paraId="5D02439C" w14:textId="77777777" w:rsidR="00FE4718" w:rsidRPr="00EC4124" w:rsidRDefault="00FE4718" w:rsidP="00FE4718">
      <w:pPr>
        <w:pStyle w:val="SingleTxtG"/>
        <w:spacing w:after="0"/>
        <w:ind w:left="1685" w:right="1138"/>
        <w:rPr>
          <w:iCs/>
          <w:lang w:val="fr-FR"/>
        </w:rPr>
      </w:pPr>
      <w:r w:rsidRPr="00EC4124">
        <w:rPr>
          <w:iCs/>
          <w:lang w:val="fr-FR"/>
        </w:rPr>
        <w:t>P130 (PP67)</w:t>
      </w:r>
      <w:r>
        <w:rPr>
          <w:iCs/>
          <w:lang w:val="fr-FR"/>
        </w:rPr>
        <w:t> ;</w:t>
      </w:r>
    </w:p>
    <w:p w14:paraId="3AE89615" w14:textId="77777777" w:rsidR="00FE4718" w:rsidRPr="00EC4124" w:rsidRDefault="00FE4718" w:rsidP="00FE4718">
      <w:pPr>
        <w:pStyle w:val="SingleTxtG"/>
        <w:spacing w:after="0"/>
        <w:ind w:left="1685" w:right="1138"/>
        <w:rPr>
          <w:iCs/>
          <w:lang w:val="fr-FR"/>
        </w:rPr>
      </w:pPr>
      <w:r w:rsidRPr="00EC4124">
        <w:rPr>
          <w:iCs/>
          <w:lang w:val="fr-FR"/>
        </w:rPr>
        <w:t>P144 (PP47)</w:t>
      </w:r>
      <w:r>
        <w:rPr>
          <w:iCs/>
          <w:lang w:val="fr-FR"/>
        </w:rPr>
        <w:t> ;</w:t>
      </w:r>
    </w:p>
    <w:p w14:paraId="07D27860" w14:textId="77777777" w:rsidR="00FE4718" w:rsidRPr="00EC4124" w:rsidRDefault="00FE4718" w:rsidP="00FE4718">
      <w:pPr>
        <w:pStyle w:val="SingleTxtG"/>
        <w:spacing w:after="0"/>
        <w:ind w:left="1685" w:right="1138"/>
        <w:rPr>
          <w:iCs/>
          <w:lang w:val="fr-FR"/>
        </w:rPr>
      </w:pPr>
      <w:r w:rsidRPr="00EC4124">
        <w:rPr>
          <w:iCs/>
          <w:lang w:val="fr-FR"/>
        </w:rPr>
        <w:t>P408 2)</w:t>
      </w:r>
      <w:r>
        <w:rPr>
          <w:iCs/>
          <w:lang w:val="fr-FR"/>
        </w:rPr>
        <w:t> ;</w:t>
      </w:r>
    </w:p>
    <w:p w14:paraId="3060BF10" w14:textId="77777777" w:rsidR="00FE4718" w:rsidRPr="00EC4124" w:rsidRDefault="00FE4718" w:rsidP="00FE4718">
      <w:pPr>
        <w:pStyle w:val="SingleTxtG"/>
        <w:spacing w:after="0"/>
        <w:ind w:left="1685" w:right="1138"/>
        <w:rPr>
          <w:iCs/>
          <w:lang w:val="fr-FR"/>
        </w:rPr>
      </w:pPr>
      <w:r w:rsidRPr="00EC4124">
        <w:rPr>
          <w:iCs/>
          <w:lang w:val="fr-FR"/>
        </w:rPr>
        <w:t>P801 1) et 2)</w:t>
      </w:r>
      <w:r>
        <w:rPr>
          <w:iCs/>
          <w:lang w:val="fr-FR"/>
        </w:rPr>
        <w:t> ;</w:t>
      </w:r>
    </w:p>
    <w:p w14:paraId="0A8E8788" w14:textId="77777777" w:rsidR="00FE4718" w:rsidRPr="00EC4124" w:rsidRDefault="00FE4718" w:rsidP="00FE4718">
      <w:pPr>
        <w:pStyle w:val="SingleTxtG"/>
        <w:spacing w:after="0"/>
        <w:ind w:left="1685" w:right="1138"/>
        <w:rPr>
          <w:iCs/>
          <w:lang w:val="fr-FR"/>
        </w:rPr>
      </w:pPr>
      <w:r w:rsidRPr="00EC4124">
        <w:rPr>
          <w:iCs/>
          <w:lang w:val="fr-FR"/>
        </w:rPr>
        <w:t>P903 2) et 4)</w:t>
      </w:r>
      <w:r>
        <w:rPr>
          <w:iCs/>
          <w:lang w:val="fr-FR"/>
        </w:rPr>
        <w:t> ;</w:t>
      </w:r>
    </w:p>
    <w:p w14:paraId="18F22129" w14:textId="77777777" w:rsidR="00FE4718" w:rsidRPr="00EC4124" w:rsidRDefault="00FE4718" w:rsidP="00FE4718">
      <w:pPr>
        <w:pStyle w:val="SingleTxtG"/>
        <w:spacing w:after="0"/>
        <w:ind w:left="1685" w:right="1138"/>
        <w:rPr>
          <w:iCs/>
          <w:lang w:val="fr-FR"/>
        </w:rPr>
      </w:pPr>
      <w:r w:rsidRPr="00EC4124">
        <w:rPr>
          <w:iCs/>
          <w:lang w:val="fr-FR"/>
        </w:rPr>
        <w:t>P905</w:t>
      </w:r>
      <w:r>
        <w:rPr>
          <w:iCs/>
          <w:lang w:val="fr-FR"/>
        </w:rPr>
        <w:t> ;</w:t>
      </w:r>
      <w:r w:rsidRPr="00EC4124">
        <w:rPr>
          <w:iCs/>
          <w:lang w:val="fr-FR"/>
        </w:rPr>
        <w:t xml:space="preserve"> </w:t>
      </w:r>
    </w:p>
    <w:p w14:paraId="1BEED094" w14:textId="77777777" w:rsidR="00FE4718" w:rsidRPr="00EC4124" w:rsidRDefault="00FE4718" w:rsidP="00FE4718">
      <w:pPr>
        <w:pStyle w:val="SingleTxtG"/>
        <w:spacing w:after="0"/>
        <w:ind w:left="1685" w:right="1138"/>
        <w:rPr>
          <w:iCs/>
          <w:lang w:val="fr-FR"/>
        </w:rPr>
      </w:pPr>
      <w:r w:rsidRPr="00EC4124">
        <w:rPr>
          <w:iCs/>
          <w:lang w:val="fr-FR"/>
        </w:rPr>
        <w:t>P906 2)</w:t>
      </w:r>
      <w:r>
        <w:rPr>
          <w:iCs/>
          <w:lang w:val="fr-FR"/>
        </w:rPr>
        <w:t xml:space="preserve"> </w:t>
      </w:r>
      <w:r w:rsidRPr="00EC4124">
        <w:rPr>
          <w:iCs/>
          <w:lang w:val="fr-FR"/>
        </w:rPr>
        <w:t>b) et dernier alinéa</w:t>
      </w:r>
      <w:r>
        <w:rPr>
          <w:iCs/>
          <w:lang w:val="fr-FR"/>
        </w:rPr>
        <w:t> ;</w:t>
      </w:r>
    </w:p>
    <w:p w14:paraId="33C47776" w14:textId="77777777" w:rsidR="00FE4718" w:rsidRPr="00EC4124" w:rsidRDefault="00FE4718" w:rsidP="00FE4718">
      <w:pPr>
        <w:pStyle w:val="SingleTxtG"/>
        <w:spacing w:after="0"/>
        <w:ind w:left="1685" w:right="1138"/>
        <w:rPr>
          <w:iCs/>
          <w:lang w:val="fr-FR"/>
        </w:rPr>
      </w:pPr>
      <w:r w:rsidRPr="00EC4124">
        <w:rPr>
          <w:iCs/>
          <w:lang w:val="fr-FR"/>
        </w:rPr>
        <w:t>P907</w:t>
      </w:r>
      <w:r>
        <w:rPr>
          <w:iCs/>
          <w:lang w:val="fr-FR"/>
        </w:rPr>
        <w:t> ;</w:t>
      </w:r>
    </w:p>
    <w:p w14:paraId="1327BE77" w14:textId="77777777" w:rsidR="00FE4718" w:rsidRPr="00EC4124" w:rsidRDefault="00FE4718" w:rsidP="00FE4718">
      <w:pPr>
        <w:pStyle w:val="SingleTxtG"/>
        <w:spacing w:after="0"/>
        <w:ind w:left="1685" w:right="1138"/>
        <w:rPr>
          <w:iCs/>
          <w:lang w:val="fr-FR"/>
        </w:rPr>
      </w:pPr>
      <w:r w:rsidRPr="00EC4124">
        <w:rPr>
          <w:iCs/>
          <w:lang w:val="fr-FR"/>
        </w:rPr>
        <w:lastRenderedPageBreak/>
        <w:t>P909 3) et 4)</w:t>
      </w:r>
      <w:r>
        <w:rPr>
          <w:iCs/>
          <w:lang w:val="fr-FR"/>
        </w:rPr>
        <w:t> ;</w:t>
      </w:r>
      <w:r w:rsidRPr="00EC4124">
        <w:rPr>
          <w:iCs/>
          <w:lang w:val="fr-FR"/>
        </w:rPr>
        <w:t xml:space="preserve"> et</w:t>
      </w:r>
    </w:p>
    <w:p w14:paraId="76C2917A" w14:textId="77777777" w:rsidR="00FE4718" w:rsidRPr="00EC4124" w:rsidRDefault="00FE4718" w:rsidP="00FE4718">
      <w:pPr>
        <w:pStyle w:val="SingleTxtG"/>
        <w:spacing w:after="0"/>
        <w:ind w:left="1685" w:right="1138"/>
        <w:rPr>
          <w:iCs/>
          <w:lang w:val="fr-FR"/>
        </w:rPr>
      </w:pPr>
      <w:r w:rsidRPr="00EC4124">
        <w:rPr>
          <w:iCs/>
          <w:lang w:val="fr-FR"/>
        </w:rPr>
        <w:t>P910 3).</w:t>
      </w:r>
    </w:p>
    <w:p w14:paraId="2153E2A5" w14:textId="77777777" w:rsidR="009A16C5" w:rsidRPr="00FE4718" w:rsidRDefault="00FE4718" w:rsidP="00FE4718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9A16C5" w:rsidRPr="00FE4718" w:rsidSect="009A16C5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26651A" w14:textId="77777777" w:rsidR="000F1B1A" w:rsidRDefault="000F1B1A" w:rsidP="00F95C08">
      <w:pPr>
        <w:spacing w:line="240" w:lineRule="auto"/>
      </w:pPr>
    </w:p>
  </w:endnote>
  <w:endnote w:type="continuationSeparator" w:id="0">
    <w:p w14:paraId="24C22EC6" w14:textId="77777777" w:rsidR="000F1B1A" w:rsidRPr="00AC3823" w:rsidRDefault="000F1B1A" w:rsidP="00AC3823">
      <w:pPr>
        <w:pStyle w:val="Footer"/>
      </w:pPr>
    </w:p>
  </w:endnote>
  <w:endnote w:type="continuationNotice" w:id="1">
    <w:p w14:paraId="52373837" w14:textId="77777777" w:rsidR="000F1B1A" w:rsidRDefault="000F1B1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A0FB41" w14:textId="77777777" w:rsidR="009A16C5" w:rsidRPr="009A16C5" w:rsidRDefault="009A16C5" w:rsidP="009A16C5">
    <w:pPr>
      <w:pStyle w:val="Footer"/>
      <w:tabs>
        <w:tab w:val="right" w:pos="9638"/>
      </w:tabs>
    </w:pPr>
    <w:r w:rsidRPr="009A16C5">
      <w:rPr>
        <w:b/>
        <w:sz w:val="18"/>
      </w:rPr>
      <w:fldChar w:fldCharType="begin"/>
    </w:r>
    <w:r w:rsidRPr="009A16C5">
      <w:rPr>
        <w:b/>
        <w:sz w:val="18"/>
      </w:rPr>
      <w:instrText xml:space="preserve"> PAGE  \* MERGEFORMAT </w:instrText>
    </w:r>
    <w:r w:rsidRPr="009A16C5">
      <w:rPr>
        <w:b/>
        <w:sz w:val="18"/>
      </w:rPr>
      <w:fldChar w:fldCharType="separate"/>
    </w:r>
    <w:r w:rsidRPr="009A16C5">
      <w:rPr>
        <w:b/>
        <w:noProof/>
        <w:sz w:val="18"/>
      </w:rPr>
      <w:t>2</w:t>
    </w:r>
    <w:r w:rsidRPr="009A16C5">
      <w:rPr>
        <w:b/>
        <w:sz w:val="18"/>
      </w:rPr>
      <w:fldChar w:fldCharType="end"/>
    </w:r>
    <w:r>
      <w:rPr>
        <w:b/>
        <w:sz w:val="18"/>
      </w:rPr>
      <w:tab/>
    </w:r>
    <w:r>
      <w:t>GE.20-05478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7F55A8" w14:textId="77777777" w:rsidR="009A16C5" w:rsidRPr="009A16C5" w:rsidRDefault="009A16C5" w:rsidP="009A16C5">
    <w:pPr>
      <w:pStyle w:val="Footer"/>
      <w:tabs>
        <w:tab w:val="right" w:pos="9638"/>
      </w:tabs>
      <w:rPr>
        <w:b/>
        <w:sz w:val="18"/>
      </w:rPr>
    </w:pPr>
    <w:r>
      <w:t>GE.20-05478</w:t>
    </w:r>
    <w:r>
      <w:tab/>
    </w:r>
    <w:r w:rsidRPr="009A16C5">
      <w:rPr>
        <w:b/>
        <w:sz w:val="18"/>
      </w:rPr>
      <w:fldChar w:fldCharType="begin"/>
    </w:r>
    <w:r w:rsidRPr="009A16C5">
      <w:rPr>
        <w:b/>
        <w:sz w:val="18"/>
      </w:rPr>
      <w:instrText xml:space="preserve"> PAGE  \* MERGEFORMAT </w:instrText>
    </w:r>
    <w:r w:rsidRPr="009A16C5">
      <w:rPr>
        <w:b/>
        <w:sz w:val="18"/>
      </w:rPr>
      <w:fldChar w:fldCharType="separate"/>
    </w:r>
    <w:r w:rsidRPr="009A16C5">
      <w:rPr>
        <w:b/>
        <w:noProof/>
        <w:sz w:val="18"/>
      </w:rPr>
      <w:t>3</w:t>
    </w:r>
    <w:r w:rsidRPr="009A16C5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FC2EED" w14:textId="77777777" w:rsidR="0068456F" w:rsidRPr="009A16C5" w:rsidRDefault="009A16C5" w:rsidP="009A16C5">
    <w:pPr>
      <w:pStyle w:val="Footer"/>
      <w:spacing w:before="120"/>
      <w:rPr>
        <w:sz w:val="20"/>
      </w:rPr>
    </w:pPr>
    <w:r>
      <w:rPr>
        <w:sz w:val="20"/>
      </w:rPr>
      <w:t>GE.</w:t>
    </w:r>
    <w:r w:rsidR="0068456F">
      <w:rPr>
        <w:noProof/>
        <w:lang w:eastAsia="fr-CH"/>
      </w:rPr>
      <w:drawing>
        <wp:anchor distT="0" distB="0" distL="114300" distR="114300" simplePos="0" relativeHeight="251657216" behindDoc="0" locked="0" layoutInCell="1" allowOverlap="0" wp14:anchorId="1BA23818" wp14:editId="394EBFC5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20-05478  (F)    120520    140520</w:t>
    </w:r>
    <w:r>
      <w:rPr>
        <w:sz w:val="20"/>
      </w:rPr>
      <w:br/>
    </w:r>
    <w:r w:rsidRPr="009A16C5">
      <w:rPr>
        <w:rFonts w:ascii="C39T30Lfz" w:hAnsi="C39T30Lfz"/>
        <w:sz w:val="56"/>
      </w:rPr>
      <w:t></w:t>
    </w:r>
    <w:r w:rsidRPr="009A16C5">
      <w:rPr>
        <w:rFonts w:ascii="C39T30Lfz" w:hAnsi="C39T30Lfz"/>
        <w:sz w:val="56"/>
      </w:rPr>
      <w:t></w:t>
    </w:r>
    <w:r w:rsidRPr="009A16C5">
      <w:rPr>
        <w:rFonts w:ascii="C39T30Lfz" w:hAnsi="C39T30Lfz"/>
        <w:sz w:val="56"/>
      </w:rPr>
      <w:t></w:t>
    </w:r>
    <w:r w:rsidRPr="009A16C5">
      <w:rPr>
        <w:rFonts w:ascii="C39T30Lfz" w:hAnsi="C39T30Lfz"/>
        <w:sz w:val="56"/>
      </w:rPr>
      <w:t></w:t>
    </w:r>
    <w:r w:rsidRPr="009A16C5">
      <w:rPr>
        <w:rFonts w:ascii="C39T30Lfz" w:hAnsi="C39T30Lfz"/>
        <w:sz w:val="56"/>
      </w:rPr>
      <w:t></w:t>
    </w:r>
    <w:r w:rsidRPr="009A16C5">
      <w:rPr>
        <w:rFonts w:ascii="C39T30Lfz" w:hAnsi="C39T30Lfz"/>
        <w:sz w:val="56"/>
      </w:rPr>
      <w:t></w:t>
    </w:r>
    <w:r w:rsidRPr="009A16C5">
      <w:rPr>
        <w:rFonts w:ascii="C39T30Lfz" w:hAnsi="C39T30Lfz"/>
        <w:sz w:val="56"/>
      </w:rPr>
      <w:t></w:t>
    </w:r>
    <w:r w:rsidRPr="009A16C5">
      <w:rPr>
        <w:rFonts w:ascii="C39T30Lfz" w:hAnsi="C39T30Lfz"/>
        <w:sz w:val="56"/>
      </w:rPr>
      <w:t></w:t>
    </w:r>
    <w:r w:rsidRPr="009A16C5">
      <w:rPr>
        <w:rFonts w:ascii="C39T30Lfz" w:hAnsi="C39T30Lfz"/>
        <w:sz w:val="56"/>
      </w:rPr>
      <w:t></w:t>
    </w:r>
    <w:r>
      <w:rPr>
        <w:noProof/>
        <w:sz w:val="20"/>
      </w:rPr>
      <w:drawing>
        <wp:anchor distT="0" distB="0" distL="114300" distR="114300" simplePos="0" relativeHeight="251658240" behindDoc="0" locked="0" layoutInCell="1" allowOverlap="1" wp14:anchorId="1D1FB43F" wp14:editId="645299E5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ST/SG/AC.10/C.3/2020/46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ST/SG/AC.10/C.3/2020/46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3B2E02" w14:textId="77777777" w:rsidR="000F1B1A" w:rsidRPr="00AC3823" w:rsidRDefault="000F1B1A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96FA502" w14:textId="77777777" w:rsidR="000F1B1A" w:rsidRPr="00AC3823" w:rsidRDefault="000F1B1A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4F3E32EE" w14:textId="77777777" w:rsidR="000F1B1A" w:rsidRPr="00AC3823" w:rsidRDefault="000F1B1A">
      <w:pPr>
        <w:spacing w:line="240" w:lineRule="auto"/>
        <w:rPr>
          <w:sz w:val="2"/>
          <w:szCs w:val="2"/>
        </w:rPr>
      </w:pPr>
    </w:p>
  </w:footnote>
  <w:footnote w:id="2">
    <w:p w14:paraId="4FE6CB32" w14:textId="77777777" w:rsidR="00FE4718" w:rsidRPr="00FE4718" w:rsidRDefault="00FE4718">
      <w:pPr>
        <w:pStyle w:val="FootnoteText"/>
      </w:pPr>
      <w:r>
        <w:rPr>
          <w:rStyle w:val="FootnoteReference"/>
        </w:rPr>
        <w:tab/>
      </w:r>
      <w:r w:rsidRPr="00FE4718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 w:rsidRPr="002E6204">
        <w:rPr>
          <w:lang w:val="fr-FR"/>
        </w:rPr>
        <w:t>Sous-programme 2 du budget-programme pour 2020 (A/74/6 (Sect.</w:t>
      </w:r>
      <w:r w:rsidR="00486855">
        <w:rPr>
          <w:lang w:val="fr-FR"/>
        </w:rPr>
        <w:t> </w:t>
      </w:r>
      <w:r w:rsidRPr="002E6204">
        <w:rPr>
          <w:lang w:val="fr-FR"/>
        </w:rPr>
        <w:t>20)) et informations complémentaires</w:t>
      </w:r>
      <w:r>
        <w:rPr>
          <w:lang w:val="fr-FR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7CC244" w14:textId="7DA1AF32" w:rsidR="009A16C5" w:rsidRPr="009A16C5" w:rsidRDefault="009D193F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>
      <w:t>ST/SG/AC.10/C.3/2020/46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ACA264" w14:textId="0FDBEF85" w:rsidR="009A16C5" w:rsidRPr="009A16C5" w:rsidRDefault="009D193F" w:rsidP="009A16C5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ST/SG/AC.10/C.3/2020/46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274CD73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981AAA34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FE2C9A28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B1A"/>
    <w:rsid w:val="00017F94"/>
    <w:rsid w:val="00023842"/>
    <w:rsid w:val="000305D3"/>
    <w:rsid w:val="000334F9"/>
    <w:rsid w:val="0007796D"/>
    <w:rsid w:val="000B7790"/>
    <w:rsid w:val="000F1B1A"/>
    <w:rsid w:val="00111F2F"/>
    <w:rsid w:val="00132EA9"/>
    <w:rsid w:val="0014365E"/>
    <w:rsid w:val="00176178"/>
    <w:rsid w:val="001F525A"/>
    <w:rsid w:val="00210483"/>
    <w:rsid w:val="00223272"/>
    <w:rsid w:val="0024779E"/>
    <w:rsid w:val="00283190"/>
    <w:rsid w:val="002832AC"/>
    <w:rsid w:val="002D7C93"/>
    <w:rsid w:val="00441C3B"/>
    <w:rsid w:val="00446FE5"/>
    <w:rsid w:val="00452396"/>
    <w:rsid w:val="00486855"/>
    <w:rsid w:val="004E468C"/>
    <w:rsid w:val="005505B7"/>
    <w:rsid w:val="00573BE5"/>
    <w:rsid w:val="00584DC4"/>
    <w:rsid w:val="00586ED3"/>
    <w:rsid w:val="00596AA9"/>
    <w:rsid w:val="0068456F"/>
    <w:rsid w:val="0071601D"/>
    <w:rsid w:val="007A62E6"/>
    <w:rsid w:val="0080684C"/>
    <w:rsid w:val="00871C75"/>
    <w:rsid w:val="008776DC"/>
    <w:rsid w:val="0088345E"/>
    <w:rsid w:val="008B40CD"/>
    <w:rsid w:val="009705C8"/>
    <w:rsid w:val="009A16C5"/>
    <w:rsid w:val="009C1CF4"/>
    <w:rsid w:val="009D193F"/>
    <w:rsid w:val="00A30353"/>
    <w:rsid w:val="00A424B7"/>
    <w:rsid w:val="00AC3823"/>
    <w:rsid w:val="00AE323C"/>
    <w:rsid w:val="00B00181"/>
    <w:rsid w:val="00B00B0D"/>
    <w:rsid w:val="00B765F7"/>
    <w:rsid w:val="00BA0CA9"/>
    <w:rsid w:val="00C02897"/>
    <w:rsid w:val="00D3439C"/>
    <w:rsid w:val="00DB1831"/>
    <w:rsid w:val="00DD3BFD"/>
    <w:rsid w:val="00DF6678"/>
    <w:rsid w:val="00EF2E22"/>
    <w:rsid w:val="00F01738"/>
    <w:rsid w:val="00F660DF"/>
    <w:rsid w:val="00F730C8"/>
    <w:rsid w:val="00F95C08"/>
    <w:rsid w:val="00FE4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DB7E9F8"/>
  <w15:docId w15:val="{35E8DCAE-1A4D-4F07-B52A-60A9AFDA8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4DC4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584DC4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584DC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584DC4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584DC4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584DC4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584DC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584DC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584DC4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584DC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584DC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584DC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584DC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584DC4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584DC4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584DC4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,Footnote Reference/"/>
    <w:basedOn w:val="DefaultParagraphFont"/>
    <w:qFormat/>
    <w:rsid w:val="00584DC4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584DC4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584DC4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584DC4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584DC4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584DC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584DC4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584DC4"/>
  </w:style>
  <w:style w:type="character" w:customStyle="1" w:styleId="EndnoteTextChar">
    <w:name w:val="Endnote Text Char"/>
    <w:aliases w:val="2_G Char"/>
    <w:basedOn w:val="DefaultParagraphFont"/>
    <w:link w:val="EndnoteText"/>
    <w:rsid w:val="00584DC4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584DC4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584DC4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E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EA9"/>
    <w:rPr>
      <w:rFonts w:ascii="Tahoma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rsid w:val="00FE4718"/>
    <w:rPr>
      <w:rFonts w:ascii="Times New Roman" w:eastAsiaTheme="minorHAnsi" w:hAnsi="Times New Roman" w:cs="Times New Roman"/>
      <w:b/>
      <w:sz w:val="28"/>
      <w:szCs w:val="20"/>
      <w:lang w:eastAsia="en-US"/>
    </w:rPr>
  </w:style>
  <w:style w:type="character" w:customStyle="1" w:styleId="SingleTxtGChar">
    <w:name w:val="_ Single Txt_G Char"/>
    <w:link w:val="SingleTxtG"/>
    <w:rsid w:val="00FE4718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1GChar">
    <w:name w:val="_ H_1_G Char"/>
    <w:link w:val="H1G"/>
    <w:qFormat/>
    <w:locked/>
    <w:rsid w:val="00FE4718"/>
    <w:rPr>
      <w:rFonts w:ascii="Times New Roman" w:eastAsiaTheme="minorHAnsi" w:hAnsi="Times New Roman" w:cs="Times New Roman"/>
      <w:b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832</Words>
  <Characters>4744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ST/SG/AC.10/C.3/2020/46</vt:lpstr>
      <vt:lpstr>ST/SG/AC.10/C.3/2020/46</vt:lpstr>
    </vt:vector>
  </TitlesOfParts>
  <Company>DCM</Company>
  <LinksUpToDate>false</LinksUpToDate>
  <CharactersWithSpaces>5565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ST/SG/AC.10/C.3/2020/46</dc:title>
  <dc:subject/>
  <dc:creator>Nicolas MORIN</dc:creator>
  <cp:keywords/>
  <cp:lastModifiedBy>Laurence Berthet</cp:lastModifiedBy>
  <cp:revision>3</cp:revision>
  <cp:lastPrinted>2020-05-14T09:11:00Z</cp:lastPrinted>
  <dcterms:created xsi:type="dcterms:W3CDTF">2020-05-14T09:11:00Z</dcterms:created>
  <dcterms:modified xsi:type="dcterms:W3CDTF">2020-05-14T09:11:00Z</dcterms:modified>
</cp:coreProperties>
</file>