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C622962" w14:textId="77777777" w:rsidTr="00F01738">
        <w:trPr>
          <w:trHeight w:hRule="exact" w:val="851"/>
        </w:trPr>
        <w:tc>
          <w:tcPr>
            <w:tcW w:w="1276" w:type="dxa"/>
            <w:tcBorders>
              <w:bottom w:val="single" w:sz="4" w:space="0" w:color="auto"/>
            </w:tcBorders>
          </w:tcPr>
          <w:p w14:paraId="14FC1F6E" w14:textId="77777777" w:rsidR="00132EA9" w:rsidRPr="00DB58B5" w:rsidRDefault="00132EA9" w:rsidP="00C85316">
            <w:bookmarkStart w:id="0" w:name="_GoBack"/>
            <w:bookmarkEnd w:id="0"/>
          </w:p>
        </w:tc>
        <w:tc>
          <w:tcPr>
            <w:tcW w:w="2268" w:type="dxa"/>
            <w:tcBorders>
              <w:bottom w:val="single" w:sz="4" w:space="0" w:color="auto"/>
            </w:tcBorders>
            <w:vAlign w:val="bottom"/>
          </w:tcPr>
          <w:p w14:paraId="274E812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BC6B04" w14:textId="77777777" w:rsidR="00132EA9" w:rsidRPr="00DB58B5" w:rsidRDefault="00C85316" w:rsidP="00C85316">
            <w:pPr>
              <w:jc w:val="right"/>
            </w:pPr>
            <w:r w:rsidRPr="00C85316">
              <w:rPr>
                <w:sz w:val="40"/>
              </w:rPr>
              <w:t>ST</w:t>
            </w:r>
            <w:r>
              <w:t>/SG/AC.10/C.3/2020/41</w:t>
            </w:r>
          </w:p>
        </w:tc>
      </w:tr>
      <w:tr w:rsidR="00132EA9" w:rsidRPr="00DB58B5" w14:paraId="1D1819EA" w14:textId="77777777" w:rsidTr="00F01738">
        <w:trPr>
          <w:trHeight w:hRule="exact" w:val="2835"/>
        </w:trPr>
        <w:tc>
          <w:tcPr>
            <w:tcW w:w="1276" w:type="dxa"/>
            <w:tcBorders>
              <w:top w:val="single" w:sz="4" w:space="0" w:color="auto"/>
              <w:bottom w:val="single" w:sz="12" w:space="0" w:color="auto"/>
            </w:tcBorders>
          </w:tcPr>
          <w:p w14:paraId="7CDA5F87" w14:textId="77777777" w:rsidR="00132EA9" w:rsidRPr="00DB58B5" w:rsidRDefault="00132EA9" w:rsidP="00F01738">
            <w:pPr>
              <w:spacing w:before="120"/>
              <w:jc w:val="center"/>
            </w:pPr>
            <w:r>
              <w:rPr>
                <w:noProof/>
                <w:lang w:eastAsia="fr-CH"/>
              </w:rPr>
              <w:drawing>
                <wp:inline distT="0" distB="0" distL="0" distR="0" wp14:anchorId="0B351E39" wp14:editId="0FD530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FB07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71606F" w14:textId="77777777" w:rsidR="00132EA9" w:rsidRDefault="00C85316" w:rsidP="00F01738">
            <w:pPr>
              <w:spacing w:before="240"/>
            </w:pPr>
            <w:proofErr w:type="spellStart"/>
            <w:r>
              <w:t>Distr</w:t>
            </w:r>
            <w:proofErr w:type="spellEnd"/>
            <w:r>
              <w:t xml:space="preserve">. </w:t>
            </w:r>
            <w:proofErr w:type="gramStart"/>
            <w:r>
              <w:t>générale</w:t>
            </w:r>
            <w:proofErr w:type="gramEnd"/>
          </w:p>
          <w:p w14:paraId="2F8D3354" w14:textId="77777777" w:rsidR="00C85316" w:rsidRDefault="00C85316" w:rsidP="00C85316">
            <w:pPr>
              <w:spacing w:line="240" w:lineRule="exact"/>
            </w:pPr>
            <w:r>
              <w:t>9 avril 2020</w:t>
            </w:r>
          </w:p>
          <w:p w14:paraId="56F6EF69" w14:textId="77777777" w:rsidR="00C85316" w:rsidRDefault="00C85316" w:rsidP="00C85316">
            <w:pPr>
              <w:spacing w:line="240" w:lineRule="exact"/>
            </w:pPr>
            <w:r>
              <w:t>Français</w:t>
            </w:r>
          </w:p>
          <w:p w14:paraId="5A4B7D70" w14:textId="77777777" w:rsidR="00C85316" w:rsidRPr="00DB58B5" w:rsidRDefault="00C85316" w:rsidP="00C85316">
            <w:pPr>
              <w:spacing w:line="240" w:lineRule="exact"/>
            </w:pPr>
            <w:r>
              <w:t>Original : anglais</w:t>
            </w:r>
          </w:p>
        </w:tc>
      </w:tr>
    </w:tbl>
    <w:p w14:paraId="40A6F2E2" w14:textId="77777777" w:rsidR="00C85316" w:rsidRPr="00C85316" w:rsidRDefault="00C85316" w:rsidP="00C85316">
      <w:pPr>
        <w:spacing w:before="120"/>
        <w:rPr>
          <w:b/>
          <w:bCs/>
          <w:sz w:val="24"/>
          <w:szCs w:val="24"/>
          <w:lang w:val="fr-FR"/>
        </w:rPr>
      </w:pPr>
      <w:r w:rsidRPr="00C85316">
        <w:rPr>
          <w:b/>
          <w:bCs/>
          <w:sz w:val="24"/>
          <w:szCs w:val="24"/>
          <w:lang w:val="fr-FR"/>
        </w:rPr>
        <w:t xml:space="preserve">Comité d’experts du transport des marchandises </w:t>
      </w:r>
      <w:r>
        <w:rPr>
          <w:b/>
          <w:bCs/>
          <w:sz w:val="24"/>
          <w:szCs w:val="24"/>
          <w:lang w:val="fr-FR"/>
        </w:rPr>
        <w:br/>
      </w:r>
      <w:r w:rsidRPr="00C85316">
        <w:rPr>
          <w:b/>
          <w:bCs/>
          <w:sz w:val="24"/>
          <w:szCs w:val="24"/>
          <w:lang w:val="fr-FR"/>
        </w:rPr>
        <w:t xml:space="preserve">dangereuses et du Système général harmonisé </w:t>
      </w:r>
      <w:r>
        <w:rPr>
          <w:b/>
          <w:bCs/>
          <w:sz w:val="24"/>
          <w:szCs w:val="24"/>
          <w:lang w:val="fr-FR"/>
        </w:rPr>
        <w:br/>
      </w:r>
      <w:r w:rsidRPr="00C85316">
        <w:rPr>
          <w:b/>
          <w:bCs/>
          <w:sz w:val="24"/>
          <w:szCs w:val="24"/>
          <w:lang w:val="fr-FR"/>
        </w:rPr>
        <w:t>de classification et d’étiquetage des produits chimiques</w:t>
      </w:r>
    </w:p>
    <w:p w14:paraId="5FC0AFE0" w14:textId="77777777" w:rsidR="00C85316" w:rsidRPr="00CE0D78" w:rsidRDefault="00C85316" w:rsidP="00C85316">
      <w:pPr>
        <w:spacing w:before="120"/>
        <w:rPr>
          <w:rFonts w:ascii="Helv" w:hAnsi="Helv" w:cs="Helv"/>
          <w:b/>
          <w:bCs/>
          <w:color w:val="000000"/>
          <w:lang w:val="fr-FR"/>
        </w:rPr>
      </w:pPr>
      <w:r w:rsidRPr="00CE0D78">
        <w:rPr>
          <w:b/>
          <w:bCs/>
          <w:lang w:val="fr-FR"/>
        </w:rPr>
        <w:t>Sous-Comité d</w:t>
      </w:r>
      <w:r>
        <w:rPr>
          <w:b/>
          <w:bCs/>
          <w:lang w:val="fr-FR"/>
        </w:rPr>
        <w:t>’</w:t>
      </w:r>
      <w:r w:rsidRPr="00CE0D78">
        <w:rPr>
          <w:b/>
          <w:bCs/>
          <w:lang w:val="fr-FR"/>
        </w:rPr>
        <w:t>experts du transport des marchandises dangereuses</w:t>
      </w:r>
    </w:p>
    <w:p w14:paraId="7E28142A" w14:textId="77777777" w:rsidR="00C85316" w:rsidRPr="00CE0D78" w:rsidRDefault="00C85316" w:rsidP="00C85316">
      <w:pPr>
        <w:spacing w:before="120"/>
        <w:rPr>
          <w:b/>
          <w:lang w:val="fr-FR"/>
        </w:rPr>
      </w:pPr>
      <w:r w:rsidRPr="00CE0D78">
        <w:rPr>
          <w:b/>
          <w:bCs/>
          <w:lang w:val="fr-FR"/>
        </w:rPr>
        <w:t>Cinquante-septième session</w:t>
      </w:r>
    </w:p>
    <w:p w14:paraId="629A8FC2" w14:textId="77777777" w:rsidR="00C85316" w:rsidRPr="00CE0D78" w:rsidRDefault="00C85316" w:rsidP="00C85316">
      <w:pPr>
        <w:rPr>
          <w:lang w:val="fr-FR"/>
        </w:rPr>
      </w:pPr>
      <w:r w:rsidRPr="00CE0D78">
        <w:rPr>
          <w:lang w:val="fr-FR"/>
        </w:rPr>
        <w:t xml:space="preserve">Genève, 29 juin˗8 juillet 2020 </w:t>
      </w:r>
    </w:p>
    <w:p w14:paraId="5E89F318" w14:textId="77777777" w:rsidR="00C85316" w:rsidRPr="00CE0D78" w:rsidRDefault="00C85316" w:rsidP="00C85316">
      <w:pPr>
        <w:rPr>
          <w:lang w:val="fr-FR"/>
        </w:rPr>
      </w:pPr>
      <w:r w:rsidRPr="00CE0D78">
        <w:rPr>
          <w:lang w:val="fr-FR"/>
        </w:rPr>
        <w:t>Point 9 de l</w:t>
      </w:r>
      <w:r>
        <w:rPr>
          <w:lang w:val="fr-FR"/>
        </w:rPr>
        <w:t>’</w:t>
      </w:r>
      <w:r w:rsidRPr="00CE0D78">
        <w:rPr>
          <w:lang w:val="fr-FR"/>
        </w:rPr>
        <w:t>ordre du jour provisoire</w:t>
      </w:r>
    </w:p>
    <w:p w14:paraId="6D3FD5F4" w14:textId="77777777" w:rsidR="00C85316" w:rsidRPr="00CE0D78" w:rsidRDefault="00C85316" w:rsidP="00C85316">
      <w:pPr>
        <w:rPr>
          <w:lang w:val="fr-FR"/>
        </w:rPr>
      </w:pPr>
      <w:r w:rsidRPr="00CE0D78">
        <w:rPr>
          <w:b/>
          <w:bCs/>
          <w:lang w:val="fr-FR"/>
        </w:rPr>
        <w:t>Principes directeurs du Règlement type</w:t>
      </w:r>
    </w:p>
    <w:p w14:paraId="44FFE39B" w14:textId="77777777" w:rsidR="00C85316" w:rsidRPr="00CE0D78" w:rsidRDefault="00C85316" w:rsidP="00C85316">
      <w:pPr>
        <w:pStyle w:val="HChG"/>
        <w:rPr>
          <w:lang w:val="fr-FR"/>
        </w:rPr>
      </w:pPr>
      <w:r w:rsidRPr="00CE0D78">
        <w:rPr>
          <w:lang w:val="fr-FR"/>
        </w:rPr>
        <w:tab/>
      </w:r>
      <w:r w:rsidRPr="00CE0D78">
        <w:rPr>
          <w:lang w:val="fr-FR"/>
        </w:rPr>
        <w:tab/>
        <w:t>Révision de la disposition spéciale 301</w:t>
      </w:r>
    </w:p>
    <w:p w14:paraId="27CB95CA" w14:textId="77777777" w:rsidR="00C85316" w:rsidRPr="00CE0D78" w:rsidRDefault="00C85316" w:rsidP="00C85316">
      <w:pPr>
        <w:pStyle w:val="H1G"/>
        <w:rPr>
          <w:lang w:val="fr-FR"/>
        </w:rPr>
      </w:pPr>
      <w:r w:rsidRPr="00CE0D78">
        <w:rPr>
          <w:lang w:val="fr-FR"/>
        </w:rPr>
        <w:tab/>
      </w:r>
      <w:r w:rsidRPr="00CE0D78">
        <w:rPr>
          <w:lang w:val="fr-FR"/>
        </w:rPr>
        <w:tab/>
        <w:t>Communication de l</w:t>
      </w:r>
      <w:r>
        <w:rPr>
          <w:lang w:val="fr-FR"/>
        </w:rPr>
        <w:t>’</w:t>
      </w:r>
      <w:r w:rsidRPr="00CE0D78">
        <w:rPr>
          <w:lang w:val="fr-FR"/>
        </w:rPr>
        <w:t xml:space="preserve">Association du transport aérien </w:t>
      </w:r>
      <w:r>
        <w:rPr>
          <w:lang w:val="fr-FR"/>
        </w:rPr>
        <w:br/>
      </w:r>
      <w:r w:rsidRPr="00CE0D78">
        <w:rPr>
          <w:lang w:val="fr-FR"/>
        </w:rPr>
        <w:t>international (IATA)</w:t>
      </w:r>
      <w:r w:rsidRPr="00C85316">
        <w:rPr>
          <w:rStyle w:val="FootnoteReference"/>
          <w:b w:val="0"/>
          <w:bCs/>
          <w:sz w:val="20"/>
          <w:vertAlign w:val="baseline"/>
        </w:rPr>
        <w:footnoteReference w:customMarkFollows="1" w:id="2"/>
        <w:t>*</w:t>
      </w:r>
    </w:p>
    <w:p w14:paraId="483E301D" w14:textId="77777777" w:rsidR="00C85316" w:rsidRPr="00CE0D78" w:rsidRDefault="00C85316" w:rsidP="00C85316">
      <w:pPr>
        <w:pStyle w:val="HChG"/>
        <w:rPr>
          <w:lang w:val="fr-FR"/>
        </w:rPr>
      </w:pPr>
      <w:r w:rsidRPr="00CE0D78">
        <w:rPr>
          <w:lang w:val="fr-FR"/>
        </w:rPr>
        <w:tab/>
      </w:r>
      <w:r w:rsidRPr="00CE0D78">
        <w:rPr>
          <w:lang w:val="fr-FR"/>
        </w:rPr>
        <w:tab/>
      </w:r>
      <w:r w:rsidRPr="00CE0D78">
        <w:rPr>
          <w:bCs/>
          <w:lang w:val="fr-FR"/>
        </w:rPr>
        <w:t>Introduction</w:t>
      </w:r>
    </w:p>
    <w:p w14:paraId="14C89830" w14:textId="77777777" w:rsidR="00C85316" w:rsidRPr="00CE0D78" w:rsidRDefault="00C85316" w:rsidP="00C85316">
      <w:pPr>
        <w:pStyle w:val="SingleTxtG"/>
        <w:rPr>
          <w:lang w:val="fr-FR"/>
        </w:rPr>
      </w:pPr>
      <w:r w:rsidRPr="00CE0D78">
        <w:rPr>
          <w:lang w:val="fr-FR"/>
        </w:rPr>
        <w:t>1.</w:t>
      </w:r>
      <w:r w:rsidRPr="00CE0D78">
        <w:rPr>
          <w:lang w:val="fr-FR"/>
        </w:rPr>
        <w:tab/>
        <w:t>À la cinquante-sixième session du Sous-Comité, l</w:t>
      </w:r>
      <w:r>
        <w:rPr>
          <w:lang w:val="fr-FR"/>
        </w:rPr>
        <w:t>’</w:t>
      </w:r>
      <w:r w:rsidRPr="00CE0D78">
        <w:rPr>
          <w:lang w:val="fr-FR"/>
        </w:rPr>
        <w:t>IATA a présenté un document de travail (ST/SG/AC.10/C.3/2019/63) qui avait pour but d</w:t>
      </w:r>
      <w:r>
        <w:rPr>
          <w:lang w:val="fr-FR"/>
        </w:rPr>
        <w:t>’</w:t>
      </w:r>
      <w:r w:rsidRPr="00CE0D78">
        <w:rPr>
          <w:lang w:val="fr-FR"/>
        </w:rPr>
        <w:t>inviter au débat sur l</w:t>
      </w:r>
      <w:r>
        <w:rPr>
          <w:lang w:val="fr-FR"/>
        </w:rPr>
        <w:t>’</w:t>
      </w:r>
      <w:r w:rsidRPr="00CE0D78">
        <w:rPr>
          <w:lang w:val="fr-FR"/>
        </w:rPr>
        <w:t xml:space="preserve">application de la disposition spéciale 301, </w:t>
      </w:r>
      <w:r>
        <w:rPr>
          <w:lang w:val="fr-FR"/>
        </w:rPr>
        <w:t xml:space="preserve">laquelle donne des précisions sur les </w:t>
      </w:r>
      <w:r w:rsidRPr="00CE0D78">
        <w:rPr>
          <w:lang w:val="fr-FR"/>
        </w:rPr>
        <w:t xml:space="preserve">marchandises dangereuses </w:t>
      </w:r>
      <w:r>
        <w:rPr>
          <w:lang w:val="fr-FR"/>
        </w:rPr>
        <w:t xml:space="preserve">qui </w:t>
      </w:r>
      <w:r w:rsidRPr="00CE0D78">
        <w:rPr>
          <w:lang w:val="fr-FR"/>
        </w:rPr>
        <w:t xml:space="preserve">peuvent </w:t>
      </w:r>
      <w:proofErr w:type="gramStart"/>
      <w:r w:rsidRPr="00CE0D78">
        <w:rPr>
          <w:lang w:val="fr-FR"/>
        </w:rPr>
        <w:t xml:space="preserve">être  </w:t>
      </w:r>
      <w:r>
        <w:rPr>
          <w:lang w:val="fr-FR"/>
        </w:rPr>
        <w:t>répertoriées</w:t>
      </w:r>
      <w:proofErr w:type="gramEnd"/>
      <w:r>
        <w:rPr>
          <w:lang w:val="fr-FR"/>
        </w:rPr>
        <w:t xml:space="preserve"> </w:t>
      </w:r>
      <w:r w:rsidRPr="00CE0D78">
        <w:rPr>
          <w:lang w:val="fr-FR"/>
        </w:rPr>
        <w:t>sous le No ONU 3363, MARCHANDISES DANGEREUSES CONTENUES DANS DES APPAREILS, OBJETS ou ÉQUIPEMENTS.</w:t>
      </w:r>
    </w:p>
    <w:p w14:paraId="6E832022" w14:textId="77777777" w:rsidR="00C85316" w:rsidRPr="00CE0D78" w:rsidRDefault="00C85316" w:rsidP="00C85316">
      <w:pPr>
        <w:pStyle w:val="SingleTxtG"/>
        <w:rPr>
          <w:lang w:val="fr-FR"/>
        </w:rPr>
      </w:pPr>
      <w:r w:rsidRPr="00CE0D78">
        <w:rPr>
          <w:lang w:val="fr-FR"/>
        </w:rPr>
        <w:t>2.</w:t>
      </w:r>
      <w:r w:rsidRPr="00CE0D78">
        <w:rPr>
          <w:lang w:val="fr-FR"/>
        </w:rPr>
        <w:tab/>
        <w:t xml:space="preserve">Ce document  </w:t>
      </w:r>
      <w:r>
        <w:rPr>
          <w:lang w:val="fr-FR"/>
        </w:rPr>
        <w:t xml:space="preserve">explique </w:t>
      </w:r>
      <w:r w:rsidRPr="00CE0D78">
        <w:rPr>
          <w:lang w:val="fr-FR"/>
        </w:rPr>
        <w:t>que l</w:t>
      </w:r>
      <w:r>
        <w:rPr>
          <w:lang w:val="fr-FR"/>
        </w:rPr>
        <w:t>’</w:t>
      </w:r>
      <w:r w:rsidRPr="00CE0D78">
        <w:rPr>
          <w:lang w:val="fr-FR"/>
        </w:rPr>
        <w:t>instruction d</w:t>
      </w:r>
      <w:r>
        <w:rPr>
          <w:lang w:val="fr-FR"/>
        </w:rPr>
        <w:t>’</w:t>
      </w:r>
      <w:r w:rsidRPr="00CE0D78">
        <w:rPr>
          <w:lang w:val="fr-FR"/>
        </w:rPr>
        <w:t>emballage P907 mentionn</w:t>
      </w:r>
      <w:r>
        <w:rPr>
          <w:lang w:val="fr-FR"/>
        </w:rPr>
        <w:t>e</w:t>
      </w:r>
      <w:r w:rsidRPr="00CE0D78">
        <w:rPr>
          <w:lang w:val="fr-FR"/>
        </w:rPr>
        <w:t xml:space="preserve"> seulement les gaz de la division 2.2, alors que la disposition spéciale 301 limit</w:t>
      </w:r>
      <w:r>
        <w:rPr>
          <w:lang w:val="fr-FR"/>
        </w:rPr>
        <w:t>e</w:t>
      </w:r>
      <w:r w:rsidRPr="00CE0D78">
        <w:rPr>
          <w:lang w:val="fr-FR"/>
        </w:rPr>
        <w:t xml:space="preserve"> simplement les marchandises dangereuses dont le transport  </w:t>
      </w:r>
      <w:r>
        <w:rPr>
          <w:lang w:val="fr-FR"/>
        </w:rPr>
        <w:t xml:space="preserve">est </w:t>
      </w:r>
      <w:r w:rsidRPr="00CE0D78">
        <w:rPr>
          <w:lang w:val="fr-FR"/>
        </w:rPr>
        <w:t>autorisé sous le No ONU 3363 à celles autorisées en vertu des dispositions relatives aux marchandises dangereuses transportées en petites quantités du chapitre 3.4, qui comprennent les gaz inflammables du No ONU 2037, RÉCIPIENTS DE FAIBLE CAPACITÉ, CONTENANT DU GAZ (CARTOUCHES À GAZ).</w:t>
      </w:r>
    </w:p>
    <w:p w14:paraId="3774A91F" w14:textId="77777777" w:rsidR="00C85316" w:rsidRPr="00CE0D78" w:rsidRDefault="00C85316" w:rsidP="00C85316">
      <w:pPr>
        <w:pStyle w:val="SingleTxtG"/>
        <w:rPr>
          <w:lang w:val="fr-FR"/>
        </w:rPr>
      </w:pPr>
      <w:r w:rsidRPr="00CE0D78">
        <w:rPr>
          <w:lang w:val="fr-FR"/>
        </w:rPr>
        <w:t>3.</w:t>
      </w:r>
      <w:r w:rsidRPr="00CE0D78">
        <w:rPr>
          <w:lang w:val="fr-FR"/>
        </w:rPr>
        <w:tab/>
        <w:t xml:space="preserve">Le débat tenu à la cinquante-sixième </w:t>
      </w:r>
      <w:r>
        <w:rPr>
          <w:lang w:val="fr-FR"/>
        </w:rPr>
        <w:t xml:space="preserve">session </w:t>
      </w:r>
      <w:r w:rsidRPr="00CE0D78">
        <w:rPr>
          <w:lang w:val="fr-FR"/>
        </w:rPr>
        <w:t>sur le document de travail a conduit à la conclusion que l</w:t>
      </w:r>
      <w:r>
        <w:rPr>
          <w:lang w:val="fr-FR"/>
        </w:rPr>
        <w:t>’</w:t>
      </w:r>
      <w:r w:rsidRPr="00CE0D78">
        <w:rPr>
          <w:lang w:val="fr-FR"/>
        </w:rPr>
        <w:t xml:space="preserve">énoncé de la disposition spéciale 301 pouvait être amélioré pour dissiper toute confusion concernant les marchandises </w:t>
      </w:r>
      <w:proofErr w:type="gramStart"/>
      <w:r w:rsidRPr="00CE0D78">
        <w:rPr>
          <w:lang w:val="fr-FR"/>
        </w:rPr>
        <w:t xml:space="preserve">dangereuses  </w:t>
      </w:r>
      <w:r>
        <w:rPr>
          <w:lang w:val="fr-FR"/>
        </w:rPr>
        <w:t>pouvant</w:t>
      </w:r>
      <w:proofErr w:type="gramEnd"/>
      <w:r>
        <w:rPr>
          <w:lang w:val="fr-FR"/>
        </w:rPr>
        <w:t xml:space="preserve"> </w:t>
      </w:r>
      <w:r w:rsidRPr="00CE0D78">
        <w:rPr>
          <w:lang w:val="fr-FR"/>
        </w:rPr>
        <w:t xml:space="preserve">être incluses dans des objets relevant du No ONU 3363. Le présent document contient </w:t>
      </w:r>
      <w:r>
        <w:rPr>
          <w:lang w:val="fr-FR"/>
        </w:rPr>
        <w:t xml:space="preserve">ainsi </w:t>
      </w:r>
      <w:r w:rsidRPr="00CE0D78">
        <w:rPr>
          <w:lang w:val="fr-FR"/>
        </w:rPr>
        <w:t>une proposition d</w:t>
      </w:r>
      <w:r>
        <w:rPr>
          <w:lang w:val="fr-FR"/>
        </w:rPr>
        <w:t>’</w:t>
      </w:r>
      <w:r w:rsidRPr="00CE0D78">
        <w:rPr>
          <w:lang w:val="fr-FR"/>
        </w:rPr>
        <w:t>amendement à la disposition spéciale 301</w:t>
      </w:r>
      <w:r>
        <w:rPr>
          <w:lang w:val="fr-FR"/>
        </w:rPr>
        <w:t xml:space="preserve"> visant à </w:t>
      </w:r>
      <w:r w:rsidRPr="00CE0D78">
        <w:rPr>
          <w:lang w:val="fr-FR"/>
        </w:rPr>
        <w:t xml:space="preserve">exclure les </w:t>
      </w:r>
      <w:r>
        <w:rPr>
          <w:lang w:val="fr-FR"/>
        </w:rPr>
        <w:t xml:space="preserve">matières et objets </w:t>
      </w:r>
      <w:r w:rsidRPr="00CE0D78">
        <w:rPr>
          <w:lang w:val="fr-FR"/>
        </w:rPr>
        <w:t>explosibles et</w:t>
      </w:r>
      <w:r>
        <w:rPr>
          <w:lang w:val="fr-FR"/>
        </w:rPr>
        <w:t xml:space="preserve"> les gaz</w:t>
      </w:r>
      <w:r w:rsidRPr="00CE0D78">
        <w:rPr>
          <w:lang w:val="fr-FR"/>
        </w:rPr>
        <w:t xml:space="preserve"> inflammables des objets relevant du No ONU 3363.</w:t>
      </w:r>
    </w:p>
    <w:p w14:paraId="1188CBFA" w14:textId="77777777" w:rsidR="00C85316" w:rsidRPr="00CE0D78" w:rsidRDefault="00C85316" w:rsidP="00C85316">
      <w:pPr>
        <w:pStyle w:val="SingleTxtG"/>
        <w:keepNext/>
        <w:keepLines/>
        <w:rPr>
          <w:lang w:val="fr-FR"/>
        </w:rPr>
      </w:pPr>
      <w:r w:rsidRPr="00CE0D78">
        <w:rPr>
          <w:lang w:val="fr-FR"/>
        </w:rPr>
        <w:lastRenderedPageBreak/>
        <w:t>4.</w:t>
      </w:r>
      <w:r w:rsidRPr="00CE0D78">
        <w:rPr>
          <w:lang w:val="fr-FR"/>
        </w:rPr>
        <w:tab/>
      </w:r>
      <w:r>
        <w:rPr>
          <w:lang w:val="fr-FR"/>
        </w:rPr>
        <w:t xml:space="preserve">Le présent </w:t>
      </w:r>
      <w:r w:rsidRPr="00CE0D78">
        <w:rPr>
          <w:lang w:val="fr-FR"/>
        </w:rPr>
        <w:t>document contient aussi une proposition selon laquelle une très petite quantité de gaz inflammable serait autorisée dans un récipient de faible capacité</w:t>
      </w:r>
      <w:r>
        <w:rPr>
          <w:lang w:val="fr-FR"/>
        </w:rPr>
        <w:t xml:space="preserve"> contenant du gaz (cartouche à gaz), laquelle </w:t>
      </w:r>
      <w:r w:rsidRPr="00CE0D78">
        <w:rPr>
          <w:lang w:val="fr-FR"/>
        </w:rPr>
        <w:t>donne suite à la question concernant l</w:t>
      </w:r>
      <w:r>
        <w:rPr>
          <w:lang w:val="fr-FR"/>
        </w:rPr>
        <w:t>’</w:t>
      </w:r>
      <w:r w:rsidRPr="00CE0D78">
        <w:rPr>
          <w:lang w:val="fr-FR"/>
        </w:rPr>
        <w:t>horloge à l</w:t>
      </w:r>
      <w:r>
        <w:rPr>
          <w:lang w:val="fr-FR"/>
        </w:rPr>
        <w:t>’</w:t>
      </w:r>
      <w:r w:rsidRPr="00CE0D78">
        <w:rPr>
          <w:lang w:val="fr-FR"/>
        </w:rPr>
        <w:t>origine du</w:t>
      </w:r>
      <w:r w:rsidRPr="0091735C">
        <w:rPr>
          <w:lang w:val="fr-FR"/>
        </w:rPr>
        <w:t xml:space="preserve"> </w:t>
      </w:r>
      <w:r w:rsidRPr="00CE0D78">
        <w:rPr>
          <w:lang w:val="fr-FR"/>
        </w:rPr>
        <w:t>document initial soumis à la cinquante-cinquième session du Sous-Comité.</w:t>
      </w:r>
    </w:p>
    <w:p w14:paraId="4805F4C3" w14:textId="77777777" w:rsidR="00C85316" w:rsidRPr="00CE0D78" w:rsidRDefault="00C85316" w:rsidP="00C85316">
      <w:pPr>
        <w:pStyle w:val="SingleTxtG"/>
        <w:rPr>
          <w:lang w:val="fr-FR"/>
        </w:rPr>
      </w:pPr>
      <w:r w:rsidRPr="00CE0D78">
        <w:rPr>
          <w:lang w:val="fr-FR"/>
        </w:rPr>
        <w:t>5.</w:t>
      </w:r>
      <w:r w:rsidRPr="00CE0D78">
        <w:rPr>
          <w:lang w:val="fr-FR"/>
        </w:rPr>
        <w:tab/>
        <w:t>L</w:t>
      </w:r>
      <w:r>
        <w:rPr>
          <w:lang w:val="fr-FR"/>
        </w:rPr>
        <w:t>’</w:t>
      </w:r>
      <w:r w:rsidRPr="00CE0D78">
        <w:rPr>
          <w:lang w:val="fr-FR"/>
        </w:rPr>
        <w:t xml:space="preserve">horloge </w:t>
      </w:r>
      <w:r>
        <w:rPr>
          <w:lang w:val="fr-FR"/>
        </w:rPr>
        <w:t>visée</w:t>
      </w:r>
      <w:r w:rsidRPr="00CE0D78">
        <w:rPr>
          <w:lang w:val="fr-FR"/>
        </w:rPr>
        <w:t xml:space="preserve"> contient une petite capsule scellée renfermant une très petite quantité (moins de 2 g) de gaz inflammable relevant du No ONU 1037, CHLORURE D</w:t>
      </w:r>
      <w:r>
        <w:rPr>
          <w:lang w:val="fr-FR"/>
        </w:rPr>
        <w:t>’</w:t>
      </w:r>
      <w:r w:rsidRPr="00CE0D78">
        <w:rPr>
          <w:lang w:val="fr-FR"/>
        </w:rPr>
        <w:t>ÉTHYLE. En vertu des dispositions du chapitre 3.4</w:t>
      </w:r>
      <w:r>
        <w:rPr>
          <w:lang w:val="fr-FR"/>
        </w:rPr>
        <w:t xml:space="preserve"> pour les petites quantités</w:t>
      </w:r>
      <w:r w:rsidRPr="00CE0D78">
        <w:rPr>
          <w:lang w:val="fr-FR"/>
        </w:rPr>
        <w:t>, le gaz ne peut pas être expédié</w:t>
      </w:r>
      <w:r>
        <w:rPr>
          <w:lang w:val="fr-FR"/>
        </w:rPr>
        <w:t> ;</w:t>
      </w:r>
      <w:r w:rsidRPr="00CE0D78">
        <w:rPr>
          <w:lang w:val="fr-FR"/>
        </w:rPr>
        <w:t xml:space="preserve"> en revanche, la capsule scellée satisfait aux prescriptions du No</w:t>
      </w:r>
      <w:r>
        <w:rPr>
          <w:lang w:val="fr-FR"/>
        </w:rPr>
        <w:t> </w:t>
      </w:r>
      <w:r w:rsidRPr="00CE0D78">
        <w:rPr>
          <w:lang w:val="fr-FR"/>
        </w:rPr>
        <w:t>ONU 2037, CARTOUCHE</w:t>
      </w:r>
      <w:r>
        <w:rPr>
          <w:lang w:val="fr-FR"/>
        </w:rPr>
        <w:t>S</w:t>
      </w:r>
      <w:r w:rsidRPr="00CE0D78">
        <w:rPr>
          <w:lang w:val="fr-FR"/>
        </w:rPr>
        <w:t xml:space="preserve"> À GAZ</w:t>
      </w:r>
      <w:r>
        <w:rPr>
          <w:lang w:val="fr-FR"/>
        </w:rPr>
        <w:t>,</w:t>
      </w:r>
      <w:r w:rsidRPr="00CE0D78">
        <w:rPr>
          <w:lang w:val="fr-FR"/>
        </w:rPr>
        <w:t xml:space="preserve"> et est autorisé</w:t>
      </w:r>
      <w:r>
        <w:rPr>
          <w:lang w:val="fr-FR"/>
        </w:rPr>
        <w:t>e</w:t>
      </w:r>
      <w:r w:rsidRPr="00CE0D78">
        <w:rPr>
          <w:lang w:val="fr-FR"/>
        </w:rPr>
        <w:t xml:space="preserve"> en quantité limitée.</w:t>
      </w:r>
    </w:p>
    <w:p w14:paraId="278BA67F" w14:textId="77777777" w:rsidR="00C85316" w:rsidRPr="00CE0D78" w:rsidRDefault="00C85316" w:rsidP="00C85316">
      <w:pPr>
        <w:pStyle w:val="SingleTxtG"/>
        <w:rPr>
          <w:lang w:val="fr-FR"/>
        </w:rPr>
      </w:pPr>
      <w:r w:rsidRPr="00CE0D78">
        <w:rPr>
          <w:lang w:val="fr-FR"/>
        </w:rPr>
        <w:t>6.</w:t>
      </w:r>
      <w:r w:rsidRPr="00CE0D78">
        <w:rPr>
          <w:lang w:val="fr-FR"/>
        </w:rPr>
        <w:tab/>
        <w:t>Avec une aussi petite quantité de gaz inflammable dans une capsule scellée, les risques pendant le transport sont extrêmement faibles</w:t>
      </w:r>
      <w:r>
        <w:rPr>
          <w:lang w:val="fr-FR"/>
        </w:rPr>
        <w:t> ;</w:t>
      </w:r>
      <w:r w:rsidRPr="00CE0D78">
        <w:rPr>
          <w:lang w:val="fr-FR"/>
        </w:rPr>
        <w:t xml:space="preserve"> de ce fait,</w:t>
      </w:r>
      <w:r>
        <w:rPr>
          <w:lang w:val="fr-FR"/>
        </w:rPr>
        <w:t xml:space="preserve"> il est envisageable </w:t>
      </w:r>
      <w:r w:rsidRPr="00CE0D78">
        <w:rPr>
          <w:lang w:val="fr-FR"/>
        </w:rPr>
        <w:t>qu</w:t>
      </w:r>
      <w:r>
        <w:rPr>
          <w:lang w:val="fr-FR"/>
        </w:rPr>
        <w:t>’</w:t>
      </w:r>
      <w:r w:rsidRPr="00CE0D78">
        <w:rPr>
          <w:lang w:val="fr-FR"/>
        </w:rPr>
        <w:t xml:space="preserve">un </w:t>
      </w:r>
      <w:r>
        <w:rPr>
          <w:lang w:val="fr-FR"/>
        </w:rPr>
        <w:t>objet</w:t>
      </w:r>
      <w:r w:rsidRPr="00CE0D78">
        <w:rPr>
          <w:lang w:val="fr-FR"/>
        </w:rPr>
        <w:t xml:space="preserve"> contenant cette petite quantité de gaz inflammable </w:t>
      </w:r>
      <w:r>
        <w:rPr>
          <w:lang w:val="fr-FR"/>
        </w:rPr>
        <w:t xml:space="preserve">soit </w:t>
      </w:r>
      <w:r w:rsidRPr="00CE0D78">
        <w:rPr>
          <w:lang w:val="fr-FR"/>
        </w:rPr>
        <w:t>classé sous le No ONU 3363, MARCHANDISES DANGEREUSES CONTENUES DANS DES OBJETS.</w:t>
      </w:r>
    </w:p>
    <w:p w14:paraId="337F1ED1" w14:textId="77777777" w:rsidR="00C85316" w:rsidRPr="00CE0D78" w:rsidRDefault="00C85316" w:rsidP="00C85316">
      <w:pPr>
        <w:pStyle w:val="HChG"/>
        <w:rPr>
          <w:lang w:val="fr-FR"/>
        </w:rPr>
      </w:pPr>
      <w:r w:rsidRPr="00CE0D78">
        <w:rPr>
          <w:lang w:val="fr-FR"/>
        </w:rPr>
        <w:tab/>
      </w:r>
      <w:r w:rsidRPr="00CE0D78">
        <w:rPr>
          <w:lang w:val="fr-FR"/>
        </w:rPr>
        <w:tab/>
        <w:t>Proposition 1</w:t>
      </w:r>
    </w:p>
    <w:p w14:paraId="2ECE191C" w14:textId="77777777" w:rsidR="00C85316" w:rsidRPr="00CE0D78" w:rsidRDefault="00C85316" w:rsidP="00C85316">
      <w:pPr>
        <w:pStyle w:val="SingleTxtG"/>
        <w:rPr>
          <w:lang w:val="fr-FR"/>
        </w:rPr>
      </w:pPr>
      <w:r w:rsidRPr="00CE0D78">
        <w:rPr>
          <w:lang w:val="fr-FR"/>
        </w:rPr>
        <w:t>7.</w:t>
      </w:r>
      <w:r w:rsidRPr="00CE0D78">
        <w:rPr>
          <w:lang w:val="fr-FR"/>
        </w:rPr>
        <w:tab/>
        <w:t>Le Sous-Comité est invité à décider si la disposition spéciale 301 devrait être révisée comme suit pour qu</w:t>
      </w:r>
      <w:r>
        <w:rPr>
          <w:lang w:val="fr-FR"/>
        </w:rPr>
        <w:t>’</w:t>
      </w:r>
      <w:r w:rsidRPr="00CE0D78">
        <w:rPr>
          <w:lang w:val="fr-FR"/>
        </w:rPr>
        <w:t xml:space="preserve">une petite quantité de gaz inflammable classé sous le No ONU 2037 puisse être contenue dans un objet relevant du No ONU 3363 (ajouts </w:t>
      </w:r>
      <w:r w:rsidRPr="00CE0D78">
        <w:rPr>
          <w:u w:val="single"/>
          <w:lang w:val="fr-FR"/>
        </w:rPr>
        <w:t>soulignés</w:t>
      </w:r>
      <w:r w:rsidRPr="00CE0D78">
        <w:rPr>
          <w:lang w:val="fr-FR"/>
        </w:rPr>
        <w:t>)</w:t>
      </w:r>
      <w:r>
        <w:rPr>
          <w:lang w:val="fr-FR"/>
        </w:rPr>
        <w:t> </w:t>
      </w:r>
      <w:r w:rsidRPr="00CE0D78">
        <w:rPr>
          <w:lang w:val="fr-FR"/>
        </w:rPr>
        <w:t>:</w:t>
      </w:r>
    </w:p>
    <w:p w14:paraId="33A61134" w14:textId="77777777" w:rsidR="00C85316" w:rsidRPr="00CE0D78" w:rsidRDefault="00C85316" w:rsidP="00C85316">
      <w:pPr>
        <w:pStyle w:val="SingleTxtG"/>
        <w:ind w:left="2835" w:hanging="1134"/>
        <w:rPr>
          <w:lang w:val="fr-FR"/>
        </w:rPr>
      </w:pPr>
      <w:r w:rsidRPr="00CE0D78">
        <w:rPr>
          <w:lang w:val="fr-FR"/>
        </w:rPr>
        <w:t>« 301</w:t>
      </w:r>
      <w:r w:rsidRPr="00CE0D78">
        <w:rPr>
          <w:lang w:val="fr-FR"/>
        </w:rPr>
        <w:tab/>
        <w:t>Cette rubrique ne s</w:t>
      </w:r>
      <w:r>
        <w:rPr>
          <w:lang w:val="fr-FR"/>
        </w:rPr>
        <w:t>’</w:t>
      </w:r>
      <w:r w:rsidRPr="00CE0D78">
        <w:rPr>
          <w:lang w:val="fr-FR"/>
        </w:rPr>
        <w:t>applique qu</w:t>
      </w:r>
      <w:r>
        <w:rPr>
          <w:lang w:val="fr-FR"/>
        </w:rPr>
        <w:t>’</w:t>
      </w:r>
      <w:r w:rsidRPr="00CE0D78">
        <w:rPr>
          <w:lang w:val="fr-FR"/>
        </w:rPr>
        <w:t>aux objets tels que machines, appareils ou dispositifs contenant des marchandises dangereuses en tant que résidus ou en tant qu</w:t>
      </w:r>
      <w:r>
        <w:rPr>
          <w:lang w:val="fr-FR"/>
        </w:rPr>
        <w:t>’</w:t>
      </w:r>
      <w:r w:rsidRPr="00CE0D78">
        <w:rPr>
          <w:lang w:val="fr-FR"/>
        </w:rPr>
        <w:t>élément intégrant. Elle ne doit pas être utilisée pour des objets qui font déjà l</w:t>
      </w:r>
      <w:r>
        <w:rPr>
          <w:lang w:val="fr-FR"/>
        </w:rPr>
        <w:t>’</w:t>
      </w:r>
      <w:r w:rsidRPr="00CE0D78">
        <w:rPr>
          <w:lang w:val="fr-FR"/>
        </w:rPr>
        <w:t>objet d</w:t>
      </w:r>
      <w:r>
        <w:rPr>
          <w:lang w:val="fr-FR"/>
        </w:rPr>
        <w:t>’</w:t>
      </w:r>
      <w:r w:rsidRPr="00CE0D78">
        <w:rPr>
          <w:lang w:val="fr-FR"/>
        </w:rPr>
        <w:t xml:space="preserve">une désignation officielle de transport dans la Liste des marchandises dangereuses du chapitre 3.2. Les objets transportés sous cette rubrique ne doivent contenir que des marchandises dangereuses dont le transport est autorisé en vertu des dispositions du chapitre 3.4. </w:t>
      </w:r>
      <w:r w:rsidRPr="00CE0D78">
        <w:rPr>
          <w:u w:val="single"/>
          <w:lang w:val="fr-FR"/>
        </w:rPr>
        <w:t>Ce qui précède ne s</w:t>
      </w:r>
      <w:r>
        <w:rPr>
          <w:u w:val="single"/>
          <w:lang w:val="fr-FR"/>
        </w:rPr>
        <w:t>’</w:t>
      </w:r>
      <w:r w:rsidRPr="00CE0D78">
        <w:rPr>
          <w:u w:val="single"/>
          <w:lang w:val="fr-FR"/>
        </w:rPr>
        <w:t>applique pas aux Nos ONU 0012, 0014 et 0055, qui ne sont pas autorisés sous le No ONU 3363.</w:t>
      </w:r>
      <w:r w:rsidRPr="00CE0D78">
        <w:rPr>
          <w:lang w:val="fr-FR"/>
        </w:rPr>
        <w:t xml:space="preserve"> La quantité de marchandises dangereuses contenues dans les objets ne doit pas dépasser celle qui est indiquée pour chacune d</w:t>
      </w:r>
      <w:r>
        <w:rPr>
          <w:lang w:val="fr-FR"/>
        </w:rPr>
        <w:t>’</w:t>
      </w:r>
      <w:r w:rsidRPr="00CE0D78">
        <w:rPr>
          <w:lang w:val="fr-FR"/>
        </w:rPr>
        <w:t>elles dans la colonne 7a de la Liste des marchandises dangereuses du chapitre 3.2,</w:t>
      </w:r>
      <w:r w:rsidRPr="00CE0D78">
        <w:rPr>
          <w:u w:val="single"/>
          <w:lang w:val="fr-FR"/>
        </w:rPr>
        <w:t xml:space="preserve"> à l</w:t>
      </w:r>
      <w:r>
        <w:rPr>
          <w:u w:val="single"/>
          <w:lang w:val="fr-FR"/>
        </w:rPr>
        <w:t>’</w:t>
      </w:r>
      <w:r w:rsidRPr="00CE0D78">
        <w:rPr>
          <w:u w:val="single"/>
          <w:lang w:val="fr-FR"/>
        </w:rPr>
        <w:t>exception des gaz inflammables relevant du No ONU 2037 pour lesquels la quantité dans tout objet ne doit pas dépasser 2 g.</w:t>
      </w:r>
      <w:r w:rsidRPr="00CE0D78">
        <w:rPr>
          <w:lang w:val="fr-FR"/>
        </w:rPr>
        <w:t xml:space="preserve"> Si les objets contiennent plus d</w:t>
      </w:r>
      <w:r>
        <w:rPr>
          <w:lang w:val="fr-FR"/>
        </w:rPr>
        <w:t>’</w:t>
      </w:r>
      <w:r w:rsidRPr="00CE0D78">
        <w:rPr>
          <w:lang w:val="fr-FR"/>
        </w:rPr>
        <w:t>une marchandise dangereuse, les matières doivent être enfermées individuellement de manière à ne pas pouvoir réagir dangereusement entre elles durant le transport (voir 4.1.1.6). S</w:t>
      </w:r>
      <w:r>
        <w:rPr>
          <w:lang w:val="fr-FR"/>
        </w:rPr>
        <w:t>’</w:t>
      </w:r>
      <w:r w:rsidRPr="00CE0D78">
        <w:rPr>
          <w:lang w:val="fr-FR"/>
        </w:rPr>
        <w:t>il est prescrit que les marchandises dangereuses liquides doivent garder une orientation déterminée, des flèches d</w:t>
      </w:r>
      <w:r>
        <w:rPr>
          <w:lang w:val="fr-FR"/>
        </w:rPr>
        <w:t>’</w:t>
      </w:r>
      <w:r w:rsidRPr="00CE0D78">
        <w:rPr>
          <w:lang w:val="fr-FR"/>
        </w:rPr>
        <w:t xml:space="preserve">orientation doivent être apposées sur au moins deux faces verticales opposées, les pointes des flèches pointant vers le haut, conformément au 5.2.1.7.1. </w:t>
      </w:r>
    </w:p>
    <w:p w14:paraId="04EEBD0E" w14:textId="77777777" w:rsidR="00C85316" w:rsidRPr="00CE0D78" w:rsidRDefault="00C85316" w:rsidP="00C85316">
      <w:pPr>
        <w:pStyle w:val="SingleTxtG"/>
        <w:ind w:left="2835"/>
        <w:rPr>
          <w:lang w:val="fr-FR"/>
        </w:rPr>
      </w:pPr>
      <w:r w:rsidRPr="00CE0D78">
        <w:rPr>
          <w:lang w:val="fr-FR"/>
        </w:rPr>
        <w:t>L</w:t>
      </w:r>
      <w:r>
        <w:rPr>
          <w:lang w:val="fr-FR"/>
        </w:rPr>
        <w:t>’</w:t>
      </w:r>
      <w:r w:rsidRPr="00CE0D78">
        <w:rPr>
          <w:lang w:val="fr-FR"/>
        </w:rPr>
        <w:t>autorité compétente peut accorder des dérogations pour le transport de machines ou appareils auxquels s</w:t>
      </w:r>
      <w:r>
        <w:rPr>
          <w:lang w:val="fr-FR"/>
        </w:rPr>
        <w:t>’</w:t>
      </w:r>
      <w:r w:rsidRPr="00CE0D78">
        <w:rPr>
          <w:lang w:val="fr-FR"/>
        </w:rPr>
        <w:t>appliquerait normalement cette rubrique. ».</w:t>
      </w:r>
    </w:p>
    <w:p w14:paraId="55D7684C" w14:textId="77777777" w:rsidR="00C85316" w:rsidRPr="00CE0D78" w:rsidRDefault="00C85316" w:rsidP="00C85316">
      <w:pPr>
        <w:pStyle w:val="SingleTxtG"/>
        <w:keepNext/>
        <w:rPr>
          <w:lang w:val="fr-FR"/>
        </w:rPr>
      </w:pPr>
      <w:r w:rsidRPr="00CE0D78">
        <w:rPr>
          <w:lang w:val="fr-FR"/>
        </w:rPr>
        <w:lastRenderedPageBreak/>
        <w:t>8.</w:t>
      </w:r>
      <w:r w:rsidRPr="00CE0D78">
        <w:rPr>
          <w:lang w:val="fr-FR"/>
        </w:rPr>
        <w:tab/>
        <w:t>Si cet</w:t>
      </w:r>
      <w:r>
        <w:rPr>
          <w:lang w:val="fr-FR"/>
        </w:rPr>
        <w:t>te</w:t>
      </w:r>
      <w:r w:rsidRPr="00CE0D78">
        <w:rPr>
          <w:lang w:val="fr-FR"/>
        </w:rPr>
        <w:t xml:space="preserve"> </w:t>
      </w:r>
      <w:r>
        <w:rPr>
          <w:lang w:val="fr-FR"/>
        </w:rPr>
        <w:t>proposition d’</w:t>
      </w:r>
      <w:r w:rsidRPr="00CE0D78">
        <w:rPr>
          <w:lang w:val="fr-FR"/>
        </w:rPr>
        <w:t>amendement est accepté</w:t>
      </w:r>
      <w:r>
        <w:rPr>
          <w:lang w:val="fr-FR"/>
        </w:rPr>
        <w:t>e</w:t>
      </w:r>
      <w:r w:rsidRPr="00CE0D78">
        <w:rPr>
          <w:lang w:val="fr-FR"/>
        </w:rPr>
        <w:t>, l</w:t>
      </w:r>
      <w:r>
        <w:rPr>
          <w:lang w:val="fr-FR"/>
        </w:rPr>
        <w:t>’</w:t>
      </w:r>
      <w:r w:rsidRPr="00CE0D78">
        <w:rPr>
          <w:lang w:val="fr-FR"/>
        </w:rPr>
        <w:t>instruction d</w:t>
      </w:r>
      <w:r>
        <w:rPr>
          <w:lang w:val="fr-FR"/>
        </w:rPr>
        <w:t>’</w:t>
      </w:r>
      <w:r w:rsidRPr="00CE0D78">
        <w:rPr>
          <w:lang w:val="fr-FR"/>
        </w:rPr>
        <w:t>emballage P907 devra faire l</w:t>
      </w:r>
      <w:r>
        <w:rPr>
          <w:lang w:val="fr-FR"/>
        </w:rPr>
        <w:t>’</w:t>
      </w:r>
      <w:r w:rsidRPr="00CE0D78">
        <w:rPr>
          <w:lang w:val="fr-FR"/>
        </w:rPr>
        <w:t>objet de l</w:t>
      </w:r>
      <w:r>
        <w:rPr>
          <w:lang w:val="fr-FR"/>
        </w:rPr>
        <w:t>’</w:t>
      </w:r>
      <w:r w:rsidRPr="00CE0D78">
        <w:rPr>
          <w:lang w:val="fr-FR"/>
        </w:rPr>
        <w:t>amendement corollaire suivant</w:t>
      </w:r>
      <w:r>
        <w:rPr>
          <w:lang w:val="fr-FR"/>
        </w:rPr>
        <w:t> </w:t>
      </w:r>
      <w:r w:rsidRPr="00CE0D78">
        <w:rPr>
          <w:lang w:val="fr-FR"/>
        </w:rPr>
        <w:t xml:space="preserve">: </w:t>
      </w:r>
    </w:p>
    <w:tbl>
      <w:tblPr>
        <w:tblStyle w:val="TableGrid"/>
        <w:tblW w:w="8504" w:type="dxa"/>
        <w:tblInd w:w="1134" w:type="dxa"/>
        <w:tblLayout w:type="fixed"/>
        <w:tblLook w:val="04A0" w:firstRow="1" w:lastRow="0" w:firstColumn="1" w:lastColumn="0" w:noHBand="0" w:noVBand="1"/>
      </w:tblPr>
      <w:tblGrid>
        <w:gridCol w:w="8504"/>
      </w:tblGrid>
      <w:tr w:rsidR="00C85316" w:rsidRPr="00CE0D78" w14:paraId="158BF44B" w14:textId="77777777" w:rsidTr="000A62BF">
        <w:tc>
          <w:tcPr>
            <w:tcW w:w="8646" w:type="dxa"/>
            <w:tcBorders>
              <w:top w:val="single" w:sz="4" w:space="0" w:color="auto"/>
              <w:left w:val="single" w:sz="4" w:space="0" w:color="auto"/>
              <w:bottom w:val="single" w:sz="4" w:space="0" w:color="auto"/>
              <w:right w:val="single" w:sz="4" w:space="0" w:color="auto"/>
            </w:tcBorders>
            <w:hideMark/>
          </w:tcPr>
          <w:p w14:paraId="43C91DE0" w14:textId="77777777" w:rsidR="00C85316" w:rsidRPr="00CE0D78" w:rsidRDefault="00C85316" w:rsidP="00C85316">
            <w:pPr>
              <w:keepNext/>
              <w:keepLines/>
              <w:tabs>
                <w:tab w:val="left" w:pos="2814"/>
                <w:tab w:val="left" w:pos="7482"/>
              </w:tabs>
              <w:spacing w:before="40" w:after="40" w:line="220" w:lineRule="exact"/>
              <w:ind w:left="57" w:right="57"/>
              <w:rPr>
                <w:b/>
                <w:sz w:val="18"/>
                <w:szCs w:val="18"/>
                <w:lang w:val="fr-FR"/>
              </w:rPr>
            </w:pPr>
            <w:r w:rsidRPr="00CE0D78">
              <w:rPr>
                <w:b/>
                <w:sz w:val="18"/>
                <w:szCs w:val="18"/>
                <w:lang w:val="fr-FR"/>
              </w:rPr>
              <w:t>P907</w:t>
            </w:r>
            <w:r w:rsidRPr="00CE0D78">
              <w:rPr>
                <w:b/>
                <w:sz w:val="18"/>
                <w:szCs w:val="18"/>
                <w:lang w:val="fr-FR"/>
              </w:rPr>
              <w:tab/>
              <w:t>INSTRUCTION D</w:t>
            </w:r>
            <w:r>
              <w:rPr>
                <w:b/>
                <w:sz w:val="18"/>
                <w:szCs w:val="18"/>
                <w:lang w:val="fr-FR"/>
              </w:rPr>
              <w:t>’</w:t>
            </w:r>
            <w:r w:rsidRPr="00CE0D78">
              <w:rPr>
                <w:b/>
                <w:sz w:val="18"/>
                <w:szCs w:val="18"/>
                <w:lang w:val="fr-FR"/>
              </w:rPr>
              <w:t>EMBALLAGE                                                       P907</w:t>
            </w:r>
          </w:p>
        </w:tc>
      </w:tr>
      <w:tr w:rsidR="00C85316" w:rsidRPr="0091735C" w14:paraId="4A5350F3" w14:textId="77777777" w:rsidTr="000A62BF">
        <w:tc>
          <w:tcPr>
            <w:tcW w:w="8646" w:type="dxa"/>
            <w:tcBorders>
              <w:top w:val="single" w:sz="4" w:space="0" w:color="auto"/>
              <w:left w:val="single" w:sz="4" w:space="0" w:color="auto"/>
              <w:bottom w:val="single" w:sz="4" w:space="0" w:color="auto"/>
              <w:right w:val="single" w:sz="4" w:space="0" w:color="auto"/>
            </w:tcBorders>
            <w:hideMark/>
          </w:tcPr>
          <w:p w14:paraId="35279386" w14:textId="77777777" w:rsidR="00C85316" w:rsidRPr="00CE0D78" w:rsidRDefault="00C85316" w:rsidP="00C85316">
            <w:pPr>
              <w:pStyle w:val="Default"/>
              <w:keepNext/>
              <w:spacing w:before="40" w:after="40" w:line="220" w:lineRule="exact"/>
              <w:ind w:left="57" w:right="57"/>
              <w:rPr>
                <w:sz w:val="18"/>
                <w:szCs w:val="18"/>
                <w:lang w:val="fr-FR"/>
              </w:rPr>
            </w:pPr>
            <w:r w:rsidRPr="00CE0D78">
              <w:rPr>
                <w:sz w:val="18"/>
                <w:szCs w:val="18"/>
                <w:lang w:val="fr-FR"/>
              </w:rPr>
              <w:t>Cette instruction s</w:t>
            </w:r>
            <w:r>
              <w:rPr>
                <w:sz w:val="18"/>
                <w:szCs w:val="18"/>
                <w:lang w:val="fr-FR"/>
              </w:rPr>
              <w:t>’</w:t>
            </w:r>
            <w:r w:rsidRPr="00CE0D78">
              <w:rPr>
                <w:sz w:val="18"/>
                <w:szCs w:val="18"/>
                <w:lang w:val="fr-FR"/>
              </w:rPr>
              <w:t>applique aux objets tels que machines, appareils ou dispositifs relevant du No ONU 3363.</w:t>
            </w:r>
          </w:p>
        </w:tc>
      </w:tr>
      <w:tr w:rsidR="00C85316" w:rsidRPr="00CE0D78" w14:paraId="0457DBD8" w14:textId="77777777" w:rsidTr="000A62BF">
        <w:tc>
          <w:tcPr>
            <w:tcW w:w="8646" w:type="dxa"/>
            <w:tcBorders>
              <w:top w:val="single" w:sz="4" w:space="0" w:color="auto"/>
              <w:left w:val="single" w:sz="4" w:space="0" w:color="auto"/>
              <w:bottom w:val="single" w:sz="4" w:space="0" w:color="auto"/>
              <w:right w:val="single" w:sz="4" w:space="0" w:color="auto"/>
            </w:tcBorders>
          </w:tcPr>
          <w:p w14:paraId="795548E0" w14:textId="77777777" w:rsidR="00C85316" w:rsidRPr="00CE0D78" w:rsidRDefault="00C85316" w:rsidP="00C85316">
            <w:pPr>
              <w:keepNext/>
              <w:keepLines/>
              <w:spacing w:before="40" w:after="40" w:line="280" w:lineRule="exact"/>
              <w:ind w:left="57" w:right="57"/>
              <w:rPr>
                <w:sz w:val="18"/>
                <w:szCs w:val="18"/>
                <w:lang w:val="fr-FR"/>
              </w:rPr>
            </w:pPr>
            <w:r w:rsidRPr="00CE0D78">
              <w:rPr>
                <w:sz w:val="18"/>
                <w:szCs w:val="18"/>
                <w:lang w:val="fr-FR"/>
              </w:rPr>
              <w:t>[...]</w:t>
            </w:r>
          </w:p>
          <w:p w14:paraId="57D9A7F8" w14:textId="77777777" w:rsidR="00C85316" w:rsidRPr="00CE0D78" w:rsidRDefault="00C85316" w:rsidP="00C85316">
            <w:pPr>
              <w:pStyle w:val="Default"/>
              <w:keepNext/>
              <w:spacing w:before="40" w:after="40" w:line="280" w:lineRule="exact"/>
              <w:ind w:left="57" w:right="57"/>
              <w:jc w:val="both"/>
              <w:rPr>
                <w:sz w:val="18"/>
                <w:szCs w:val="18"/>
                <w:lang w:val="fr-FR"/>
              </w:rPr>
            </w:pPr>
            <w:r w:rsidRPr="00CE0D78">
              <w:rPr>
                <w:sz w:val="18"/>
                <w:szCs w:val="18"/>
                <w:lang w:val="fr-FR"/>
              </w:rPr>
              <w:t>Les récipients contenant des marchandises dangereuses doivent satisfaire aux dispositions générales énoncées au 4.1.1, à l</w:t>
            </w:r>
            <w:r>
              <w:rPr>
                <w:sz w:val="18"/>
                <w:szCs w:val="18"/>
                <w:lang w:val="fr-FR"/>
              </w:rPr>
              <w:t>’</w:t>
            </w:r>
            <w:r w:rsidRPr="00CE0D78">
              <w:rPr>
                <w:sz w:val="18"/>
                <w:szCs w:val="18"/>
                <w:lang w:val="fr-FR"/>
              </w:rPr>
              <w:t xml:space="preserve">exception des 4.1.1.3, 4.1.1.4, 4.1.1.12 et 4.1.1.14. Dans le cas des gaz de la division </w:t>
            </w:r>
            <w:r w:rsidRPr="00CE0D78">
              <w:rPr>
                <w:sz w:val="18"/>
                <w:szCs w:val="18"/>
                <w:u w:val="single"/>
                <w:lang w:val="fr-FR"/>
              </w:rPr>
              <w:t>2.1 et</w:t>
            </w:r>
            <w:r w:rsidRPr="00CE0D78">
              <w:rPr>
                <w:sz w:val="18"/>
                <w:szCs w:val="18"/>
                <w:lang w:val="fr-FR"/>
              </w:rPr>
              <w:t xml:space="preserve"> 2.2, la bouteille à gaz ou le récipient intérieur, leur contenu et leur taux de remplissage doivent être approuvés par l</w:t>
            </w:r>
            <w:r>
              <w:rPr>
                <w:sz w:val="18"/>
                <w:szCs w:val="18"/>
                <w:lang w:val="fr-FR"/>
              </w:rPr>
              <w:t>’</w:t>
            </w:r>
            <w:r w:rsidRPr="00CE0D78">
              <w:rPr>
                <w:sz w:val="18"/>
                <w:szCs w:val="18"/>
                <w:lang w:val="fr-FR"/>
              </w:rPr>
              <w:t xml:space="preserve">autorité compétente du pays dans lequel ils ont été remplis. </w:t>
            </w:r>
          </w:p>
          <w:p w14:paraId="540DB2D4" w14:textId="77777777" w:rsidR="00C85316" w:rsidRDefault="00C85316" w:rsidP="00C85316">
            <w:pPr>
              <w:keepNext/>
              <w:keepLines/>
              <w:spacing w:before="40" w:after="40" w:line="280" w:lineRule="exact"/>
              <w:ind w:left="57" w:right="57"/>
              <w:rPr>
                <w:sz w:val="18"/>
                <w:szCs w:val="18"/>
                <w:lang w:val="fr-FR"/>
              </w:rPr>
            </w:pPr>
            <w:r w:rsidRPr="00CE0D78">
              <w:rPr>
                <w:sz w:val="18"/>
                <w:szCs w:val="18"/>
                <w:lang w:val="fr-FR"/>
              </w:rPr>
              <w:t>[...]</w:t>
            </w:r>
          </w:p>
          <w:p w14:paraId="2C9251C6" w14:textId="77777777" w:rsidR="00C85316" w:rsidRPr="00CE0D78" w:rsidRDefault="00C85316" w:rsidP="00C85316">
            <w:pPr>
              <w:keepNext/>
              <w:keepLines/>
              <w:spacing w:before="40" w:after="40" w:line="280" w:lineRule="exact"/>
              <w:ind w:left="57" w:right="57"/>
              <w:rPr>
                <w:sz w:val="18"/>
                <w:szCs w:val="18"/>
                <w:lang w:val="fr-FR"/>
              </w:rPr>
            </w:pPr>
          </w:p>
        </w:tc>
      </w:tr>
    </w:tbl>
    <w:p w14:paraId="3999A8D0" w14:textId="77777777" w:rsidR="00C85316" w:rsidRPr="00CE0D78" w:rsidRDefault="00C85316" w:rsidP="00FC3110">
      <w:pPr>
        <w:pStyle w:val="HChG"/>
        <w:rPr>
          <w:lang w:val="fr-FR"/>
        </w:rPr>
      </w:pPr>
      <w:r w:rsidRPr="00CE0D78">
        <w:rPr>
          <w:lang w:val="fr-FR"/>
        </w:rPr>
        <w:tab/>
      </w:r>
      <w:r w:rsidRPr="00CE0D78">
        <w:rPr>
          <w:lang w:val="fr-FR"/>
        </w:rPr>
        <w:tab/>
        <w:t>Proposition 2</w:t>
      </w:r>
    </w:p>
    <w:p w14:paraId="56EE0801" w14:textId="77777777" w:rsidR="00C85316" w:rsidRPr="00CE0D78" w:rsidRDefault="00C85316" w:rsidP="00C85316">
      <w:pPr>
        <w:pStyle w:val="SingleTxtG"/>
        <w:rPr>
          <w:lang w:val="fr-FR"/>
        </w:rPr>
      </w:pPr>
      <w:r w:rsidRPr="00CE0D78">
        <w:rPr>
          <w:lang w:val="fr-FR"/>
        </w:rPr>
        <w:t>9.</w:t>
      </w:r>
      <w:r w:rsidRPr="00CE0D78">
        <w:rPr>
          <w:lang w:val="fr-FR"/>
        </w:rPr>
        <w:tab/>
        <w:t>Si la proposition 1 n</w:t>
      </w:r>
      <w:r>
        <w:rPr>
          <w:lang w:val="fr-FR"/>
        </w:rPr>
        <w:t>’</w:t>
      </w:r>
      <w:r w:rsidRPr="00CE0D78">
        <w:rPr>
          <w:lang w:val="fr-FR"/>
        </w:rPr>
        <w:t>est pas acceptée, le Sous-Comité est invité à examiner la révision ci-après de la disposition spéciale 301</w:t>
      </w:r>
      <w:r w:rsidR="00FC3110">
        <w:rPr>
          <w:lang w:val="fr-FR"/>
        </w:rPr>
        <w:t> </w:t>
      </w:r>
      <w:r w:rsidRPr="00CE0D78">
        <w:rPr>
          <w:lang w:val="fr-FR"/>
        </w:rPr>
        <w:t>:</w:t>
      </w:r>
    </w:p>
    <w:p w14:paraId="04B60368" w14:textId="77777777" w:rsidR="00C85316" w:rsidRPr="00CE0D78" w:rsidRDefault="00C85316" w:rsidP="00FC3110">
      <w:pPr>
        <w:pStyle w:val="SingleTxtG"/>
        <w:ind w:left="2835" w:hanging="1134"/>
        <w:rPr>
          <w:lang w:val="fr-FR"/>
        </w:rPr>
      </w:pPr>
      <w:r w:rsidRPr="00CE0D78">
        <w:rPr>
          <w:lang w:val="fr-FR"/>
        </w:rPr>
        <w:t>« 301</w:t>
      </w:r>
      <w:r w:rsidRPr="00CE0D78">
        <w:rPr>
          <w:lang w:val="fr-FR"/>
        </w:rPr>
        <w:tab/>
        <w:t>Cette rubrique ne s</w:t>
      </w:r>
      <w:r>
        <w:rPr>
          <w:lang w:val="fr-FR"/>
        </w:rPr>
        <w:t>’</w:t>
      </w:r>
      <w:r w:rsidRPr="00CE0D78">
        <w:rPr>
          <w:lang w:val="fr-FR"/>
        </w:rPr>
        <w:t>applique qu</w:t>
      </w:r>
      <w:r>
        <w:rPr>
          <w:lang w:val="fr-FR"/>
        </w:rPr>
        <w:t>’</w:t>
      </w:r>
      <w:r w:rsidRPr="00CE0D78">
        <w:rPr>
          <w:lang w:val="fr-FR"/>
        </w:rPr>
        <w:t>aux objets tels que machines, appareils ou dispositifs contenant des marchandises dangereuses en tant que résidus ou en tant qu</w:t>
      </w:r>
      <w:r>
        <w:rPr>
          <w:lang w:val="fr-FR"/>
        </w:rPr>
        <w:t>’</w:t>
      </w:r>
      <w:r w:rsidRPr="00CE0D78">
        <w:rPr>
          <w:lang w:val="fr-FR"/>
        </w:rPr>
        <w:t>élément intégrant. Elle ne doit pas être utilisée pour des objets qui font déjà l</w:t>
      </w:r>
      <w:r>
        <w:rPr>
          <w:lang w:val="fr-FR"/>
        </w:rPr>
        <w:t>’</w:t>
      </w:r>
      <w:r w:rsidRPr="00CE0D78">
        <w:rPr>
          <w:lang w:val="fr-FR"/>
        </w:rPr>
        <w:t>objet d</w:t>
      </w:r>
      <w:r>
        <w:rPr>
          <w:lang w:val="fr-FR"/>
        </w:rPr>
        <w:t>’</w:t>
      </w:r>
      <w:r w:rsidRPr="00CE0D78">
        <w:rPr>
          <w:lang w:val="fr-FR"/>
        </w:rPr>
        <w:t xml:space="preserve">une désignation officielle de transport dans la Liste des marchandises dangereuses du chapitre 3.2. Les objets transportés sous cette rubrique ne doivent contenir que des marchandises dangereuses dont le transport est autorisé en vertu des dispositions du chapitre 3.4. </w:t>
      </w:r>
      <w:r w:rsidRPr="00CE0D78">
        <w:rPr>
          <w:u w:val="single"/>
          <w:lang w:val="fr-FR"/>
        </w:rPr>
        <w:t>Ce qui précède ne s</w:t>
      </w:r>
      <w:r>
        <w:rPr>
          <w:u w:val="single"/>
          <w:lang w:val="fr-FR"/>
        </w:rPr>
        <w:t>’</w:t>
      </w:r>
      <w:r w:rsidRPr="00CE0D78">
        <w:rPr>
          <w:u w:val="single"/>
          <w:lang w:val="fr-FR"/>
        </w:rPr>
        <w:t>applique pas aux Nos ONU 0012, 0014 et 0055, ni aux ga</w:t>
      </w:r>
      <w:r>
        <w:rPr>
          <w:u w:val="single"/>
          <w:lang w:val="fr-FR"/>
        </w:rPr>
        <w:t>z</w:t>
      </w:r>
      <w:r w:rsidRPr="00CE0D78">
        <w:rPr>
          <w:u w:val="single"/>
          <w:lang w:val="fr-FR"/>
        </w:rPr>
        <w:t xml:space="preserve"> inflammables relevant du No ONU </w:t>
      </w:r>
      <w:r>
        <w:rPr>
          <w:u w:val="single"/>
          <w:lang w:val="fr-FR"/>
        </w:rPr>
        <w:t>2</w:t>
      </w:r>
      <w:r w:rsidRPr="00CE0D78">
        <w:rPr>
          <w:u w:val="single"/>
          <w:lang w:val="fr-FR"/>
        </w:rPr>
        <w:t>037, qui ne sont pas autorisés sous le No ONU 3363.</w:t>
      </w:r>
      <w:r w:rsidRPr="00CE0D78">
        <w:rPr>
          <w:lang w:val="fr-FR"/>
        </w:rPr>
        <w:t xml:space="preserve"> La quantité de marchandises dangereuses contenues dans les objets ne doit pas dépasser celle qui est indiquée pour chacune d</w:t>
      </w:r>
      <w:r>
        <w:rPr>
          <w:lang w:val="fr-FR"/>
        </w:rPr>
        <w:t>’</w:t>
      </w:r>
      <w:r w:rsidRPr="00CE0D78">
        <w:rPr>
          <w:lang w:val="fr-FR"/>
        </w:rPr>
        <w:t>elles dans la colonne 7a de la Liste des marchandises dangereuses du chapitre 3.2. Si les objets contiennent plus d</w:t>
      </w:r>
      <w:r>
        <w:rPr>
          <w:lang w:val="fr-FR"/>
        </w:rPr>
        <w:t>’</w:t>
      </w:r>
      <w:r w:rsidRPr="00CE0D78">
        <w:rPr>
          <w:lang w:val="fr-FR"/>
        </w:rPr>
        <w:t>une marchandise dangereuse, les matières doivent être enfermées individuellement de manière à ne pas pouvoir réagir dangereusement entre elles durant le transport (voir 4.1.1.6). S</w:t>
      </w:r>
      <w:r>
        <w:rPr>
          <w:lang w:val="fr-FR"/>
        </w:rPr>
        <w:t>’</w:t>
      </w:r>
      <w:r w:rsidRPr="00CE0D78">
        <w:rPr>
          <w:lang w:val="fr-FR"/>
        </w:rPr>
        <w:t>il est prescrit que les marchandises dangereuses liquides doivent garder une orientation déterminée, des flèches d</w:t>
      </w:r>
      <w:r>
        <w:rPr>
          <w:lang w:val="fr-FR"/>
        </w:rPr>
        <w:t>’</w:t>
      </w:r>
      <w:r w:rsidRPr="00CE0D78">
        <w:rPr>
          <w:lang w:val="fr-FR"/>
        </w:rPr>
        <w:t>orientation doivent être apposées sur au moins deux faces verticales opposées, les pointes des flèches pointant vers le haut, conformément au 5.2.1.7.1.</w:t>
      </w:r>
    </w:p>
    <w:p w14:paraId="55AD559E" w14:textId="77777777" w:rsidR="00C85316" w:rsidRDefault="00C85316" w:rsidP="00FC3110">
      <w:pPr>
        <w:pStyle w:val="SingleTxtG"/>
        <w:ind w:left="2835"/>
        <w:rPr>
          <w:lang w:val="fr-FR"/>
        </w:rPr>
      </w:pPr>
      <w:r w:rsidRPr="00CE0D78">
        <w:rPr>
          <w:lang w:val="fr-FR"/>
        </w:rPr>
        <w:t>L</w:t>
      </w:r>
      <w:r>
        <w:rPr>
          <w:lang w:val="fr-FR"/>
        </w:rPr>
        <w:t>’</w:t>
      </w:r>
      <w:r w:rsidRPr="00CE0D78">
        <w:rPr>
          <w:lang w:val="fr-FR"/>
        </w:rPr>
        <w:t>autorité compétente peut accorder des dérogations pour le transport de machines ou appareils auxquels s</w:t>
      </w:r>
      <w:r>
        <w:rPr>
          <w:lang w:val="fr-FR"/>
        </w:rPr>
        <w:t>’</w:t>
      </w:r>
      <w:r w:rsidRPr="00CE0D78">
        <w:rPr>
          <w:lang w:val="fr-FR"/>
        </w:rPr>
        <w:t>appliquerait normalement cette rubrique. ».</w:t>
      </w:r>
    </w:p>
    <w:p w14:paraId="75BA6802" w14:textId="77777777" w:rsidR="00446FE5" w:rsidRPr="00FC3110" w:rsidRDefault="00C85316" w:rsidP="00FC3110">
      <w:pPr>
        <w:pStyle w:val="SingleTxtG"/>
        <w:spacing w:before="240" w:after="0"/>
        <w:jc w:val="center"/>
        <w:rPr>
          <w:u w:val="single"/>
        </w:rPr>
      </w:pPr>
      <w:r>
        <w:rPr>
          <w:u w:val="single"/>
        </w:rPr>
        <w:tab/>
      </w:r>
      <w:r>
        <w:rPr>
          <w:u w:val="single"/>
        </w:rPr>
        <w:tab/>
      </w:r>
      <w:r>
        <w:rPr>
          <w:u w:val="single"/>
        </w:rPr>
        <w:tab/>
      </w:r>
    </w:p>
    <w:sectPr w:rsidR="00446FE5" w:rsidRPr="00FC3110" w:rsidSect="00C853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D77E" w14:textId="77777777" w:rsidR="00D2072D" w:rsidRDefault="00D2072D" w:rsidP="00F95C08">
      <w:pPr>
        <w:spacing w:line="240" w:lineRule="auto"/>
      </w:pPr>
    </w:p>
  </w:endnote>
  <w:endnote w:type="continuationSeparator" w:id="0">
    <w:p w14:paraId="19496259" w14:textId="77777777" w:rsidR="00D2072D" w:rsidRPr="00AC3823" w:rsidRDefault="00D2072D" w:rsidP="00AC3823">
      <w:pPr>
        <w:pStyle w:val="Footer"/>
      </w:pPr>
    </w:p>
  </w:endnote>
  <w:endnote w:type="continuationNotice" w:id="1">
    <w:p w14:paraId="7AB4E26A" w14:textId="77777777" w:rsidR="00D2072D" w:rsidRDefault="00D207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4BEC" w14:textId="77777777" w:rsidR="00C85316" w:rsidRPr="00C85316" w:rsidRDefault="00C85316" w:rsidP="00C85316">
    <w:pPr>
      <w:pStyle w:val="Footer"/>
      <w:tabs>
        <w:tab w:val="right" w:pos="9638"/>
      </w:tabs>
    </w:pPr>
    <w:r w:rsidRPr="00C85316">
      <w:rPr>
        <w:b/>
        <w:sz w:val="18"/>
      </w:rPr>
      <w:fldChar w:fldCharType="begin"/>
    </w:r>
    <w:r w:rsidRPr="00C85316">
      <w:rPr>
        <w:b/>
        <w:sz w:val="18"/>
      </w:rPr>
      <w:instrText xml:space="preserve"> PAGE  \* MERGEFORMAT </w:instrText>
    </w:r>
    <w:r w:rsidRPr="00C85316">
      <w:rPr>
        <w:b/>
        <w:sz w:val="18"/>
      </w:rPr>
      <w:fldChar w:fldCharType="separate"/>
    </w:r>
    <w:r w:rsidRPr="00C85316">
      <w:rPr>
        <w:b/>
        <w:noProof/>
        <w:sz w:val="18"/>
      </w:rPr>
      <w:t>2</w:t>
    </w:r>
    <w:r w:rsidRPr="00C85316">
      <w:rPr>
        <w:b/>
        <w:sz w:val="18"/>
      </w:rPr>
      <w:fldChar w:fldCharType="end"/>
    </w:r>
    <w:r>
      <w:rPr>
        <w:b/>
        <w:sz w:val="18"/>
      </w:rPr>
      <w:tab/>
    </w:r>
    <w:r>
      <w:t>GE.20-05438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58A6" w14:textId="77777777" w:rsidR="00C85316" w:rsidRPr="00C85316" w:rsidRDefault="00C85316" w:rsidP="00C85316">
    <w:pPr>
      <w:pStyle w:val="Footer"/>
      <w:tabs>
        <w:tab w:val="right" w:pos="9638"/>
      </w:tabs>
      <w:rPr>
        <w:b/>
        <w:sz w:val="18"/>
      </w:rPr>
    </w:pPr>
    <w:r>
      <w:t>GE.20-05438</w:t>
    </w:r>
    <w:r>
      <w:tab/>
    </w:r>
    <w:r w:rsidRPr="00C85316">
      <w:rPr>
        <w:b/>
        <w:sz w:val="18"/>
      </w:rPr>
      <w:fldChar w:fldCharType="begin"/>
    </w:r>
    <w:r w:rsidRPr="00C85316">
      <w:rPr>
        <w:b/>
        <w:sz w:val="18"/>
      </w:rPr>
      <w:instrText xml:space="preserve"> PAGE  \* MERGEFORMAT </w:instrText>
    </w:r>
    <w:r w:rsidRPr="00C85316">
      <w:rPr>
        <w:b/>
        <w:sz w:val="18"/>
      </w:rPr>
      <w:fldChar w:fldCharType="separate"/>
    </w:r>
    <w:r w:rsidRPr="00C85316">
      <w:rPr>
        <w:b/>
        <w:noProof/>
        <w:sz w:val="18"/>
      </w:rPr>
      <w:t>3</w:t>
    </w:r>
    <w:r w:rsidRPr="00C853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8DAC" w14:textId="77777777" w:rsidR="0068456F" w:rsidRPr="00C85316" w:rsidRDefault="00C85316" w:rsidP="00C8531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C40369C" wp14:editId="167BAF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05438  (</w:t>
    </w:r>
    <w:proofErr w:type="gramEnd"/>
    <w:r>
      <w:rPr>
        <w:sz w:val="20"/>
      </w:rPr>
      <w:t>F)    081020    081020</w:t>
    </w:r>
    <w:r>
      <w:rPr>
        <w:sz w:val="20"/>
      </w:rPr>
      <w:br/>
    </w:r>
    <w:r w:rsidRPr="00C85316">
      <w:rPr>
        <w:rFonts w:ascii="C39T30Lfz" w:hAnsi="C39T30Lfz"/>
        <w:sz w:val="56"/>
      </w:rPr>
      <w:t>*2005438*</w:t>
    </w:r>
    <w:r>
      <w:rPr>
        <w:noProof/>
        <w:sz w:val="20"/>
      </w:rPr>
      <w:drawing>
        <wp:anchor distT="0" distB="0" distL="114300" distR="114300" simplePos="0" relativeHeight="251658240" behindDoc="0" locked="0" layoutInCell="1" allowOverlap="1" wp14:anchorId="1642FAFC" wp14:editId="22A349E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C294" w14:textId="77777777" w:rsidR="00D2072D" w:rsidRPr="00AC3823" w:rsidRDefault="00D2072D" w:rsidP="00AC3823">
      <w:pPr>
        <w:pStyle w:val="Footer"/>
        <w:tabs>
          <w:tab w:val="right" w:pos="2155"/>
        </w:tabs>
        <w:spacing w:after="80" w:line="240" w:lineRule="atLeast"/>
        <w:ind w:left="680"/>
        <w:rPr>
          <w:u w:val="single"/>
        </w:rPr>
      </w:pPr>
      <w:r>
        <w:rPr>
          <w:u w:val="single"/>
        </w:rPr>
        <w:tab/>
      </w:r>
    </w:p>
  </w:footnote>
  <w:footnote w:type="continuationSeparator" w:id="0">
    <w:p w14:paraId="3A018898" w14:textId="77777777" w:rsidR="00D2072D" w:rsidRPr="00AC3823" w:rsidRDefault="00D2072D" w:rsidP="00AC3823">
      <w:pPr>
        <w:pStyle w:val="Footer"/>
        <w:tabs>
          <w:tab w:val="right" w:pos="2155"/>
        </w:tabs>
        <w:spacing w:after="80" w:line="240" w:lineRule="atLeast"/>
        <w:ind w:left="680"/>
        <w:rPr>
          <w:u w:val="single"/>
        </w:rPr>
      </w:pPr>
      <w:r>
        <w:rPr>
          <w:u w:val="single"/>
        </w:rPr>
        <w:tab/>
      </w:r>
    </w:p>
  </w:footnote>
  <w:footnote w:type="continuationNotice" w:id="1">
    <w:p w14:paraId="6396D7B3" w14:textId="77777777" w:rsidR="00D2072D" w:rsidRPr="00AC3823" w:rsidRDefault="00D2072D">
      <w:pPr>
        <w:spacing w:line="240" w:lineRule="auto"/>
        <w:rPr>
          <w:sz w:val="2"/>
          <w:szCs w:val="2"/>
        </w:rPr>
      </w:pPr>
    </w:p>
  </w:footnote>
  <w:footnote w:id="2">
    <w:p w14:paraId="6D57BB4C" w14:textId="77777777" w:rsidR="00C85316" w:rsidRPr="00C85316" w:rsidRDefault="00C85316">
      <w:pPr>
        <w:pStyle w:val="FootnoteText"/>
      </w:pPr>
      <w:r>
        <w:rPr>
          <w:rStyle w:val="FootnoteReference"/>
        </w:rPr>
        <w:tab/>
      </w:r>
      <w:r w:rsidRPr="00C85316">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6AD9" w14:textId="5E1FE0FC" w:rsidR="00C85316" w:rsidRPr="00C85316" w:rsidRDefault="0063210A">
    <w:pPr>
      <w:pStyle w:val="Header"/>
    </w:pPr>
    <w:r>
      <w:fldChar w:fldCharType="begin"/>
    </w:r>
    <w:r>
      <w:instrText xml:space="preserve"> TITLE  \* MERGEFORMAT </w:instrText>
    </w:r>
    <w:r>
      <w:fldChar w:fldCharType="separate"/>
    </w:r>
    <w:r>
      <w:t>ST/SG/AC.10/C.3/2020/41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DA19" w14:textId="0F395062" w:rsidR="00C85316" w:rsidRPr="00C85316" w:rsidRDefault="0063210A" w:rsidP="00C85316">
    <w:pPr>
      <w:pStyle w:val="Header"/>
      <w:jc w:val="right"/>
    </w:pPr>
    <w:r>
      <w:fldChar w:fldCharType="begin"/>
    </w:r>
    <w:r>
      <w:instrText xml:space="preserve"> TITLE  \* MERGEFORMAT </w:instrText>
    </w:r>
    <w:r>
      <w:fldChar w:fldCharType="separate"/>
    </w:r>
    <w:r>
      <w:t>ST/SG/AC.10/C.3/2020/41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2D"/>
    <w:rsid w:val="00017F94"/>
    <w:rsid w:val="00023842"/>
    <w:rsid w:val="000305D3"/>
    <w:rsid w:val="000334F9"/>
    <w:rsid w:val="0007796D"/>
    <w:rsid w:val="000A62BF"/>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A1516"/>
    <w:rsid w:val="004E468C"/>
    <w:rsid w:val="005505B7"/>
    <w:rsid w:val="00573BE5"/>
    <w:rsid w:val="00584DC4"/>
    <w:rsid w:val="00586ED3"/>
    <w:rsid w:val="00596AA9"/>
    <w:rsid w:val="0063210A"/>
    <w:rsid w:val="00655D58"/>
    <w:rsid w:val="0068456F"/>
    <w:rsid w:val="0071601D"/>
    <w:rsid w:val="007A62E6"/>
    <w:rsid w:val="007C3F4C"/>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85316"/>
    <w:rsid w:val="00D2072D"/>
    <w:rsid w:val="00D3439C"/>
    <w:rsid w:val="00DB1831"/>
    <w:rsid w:val="00DD3BFD"/>
    <w:rsid w:val="00DF6678"/>
    <w:rsid w:val="00EF2E22"/>
    <w:rsid w:val="00F01738"/>
    <w:rsid w:val="00F660DF"/>
    <w:rsid w:val="00F730C8"/>
    <w:rsid w:val="00F95C08"/>
    <w:rsid w:val="00FC31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617C9"/>
  <w15:docId w15:val="{F3E1F1F1-27B0-469B-8366-34C99A2D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C85316"/>
    <w:pPr>
      <w:kinsoku/>
      <w:overflowPunct/>
      <w:autoSpaceDE/>
      <w:autoSpaceDN/>
      <w:adjustRightInd/>
      <w:snapToGrid/>
      <w:ind w:left="720"/>
      <w:contextualSpacing/>
    </w:pPr>
    <w:rPr>
      <w:rFonts w:eastAsia="Times New Roman"/>
      <w:lang w:val="en-GB"/>
    </w:rPr>
  </w:style>
  <w:style w:type="character" w:customStyle="1" w:styleId="HChGChar">
    <w:name w:val="_ H _Ch_G Char"/>
    <w:link w:val="HChG"/>
    <w:locked/>
    <w:rsid w:val="00C85316"/>
    <w:rPr>
      <w:rFonts w:ascii="Times New Roman" w:eastAsiaTheme="minorHAnsi" w:hAnsi="Times New Roman" w:cs="Times New Roman"/>
      <w:b/>
      <w:sz w:val="28"/>
      <w:szCs w:val="20"/>
      <w:lang w:eastAsia="en-US"/>
    </w:rPr>
  </w:style>
  <w:style w:type="character" w:customStyle="1" w:styleId="H1GChar">
    <w:name w:val="_ H_1_G Char"/>
    <w:link w:val="H1G"/>
    <w:locked/>
    <w:rsid w:val="00C85316"/>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locked/>
    <w:rsid w:val="00C85316"/>
    <w:rPr>
      <w:rFonts w:ascii="Times New Roman" w:eastAsiaTheme="minorHAnsi" w:hAnsi="Times New Roman" w:cs="Times New Roman"/>
      <w:sz w:val="20"/>
      <w:szCs w:val="20"/>
      <w:lang w:eastAsia="en-US"/>
    </w:rPr>
  </w:style>
  <w:style w:type="paragraph" w:customStyle="1" w:styleId="Default">
    <w:name w:val="Default"/>
    <w:rsid w:val="00C85316"/>
    <w:pPr>
      <w:autoSpaceDE w:val="0"/>
      <w:autoSpaceDN w:val="0"/>
      <w:adjustRightInd w:val="0"/>
      <w:spacing w:after="0" w:line="240" w:lineRule="auto"/>
    </w:pPr>
    <w:rPr>
      <w:rFonts w:ascii="Times New Roman" w:eastAsia="SimSu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ST/SG/AC.10/C.3/2020/41</vt:lpstr>
    </vt:vector>
  </TitlesOfParts>
  <Company>DCM</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ST/SG/AC.10/C.3/2020/41</dc:title>
  <dc:subject/>
  <dc:creator>Maud DARICHE</dc:creator>
  <cp:keywords/>
  <cp:lastModifiedBy>Laurence Berthet</cp:lastModifiedBy>
  <cp:revision>3</cp:revision>
  <cp:lastPrinted>2020-10-08T09:33:00Z</cp:lastPrinted>
  <dcterms:created xsi:type="dcterms:W3CDTF">2020-10-08T09:33:00Z</dcterms:created>
  <dcterms:modified xsi:type="dcterms:W3CDTF">2020-10-08T09:34:00Z</dcterms:modified>
</cp:coreProperties>
</file>