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721180" w14:paraId="3C2EE607" w14:textId="77777777" w:rsidTr="00F01738">
        <w:trPr>
          <w:trHeight w:hRule="exact" w:val="851"/>
        </w:trPr>
        <w:tc>
          <w:tcPr>
            <w:tcW w:w="1276" w:type="dxa"/>
            <w:tcBorders>
              <w:bottom w:val="single" w:sz="4" w:space="0" w:color="auto"/>
            </w:tcBorders>
          </w:tcPr>
          <w:p w14:paraId="72F8CC89" w14:textId="77777777" w:rsidR="00132EA9" w:rsidRPr="00DB58B5" w:rsidRDefault="00132EA9" w:rsidP="00721180"/>
        </w:tc>
        <w:tc>
          <w:tcPr>
            <w:tcW w:w="2268" w:type="dxa"/>
            <w:tcBorders>
              <w:bottom w:val="single" w:sz="4" w:space="0" w:color="auto"/>
            </w:tcBorders>
            <w:vAlign w:val="bottom"/>
          </w:tcPr>
          <w:p w14:paraId="4DCB889F"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445287C" w14:textId="77777777" w:rsidR="00132EA9" w:rsidRPr="00721180" w:rsidRDefault="00721180" w:rsidP="00721180">
            <w:pPr>
              <w:jc w:val="right"/>
              <w:rPr>
                <w:lang w:val="en-US"/>
              </w:rPr>
            </w:pPr>
            <w:r w:rsidRPr="00721180">
              <w:rPr>
                <w:sz w:val="40"/>
                <w:lang w:val="en-US"/>
              </w:rPr>
              <w:t>ST</w:t>
            </w:r>
            <w:r w:rsidRPr="00721180">
              <w:rPr>
                <w:lang w:val="en-US"/>
              </w:rPr>
              <w:t>/SG/AC.10/C.3/2020/38/Rev.1</w:t>
            </w:r>
          </w:p>
        </w:tc>
      </w:tr>
      <w:tr w:rsidR="00132EA9" w:rsidRPr="00DB58B5" w14:paraId="0D46396D" w14:textId="77777777" w:rsidTr="00F01738">
        <w:trPr>
          <w:trHeight w:hRule="exact" w:val="2835"/>
        </w:trPr>
        <w:tc>
          <w:tcPr>
            <w:tcW w:w="1276" w:type="dxa"/>
            <w:tcBorders>
              <w:top w:val="single" w:sz="4" w:space="0" w:color="auto"/>
              <w:bottom w:val="single" w:sz="12" w:space="0" w:color="auto"/>
            </w:tcBorders>
          </w:tcPr>
          <w:p w14:paraId="6E3B713C" w14:textId="77777777" w:rsidR="00132EA9" w:rsidRPr="00DB58B5" w:rsidRDefault="00132EA9" w:rsidP="00F01738">
            <w:pPr>
              <w:spacing w:before="120"/>
              <w:jc w:val="center"/>
            </w:pPr>
            <w:r>
              <w:rPr>
                <w:noProof/>
                <w:lang w:eastAsia="fr-CH"/>
              </w:rPr>
              <w:drawing>
                <wp:inline distT="0" distB="0" distL="0" distR="0" wp14:anchorId="1A1CBEFC" wp14:editId="5BD797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73EAB4"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EFFE869" w14:textId="77777777" w:rsidR="00132EA9" w:rsidRDefault="00721180" w:rsidP="00F01738">
            <w:pPr>
              <w:spacing w:before="240"/>
            </w:pPr>
            <w:proofErr w:type="spellStart"/>
            <w:r>
              <w:t>Distr</w:t>
            </w:r>
            <w:proofErr w:type="spellEnd"/>
            <w:r>
              <w:t>. générale</w:t>
            </w:r>
          </w:p>
          <w:p w14:paraId="6A83E912" w14:textId="77777777" w:rsidR="00721180" w:rsidRDefault="00721180" w:rsidP="00721180">
            <w:pPr>
              <w:spacing w:line="240" w:lineRule="exact"/>
            </w:pPr>
            <w:r>
              <w:t>9 septembre 2020</w:t>
            </w:r>
          </w:p>
          <w:p w14:paraId="61914B27" w14:textId="77777777" w:rsidR="00721180" w:rsidRDefault="00721180" w:rsidP="00721180">
            <w:pPr>
              <w:spacing w:line="240" w:lineRule="exact"/>
            </w:pPr>
            <w:r>
              <w:t>Français</w:t>
            </w:r>
          </w:p>
          <w:p w14:paraId="1DFCFB6D" w14:textId="77777777" w:rsidR="00721180" w:rsidRPr="00DB58B5" w:rsidRDefault="00721180" w:rsidP="00721180">
            <w:pPr>
              <w:spacing w:line="240" w:lineRule="exact"/>
            </w:pPr>
            <w:r>
              <w:t>Original : anglais</w:t>
            </w:r>
          </w:p>
        </w:tc>
      </w:tr>
    </w:tbl>
    <w:p w14:paraId="5A15C03F" w14:textId="77777777" w:rsidR="00721180" w:rsidRPr="003B2994" w:rsidRDefault="00721180" w:rsidP="00721180">
      <w:pPr>
        <w:spacing w:before="120"/>
        <w:rPr>
          <w:b/>
          <w:sz w:val="24"/>
          <w:szCs w:val="24"/>
          <w:lang w:val="fr-FR"/>
        </w:rPr>
      </w:pPr>
      <w:r w:rsidRPr="00AD763E">
        <w:rPr>
          <w:b/>
          <w:bCs/>
          <w:sz w:val="24"/>
          <w:szCs w:val="24"/>
          <w:lang w:val="fr-FR"/>
        </w:rPr>
        <w:t>Comité d</w:t>
      </w:r>
      <w:r>
        <w:rPr>
          <w:b/>
          <w:bCs/>
          <w:sz w:val="24"/>
          <w:szCs w:val="24"/>
          <w:lang w:val="fr-FR"/>
        </w:rPr>
        <w:t>’</w:t>
      </w:r>
      <w:r w:rsidRPr="00AD763E">
        <w:rPr>
          <w:b/>
          <w:bCs/>
          <w:sz w:val="24"/>
          <w:szCs w:val="24"/>
          <w:lang w:val="fr-FR"/>
        </w:rPr>
        <w:t xml:space="preserve">experts du transport des marchandises dangereuses </w:t>
      </w:r>
      <w:r>
        <w:rPr>
          <w:b/>
          <w:bCs/>
          <w:sz w:val="24"/>
          <w:szCs w:val="24"/>
          <w:lang w:val="fr-FR"/>
        </w:rPr>
        <w:br/>
      </w:r>
      <w:r w:rsidRPr="00AD763E">
        <w:rPr>
          <w:b/>
          <w:bCs/>
          <w:sz w:val="24"/>
          <w:szCs w:val="24"/>
          <w:lang w:val="fr-FR"/>
        </w:rPr>
        <w:t xml:space="preserve">et du Système général harmonisé de classification </w:t>
      </w:r>
      <w:r>
        <w:rPr>
          <w:b/>
          <w:bCs/>
          <w:sz w:val="24"/>
          <w:szCs w:val="24"/>
          <w:lang w:val="fr-FR"/>
        </w:rPr>
        <w:br/>
      </w:r>
      <w:r w:rsidRPr="00AD763E">
        <w:rPr>
          <w:b/>
          <w:bCs/>
          <w:sz w:val="24"/>
          <w:szCs w:val="24"/>
          <w:lang w:val="fr-FR"/>
        </w:rPr>
        <w:t>et d</w:t>
      </w:r>
      <w:r>
        <w:rPr>
          <w:b/>
          <w:bCs/>
          <w:sz w:val="24"/>
          <w:szCs w:val="24"/>
          <w:lang w:val="fr-FR"/>
        </w:rPr>
        <w:t>’</w:t>
      </w:r>
      <w:r w:rsidRPr="00AD763E">
        <w:rPr>
          <w:b/>
          <w:bCs/>
          <w:sz w:val="24"/>
          <w:szCs w:val="24"/>
          <w:lang w:val="fr-FR"/>
        </w:rPr>
        <w:t>étiquetage des produits chimiques</w:t>
      </w:r>
    </w:p>
    <w:p w14:paraId="0F7D0CD4" w14:textId="77777777" w:rsidR="00721180" w:rsidRPr="00721180" w:rsidRDefault="00721180" w:rsidP="00721180">
      <w:pPr>
        <w:spacing w:before="120"/>
        <w:rPr>
          <w:b/>
          <w:color w:val="000000"/>
          <w:lang w:val="fr-FR"/>
        </w:rPr>
      </w:pPr>
      <w:r w:rsidRPr="001F6232">
        <w:rPr>
          <w:b/>
          <w:bCs/>
          <w:lang w:val="fr-FR"/>
        </w:rPr>
        <w:t>Sous-Comité d</w:t>
      </w:r>
      <w:r>
        <w:rPr>
          <w:b/>
          <w:bCs/>
          <w:lang w:val="fr-FR"/>
        </w:rPr>
        <w:t>’</w:t>
      </w:r>
      <w:r w:rsidRPr="001F6232">
        <w:rPr>
          <w:b/>
          <w:bCs/>
          <w:lang w:val="fr-FR"/>
        </w:rPr>
        <w:t>experts du transport des marchandises dangereuses</w:t>
      </w:r>
    </w:p>
    <w:p w14:paraId="4B61CF9F" w14:textId="77777777" w:rsidR="00721180" w:rsidRPr="003B2994" w:rsidRDefault="00721180" w:rsidP="00721180">
      <w:pPr>
        <w:spacing w:before="120"/>
        <w:rPr>
          <w:b/>
          <w:lang w:val="fr-FR"/>
        </w:rPr>
      </w:pPr>
      <w:r w:rsidRPr="00AD763E">
        <w:rPr>
          <w:b/>
          <w:bCs/>
          <w:lang w:val="fr-FR"/>
        </w:rPr>
        <w:t>Cinquante-septième session</w:t>
      </w:r>
    </w:p>
    <w:p w14:paraId="0266DFDB" w14:textId="77777777" w:rsidR="00721180" w:rsidRPr="00AD763E" w:rsidRDefault="00721180" w:rsidP="00721180">
      <w:pPr>
        <w:rPr>
          <w:lang w:val="fr-FR"/>
        </w:rPr>
      </w:pPr>
      <w:r w:rsidRPr="00AD763E">
        <w:rPr>
          <w:lang w:val="fr-FR"/>
        </w:rPr>
        <w:t xml:space="preserve">Genève, </w:t>
      </w:r>
      <w:r>
        <w:rPr>
          <w:lang w:val="fr-FR"/>
        </w:rPr>
        <w:t>30 novembre</w:t>
      </w:r>
      <w:r w:rsidRPr="00AD763E">
        <w:rPr>
          <w:lang w:val="fr-FR"/>
        </w:rPr>
        <w:t xml:space="preserve">-8 </w:t>
      </w:r>
      <w:r>
        <w:rPr>
          <w:lang w:val="fr-FR"/>
        </w:rPr>
        <w:t xml:space="preserve">décembre </w:t>
      </w:r>
      <w:r w:rsidRPr="00AD763E">
        <w:rPr>
          <w:lang w:val="fr-FR"/>
        </w:rPr>
        <w:t>2020</w:t>
      </w:r>
    </w:p>
    <w:p w14:paraId="3FA686E9" w14:textId="77777777" w:rsidR="00721180" w:rsidRPr="003B2994" w:rsidRDefault="00721180" w:rsidP="00721180">
      <w:pPr>
        <w:rPr>
          <w:lang w:val="fr-FR"/>
        </w:rPr>
      </w:pPr>
      <w:r w:rsidRPr="00AD763E">
        <w:rPr>
          <w:lang w:val="fr-FR"/>
        </w:rPr>
        <w:t>Point</w:t>
      </w:r>
      <w:r>
        <w:rPr>
          <w:lang w:val="fr-FR"/>
        </w:rPr>
        <w:t> </w:t>
      </w:r>
      <w:r w:rsidRPr="00AD763E">
        <w:rPr>
          <w:lang w:val="fr-FR"/>
        </w:rPr>
        <w:t>6</w:t>
      </w:r>
      <w:r>
        <w:rPr>
          <w:lang w:val="fr-FR"/>
        </w:rPr>
        <w:t> </w:t>
      </w:r>
      <w:r w:rsidRPr="00AD763E">
        <w:rPr>
          <w:lang w:val="fr-FR"/>
        </w:rPr>
        <w:t>e) de l</w:t>
      </w:r>
      <w:r>
        <w:rPr>
          <w:lang w:val="fr-FR"/>
        </w:rPr>
        <w:t>’</w:t>
      </w:r>
      <w:r w:rsidRPr="00AD763E">
        <w:rPr>
          <w:lang w:val="fr-FR"/>
        </w:rPr>
        <w:t>ordre du jour provisoire</w:t>
      </w:r>
    </w:p>
    <w:p w14:paraId="729274E1" w14:textId="77777777" w:rsidR="00721180" w:rsidRPr="00AD763E" w:rsidRDefault="00721180" w:rsidP="00721180">
      <w:pPr>
        <w:rPr>
          <w:b/>
          <w:bCs/>
          <w:lang w:val="fr-FR"/>
        </w:rPr>
      </w:pPr>
      <w:r w:rsidRPr="00AD763E">
        <w:rPr>
          <w:b/>
          <w:bCs/>
          <w:lang w:val="fr-FR"/>
        </w:rPr>
        <w:t>Propositions diverses d</w:t>
      </w:r>
      <w:r>
        <w:rPr>
          <w:b/>
          <w:bCs/>
          <w:lang w:val="fr-FR"/>
        </w:rPr>
        <w:t>’</w:t>
      </w:r>
      <w:r w:rsidRPr="00AD763E">
        <w:rPr>
          <w:b/>
          <w:bCs/>
          <w:lang w:val="fr-FR"/>
        </w:rPr>
        <w:t xml:space="preserve">amendements au Règlement type </w:t>
      </w:r>
      <w:r>
        <w:rPr>
          <w:b/>
          <w:bCs/>
          <w:lang w:val="fr-FR"/>
        </w:rPr>
        <w:br/>
      </w:r>
      <w:r w:rsidRPr="00AD763E">
        <w:rPr>
          <w:b/>
          <w:bCs/>
          <w:lang w:val="fr-FR"/>
        </w:rPr>
        <w:t>pour le transport des marchandises dangereuses</w:t>
      </w:r>
      <w:r>
        <w:rPr>
          <w:b/>
          <w:bCs/>
          <w:lang w:val="fr-FR"/>
        </w:rPr>
        <w:t> </w:t>
      </w:r>
      <w:r w:rsidRPr="00AD763E">
        <w:rPr>
          <w:b/>
          <w:bCs/>
          <w:lang w:val="fr-FR"/>
        </w:rPr>
        <w:t>:</w:t>
      </w:r>
    </w:p>
    <w:p w14:paraId="779AE395" w14:textId="77777777" w:rsidR="00721180" w:rsidRPr="003B2994" w:rsidRDefault="00721180" w:rsidP="00721180">
      <w:pPr>
        <w:rPr>
          <w:b/>
          <w:bCs/>
          <w:lang w:val="fr-FR"/>
        </w:rPr>
      </w:pPr>
      <w:r w:rsidRPr="00AD763E">
        <w:rPr>
          <w:b/>
          <w:bCs/>
          <w:lang w:val="fr-FR"/>
        </w:rPr>
        <w:t>Autres propositions diverses</w:t>
      </w:r>
    </w:p>
    <w:p w14:paraId="0C19B11C" w14:textId="77777777" w:rsidR="00721180" w:rsidRPr="003B2994" w:rsidRDefault="00721180" w:rsidP="00721180">
      <w:pPr>
        <w:pStyle w:val="HChG"/>
        <w:rPr>
          <w:rFonts w:eastAsia="Times New Roman"/>
          <w:lang w:val="fr-FR"/>
        </w:rPr>
      </w:pPr>
      <w:r>
        <w:rPr>
          <w:lang w:val="fr-FR"/>
        </w:rPr>
        <w:tab/>
      </w:r>
      <w:r>
        <w:rPr>
          <w:lang w:val="fr-FR"/>
        </w:rPr>
        <w:tab/>
        <w:t>T</w:t>
      </w:r>
      <w:r w:rsidRPr="001F6232">
        <w:rPr>
          <w:lang w:val="fr-FR"/>
        </w:rPr>
        <w:t>ermes « </w:t>
      </w:r>
      <w:proofErr w:type="spellStart"/>
      <w:r w:rsidRPr="001F6232">
        <w:rPr>
          <w:lang w:val="fr-FR"/>
        </w:rPr>
        <w:t>aromatic</w:t>
      </w:r>
      <w:proofErr w:type="spellEnd"/>
      <w:r w:rsidRPr="001F6232">
        <w:rPr>
          <w:lang w:val="fr-FR"/>
        </w:rPr>
        <w:t> » et « </w:t>
      </w:r>
      <w:proofErr w:type="spellStart"/>
      <w:r w:rsidRPr="001F6232">
        <w:rPr>
          <w:lang w:val="fr-FR"/>
        </w:rPr>
        <w:t>flavouring</w:t>
      </w:r>
      <w:proofErr w:type="spellEnd"/>
      <w:r w:rsidRPr="001F6232">
        <w:rPr>
          <w:lang w:val="fr-FR"/>
        </w:rPr>
        <w:t> » dans les N</w:t>
      </w:r>
      <w:r w:rsidRPr="00721180">
        <w:rPr>
          <w:lang w:val="fr-FR"/>
        </w:rPr>
        <w:t>os</w:t>
      </w:r>
      <w:r>
        <w:rPr>
          <w:lang w:val="fr-FR"/>
        </w:rPr>
        <w:t> </w:t>
      </w:r>
      <w:r w:rsidRPr="001F6232">
        <w:rPr>
          <w:lang w:val="fr-FR"/>
        </w:rPr>
        <w:t>ONU 1169 et 1197</w:t>
      </w:r>
    </w:p>
    <w:p w14:paraId="50AC3AE4" w14:textId="77777777" w:rsidR="00721180" w:rsidRPr="003B2994" w:rsidRDefault="00721180" w:rsidP="00721180">
      <w:pPr>
        <w:pStyle w:val="H1G"/>
        <w:rPr>
          <w:bCs/>
          <w:sz w:val="20"/>
          <w:lang w:val="fr-FR"/>
        </w:rPr>
      </w:pPr>
      <w:r w:rsidRPr="001F6232">
        <w:rPr>
          <w:lang w:val="fr-FR"/>
        </w:rPr>
        <w:tab/>
      </w:r>
      <w:r w:rsidRPr="001F6232">
        <w:rPr>
          <w:lang w:val="fr-FR"/>
        </w:rPr>
        <w:tab/>
        <w:t>Communication de</w:t>
      </w:r>
      <w:r>
        <w:rPr>
          <w:lang w:val="fr-FR"/>
        </w:rPr>
        <w:t>s</w:t>
      </w:r>
      <w:r w:rsidRPr="001F6232">
        <w:rPr>
          <w:lang w:val="fr-FR"/>
        </w:rPr>
        <w:t xml:space="preserve"> expert</w:t>
      </w:r>
      <w:r>
        <w:rPr>
          <w:lang w:val="fr-FR"/>
        </w:rPr>
        <w:t>s</w:t>
      </w:r>
      <w:r w:rsidRPr="001F6232">
        <w:rPr>
          <w:lang w:val="fr-FR"/>
        </w:rPr>
        <w:t xml:space="preserve"> de l</w:t>
      </w:r>
      <w:r>
        <w:rPr>
          <w:lang w:val="fr-FR"/>
        </w:rPr>
        <w:t>’</w:t>
      </w:r>
      <w:r w:rsidRPr="001F6232">
        <w:rPr>
          <w:lang w:val="fr-FR"/>
        </w:rPr>
        <w:t>Espagne</w:t>
      </w:r>
      <w:r>
        <w:rPr>
          <w:lang w:val="fr-FR"/>
        </w:rPr>
        <w:t xml:space="preserve"> et du CEFIC</w:t>
      </w:r>
      <w:r w:rsidRPr="00773DF5">
        <w:rPr>
          <w:rStyle w:val="FootnoteReference"/>
          <w:b w:val="0"/>
          <w:bCs/>
          <w:sz w:val="20"/>
          <w:vertAlign w:val="baseline"/>
        </w:rPr>
        <w:footnoteReference w:customMarkFollows="1" w:id="2"/>
        <w:t>*</w:t>
      </w:r>
    </w:p>
    <w:p w14:paraId="7A5C0DBF" w14:textId="77777777" w:rsidR="00721180" w:rsidRPr="003B2994" w:rsidRDefault="00721180" w:rsidP="00721180">
      <w:pPr>
        <w:pStyle w:val="H23G"/>
        <w:rPr>
          <w:lang w:val="fr-FR"/>
        </w:rPr>
      </w:pPr>
      <w:r w:rsidRPr="003B2994">
        <w:rPr>
          <w:lang w:val="fr-FR"/>
        </w:rPr>
        <w:tab/>
      </w:r>
      <w:r w:rsidRPr="003B2994">
        <w:rPr>
          <w:lang w:val="fr-FR"/>
        </w:rPr>
        <w:tab/>
        <w:t>Révision</w:t>
      </w:r>
    </w:p>
    <w:p w14:paraId="38885F2F" w14:textId="77777777" w:rsidR="00721180" w:rsidRPr="003B2994" w:rsidRDefault="00721180" w:rsidP="00721180">
      <w:pPr>
        <w:pStyle w:val="HChG"/>
        <w:rPr>
          <w:rFonts w:eastAsia="Times New Roman"/>
          <w:lang w:val="fr-FR"/>
        </w:rPr>
      </w:pPr>
      <w:r w:rsidRPr="001F6232">
        <w:rPr>
          <w:lang w:val="fr-FR"/>
        </w:rPr>
        <w:tab/>
      </w:r>
      <w:r w:rsidRPr="001F6232">
        <w:rPr>
          <w:lang w:val="fr-FR"/>
        </w:rPr>
        <w:tab/>
        <w:t>Introduction</w:t>
      </w:r>
    </w:p>
    <w:p w14:paraId="62B85F38" w14:textId="77777777" w:rsidR="00721180" w:rsidRPr="003B2994" w:rsidRDefault="00721180" w:rsidP="00721180">
      <w:pPr>
        <w:pStyle w:val="SingleTxtG"/>
        <w:rPr>
          <w:lang w:val="fr-FR"/>
        </w:rPr>
      </w:pPr>
      <w:r w:rsidRPr="001F6232">
        <w:rPr>
          <w:lang w:val="fr-FR"/>
        </w:rPr>
        <w:t>1</w:t>
      </w:r>
      <w:r w:rsidRPr="00721180">
        <w:rPr>
          <w:rStyle w:val="FootnoteReference"/>
          <w:sz w:val="20"/>
          <w:vertAlign w:val="baseline"/>
        </w:rPr>
        <w:t>.</w:t>
      </w:r>
      <w:r w:rsidRPr="001F6232">
        <w:rPr>
          <w:lang w:val="fr-FR"/>
        </w:rPr>
        <w:tab/>
        <w:t>Dans la vingtième édition du Règlement type, la désignation correspondant au N</w:t>
      </w:r>
      <w:r w:rsidRPr="00721180">
        <w:rPr>
          <w:lang w:val="fr-FR"/>
        </w:rPr>
        <w:t>o</w:t>
      </w:r>
      <w:r>
        <w:rPr>
          <w:lang w:val="fr-FR"/>
        </w:rPr>
        <w:t> </w:t>
      </w:r>
      <w:r w:rsidRPr="001F6232">
        <w:rPr>
          <w:lang w:val="fr-FR"/>
        </w:rPr>
        <w:t>ONU</w:t>
      </w:r>
      <w:r>
        <w:rPr>
          <w:lang w:val="fr-FR"/>
        </w:rPr>
        <w:t> </w:t>
      </w:r>
      <w:r w:rsidRPr="001F6232">
        <w:rPr>
          <w:lang w:val="fr-FR"/>
        </w:rPr>
        <w:t>1197 en anglais, espagnol et français était la suivante</w:t>
      </w:r>
      <w:r>
        <w:rPr>
          <w:lang w:val="fr-FR"/>
        </w:rPr>
        <w:t> </w:t>
      </w:r>
      <w: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1965"/>
        <w:gridCol w:w="2303"/>
        <w:gridCol w:w="2466"/>
      </w:tblGrid>
      <w:tr w:rsidR="00721180" w:rsidRPr="00AD763E" w14:paraId="6B19AF90" w14:textId="77777777" w:rsidTr="005E2C54">
        <w:trPr>
          <w:trHeight w:val="450"/>
        </w:trPr>
        <w:tc>
          <w:tcPr>
            <w:tcW w:w="637" w:type="dxa"/>
            <w:tcMar>
              <w:top w:w="0" w:type="dxa"/>
              <w:left w:w="70" w:type="dxa"/>
              <w:bottom w:w="0" w:type="dxa"/>
              <w:right w:w="70" w:type="dxa"/>
            </w:tcMar>
            <w:hideMark/>
          </w:tcPr>
          <w:p w14:paraId="5629DCAE" w14:textId="77777777" w:rsidR="00721180" w:rsidRPr="00AD763E" w:rsidRDefault="00721180" w:rsidP="005E2C54">
            <w:pPr>
              <w:spacing w:before="60" w:after="60" w:line="220" w:lineRule="atLeast"/>
              <w:ind w:left="57" w:right="57"/>
              <w:rPr>
                <w:sz w:val="16"/>
                <w:szCs w:val="16"/>
              </w:rPr>
            </w:pPr>
            <w:r w:rsidRPr="00AD763E">
              <w:rPr>
                <w:sz w:val="16"/>
                <w:szCs w:val="16"/>
                <w:lang w:val="fr-FR"/>
              </w:rPr>
              <w:t>1197</w:t>
            </w:r>
          </w:p>
        </w:tc>
        <w:tc>
          <w:tcPr>
            <w:tcW w:w="1965" w:type="dxa"/>
            <w:tcMar>
              <w:top w:w="0" w:type="dxa"/>
              <w:left w:w="70" w:type="dxa"/>
              <w:bottom w:w="0" w:type="dxa"/>
              <w:right w:w="70" w:type="dxa"/>
            </w:tcMar>
            <w:hideMark/>
          </w:tcPr>
          <w:p w14:paraId="1F03EA49"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EXTRACTS, FLAVOURING, LIQUID</w:t>
            </w:r>
          </w:p>
        </w:tc>
        <w:tc>
          <w:tcPr>
            <w:tcW w:w="2303" w:type="dxa"/>
            <w:tcMar>
              <w:top w:w="0" w:type="dxa"/>
              <w:left w:w="70" w:type="dxa"/>
              <w:bottom w:w="0" w:type="dxa"/>
              <w:right w:w="70" w:type="dxa"/>
            </w:tcMar>
            <w:hideMark/>
          </w:tcPr>
          <w:p w14:paraId="743FBBA6"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EXTRAITS LIQUIDES POUR AROMATISER</w:t>
            </w:r>
          </w:p>
        </w:tc>
        <w:tc>
          <w:tcPr>
            <w:tcW w:w="2466" w:type="dxa"/>
            <w:tcMar>
              <w:top w:w="0" w:type="dxa"/>
              <w:left w:w="70" w:type="dxa"/>
              <w:bottom w:w="0" w:type="dxa"/>
              <w:right w:w="70" w:type="dxa"/>
            </w:tcMar>
            <w:hideMark/>
          </w:tcPr>
          <w:p w14:paraId="4C0EB3EF"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EXTRACTOS SAPORÍFEROS LÍQUIDOS</w:t>
            </w:r>
          </w:p>
        </w:tc>
      </w:tr>
    </w:tbl>
    <w:p w14:paraId="53711C0D" w14:textId="77777777" w:rsidR="00721180" w:rsidRPr="003B2994" w:rsidRDefault="00721180" w:rsidP="00721180">
      <w:pPr>
        <w:pStyle w:val="SingleTxtG"/>
        <w:spacing w:before="240"/>
        <w:rPr>
          <w:rFonts w:eastAsia="Times New Roman"/>
        </w:rPr>
      </w:pPr>
      <w:r w:rsidRPr="001F6232">
        <w:rPr>
          <w:lang w:val="fr-FR"/>
        </w:rPr>
        <w:t>2</w:t>
      </w:r>
      <w:r w:rsidRPr="00721180">
        <w:rPr>
          <w:rStyle w:val="FootnoteReference"/>
          <w:sz w:val="20"/>
          <w:vertAlign w:val="baseline"/>
        </w:rPr>
        <w:t>.</w:t>
      </w:r>
      <w:r w:rsidRPr="001F6232">
        <w:rPr>
          <w:lang w:val="fr-FR"/>
        </w:rPr>
        <w:tab/>
        <w:t>Étant donné que le terme utilisé pour traduire « </w:t>
      </w:r>
      <w:proofErr w:type="spellStart"/>
      <w:r w:rsidRPr="001F6232">
        <w:rPr>
          <w:lang w:val="fr-FR"/>
        </w:rPr>
        <w:t>flavouring</w:t>
      </w:r>
      <w:proofErr w:type="spellEnd"/>
      <w:r w:rsidRPr="001F6232">
        <w:rPr>
          <w:lang w:val="fr-FR"/>
        </w:rPr>
        <w:t> » n</w:t>
      </w:r>
      <w:r>
        <w:rPr>
          <w:lang w:val="fr-FR"/>
        </w:rPr>
        <w:t>’</w:t>
      </w:r>
      <w:r w:rsidRPr="001F6232">
        <w:rPr>
          <w:lang w:val="fr-FR"/>
        </w:rPr>
        <w:t xml:space="preserve">est pas très répandu en espagnol et que les extraits utilisés pour ajouter une saveur sont en général également utilisés pour ajouter un arôme, la version espagnole a été modifiée dans la </w:t>
      </w:r>
      <w:r>
        <w:rPr>
          <w:lang w:val="fr-FR"/>
        </w:rPr>
        <w:t xml:space="preserve">vingt et unième </w:t>
      </w:r>
      <w:r w:rsidRPr="001F6232">
        <w:rPr>
          <w:lang w:val="fr-FR"/>
        </w:rPr>
        <w:t xml:space="preserve">édition du Règlement type de manière à </w:t>
      </w:r>
      <w:r>
        <w:rPr>
          <w:lang w:val="fr-FR"/>
        </w:rPr>
        <w:t xml:space="preserve">la </w:t>
      </w:r>
      <w:r w:rsidRPr="001F6232">
        <w:rPr>
          <w:lang w:val="fr-FR"/>
        </w:rPr>
        <w:t>rapprocher de la version française</w:t>
      </w:r>
      <w:r w:rsidRPr="00721180">
        <w:rPr>
          <w:rStyle w:val="FootnoteReference"/>
          <w:sz w:val="20"/>
          <w:vertAlign w:val="baseline"/>
        </w:rPr>
        <w:t>.</w:t>
      </w:r>
      <w:r w:rsidRPr="001F6232">
        <w:rPr>
          <w:lang w:val="fr-FR"/>
        </w:rPr>
        <w:t xml:space="preserve"> Elle est désormais libellée comme suit</w:t>
      </w:r>
      <w:r w:rsidRPr="00721180">
        <w:rPr>
          <w:rStyle w:val="FootnoteReference"/>
          <w:sz w:val="20"/>
          <w:vertAlign w:val="baseline"/>
        </w:rPr>
        <w:t>.</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7"/>
        <w:gridCol w:w="1985"/>
        <w:gridCol w:w="2268"/>
        <w:gridCol w:w="2481"/>
      </w:tblGrid>
      <w:tr w:rsidR="00721180" w:rsidRPr="00AD763E" w14:paraId="5DFE2C42" w14:textId="77777777" w:rsidTr="00721180">
        <w:trPr>
          <w:trHeight w:val="450"/>
        </w:trPr>
        <w:tc>
          <w:tcPr>
            <w:tcW w:w="637" w:type="dxa"/>
            <w:tcMar>
              <w:top w:w="0" w:type="dxa"/>
              <w:left w:w="0" w:type="dxa"/>
              <w:bottom w:w="0" w:type="dxa"/>
              <w:right w:w="0" w:type="dxa"/>
            </w:tcMar>
            <w:hideMark/>
          </w:tcPr>
          <w:p w14:paraId="354DF890" w14:textId="77777777" w:rsidR="00721180" w:rsidRPr="00AD763E" w:rsidRDefault="00721180" w:rsidP="005E2C54">
            <w:pPr>
              <w:spacing w:before="60" w:after="60" w:line="220" w:lineRule="atLeast"/>
              <w:ind w:left="57" w:right="57"/>
              <w:rPr>
                <w:sz w:val="16"/>
                <w:szCs w:val="16"/>
              </w:rPr>
            </w:pPr>
            <w:r w:rsidRPr="00AD763E">
              <w:rPr>
                <w:sz w:val="16"/>
                <w:szCs w:val="16"/>
                <w:lang w:val="fr-FR"/>
              </w:rPr>
              <w:t>1197</w:t>
            </w:r>
          </w:p>
        </w:tc>
        <w:tc>
          <w:tcPr>
            <w:tcW w:w="1985" w:type="dxa"/>
            <w:tcMar>
              <w:top w:w="0" w:type="dxa"/>
              <w:left w:w="0" w:type="dxa"/>
              <w:bottom w:w="0" w:type="dxa"/>
              <w:right w:w="0" w:type="dxa"/>
            </w:tcMar>
            <w:hideMark/>
          </w:tcPr>
          <w:p w14:paraId="0B457DFD"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EXTRACTS, FLAVOURING, LIQUID</w:t>
            </w:r>
          </w:p>
        </w:tc>
        <w:tc>
          <w:tcPr>
            <w:tcW w:w="2268" w:type="dxa"/>
            <w:tcMar>
              <w:top w:w="0" w:type="dxa"/>
              <w:left w:w="0" w:type="dxa"/>
              <w:bottom w:w="0" w:type="dxa"/>
              <w:right w:w="0" w:type="dxa"/>
            </w:tcMar>
            <w:hideMark/>
          </w:tcPr>
          <w:p w14:paraId="03FF05F1"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EXTRAITS LIQUIDES POUR AROMATISER</w:t>
            </w:r>
          </w:p>
        </w:tc>
        <w:tc>
          <w:tcPr>
            <w:tcW w:w="2481" w:type="dxa"/>
            <w:tcMar>
              <w:top w:w="0" w:type="dxa"/>
              <w:left w:w="0" w:type="dxa"/>
              <w:bottom w:w="0" w:type="dxa"/>
              <w:right w:w="0" w:type="dxa"/>
            </w:tcMar>
            <w:hideMark/>
          </w:tcPr>
          <w:p w14:paraId="69939669"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EXTRACTOS LÍQUIDOS PARA AROMATIZAR</w:t>
            </w:r>
          </w:p>
        </w:tc>
      </w:tr>
    </w:tbl>
    <w:p w14:paraId="7AF4D250" w14:textId="77777777" w:rsidR="00721180" w:rsidRPr="003B2994" w:rsidRDefault="00721180" w:rsidP="00721180">
      <w:pPr>
        <w:pStyle w:val="SingleTxtG"/>
        <w:keepNext/>
        <w:spacing w:before="240"/>
        <w:rPr>
          <w:rFonts w:eastAsia="Times New Roman"/>
          <w:lang w:val="fr-FR"/>
        </w:rPr>
      </w:pPr>
      <w:r w:rsidRPr="001F6232">
        <w:rPr>
          <w:lang w:val="fr-FR"/>
        </w:rPr>
        <w:lastRenderedPageBreak/>
        <w:t>3</w:t>
      </w:r>
      <w:r w:rsidRPr="00721180">
        <w:rPr>
          <w:rStyle w:val="FootnoteReference"/>
          <w:sz w:val="20"/>
          <w:vertAlign w:val="baseline"/>
        </w:rPr>
        <w:t>.</w:t>
      </w:r>
      <w:r w:rsidRPr="001F6232">
        <w:rPr>
          <w:lang w:val="fr-FR"/>
        </w:rPr>
        <w:tab/>
        <w:t>Toutefois, comme l</w:t>
      </w:r>
      <w:r>
        <w:rPr>
          <w:lang w:val="fr-FR"/>
        </w:rPr>
        <w:t>’</w:t>
      </w:r>
      <w:r w:rsidRPr="001F6232">
        <w:rPr>
          <w:lang w:val="fr-FR"/>
        </w:rPr>
        <w:t>ont signalé nos collègues du Mexique, ce changement de désignation a amené à s</w:t>
      </w:r>
      <w:r>
        <w:rPr>
          <w:lang w:val="fr-FR"/>
        </w:rPr>
        <w:t>’</w:t>
      </w:r>
      <w:r w:rsidRPr="001F6232">
        <w:rPr>
          <w:lang w:val="fr-FR"/>
        </w:rPr>
        <w:t>interroger sur la manière de distinguer le N</w:t>
      </w:r>
      <w:r w:rsidRPr="00721180">
        <w:rPr>
          <w:lang w:val="fr-FR"/>
        </w:rPr>
        <w:t>o</w:t>
      </w:r>
      <w:r>
        <w:rPr>
          <w:lang w:val="fr-FR"/>
        </w:rPr>
        <w:t> </w:t>
      </w:r>
      <w:r w:rsidRPr="001F6232">
        <w:rPr>
          <w:lang w:val="fr-FR"/>
        </w:rPr>
        <w:t>ONU</w:t>
      </w:r>
      <w:r>
        <w:rPr>
          <w:lang w:val="fr-FR"/>
        </w:rPr>
        <w:t> </w:t>
      </w:r>
      <w:r w:rsidRPr="001F6232">
        <w:rPr>
          <w:lang w:val="fr-FR"/>
        </w:rPr>
        <w:t>1197 du N</w:t>
      </w:r>
      <w:r w:rsidRPr="00721180">
        <w:rPr>
          <w:lang w:val="fr-FR"/>
        </w:rPr>
        <w:t>o</w:t>
      </w:r>
      <w:r>
        <w:rPr>
          <w:lang w:val="fr-FR"/>
        </w:rPr>
        <w:t> </w:t>
      </w:r>
      <w:r w:rsidRPr="001F6232">
        <w:rPr>
          <w:lang w:val="fr-FR"/>
        </w:rPr>
        <w:t>ONU</w:t>
      </w:r>
      <w:r>
        <w:rPr>
          <w:lang w:val="fr-FR"/>
        </w:rPr>
        <w:t> </w:t>
      </w:r>
      <w:r w:rsidRPr="001F6232">
        <w:rPr>
          <w:lang w:val="fr-FR"/>
        </w:rPr>
        <w:t>1169</w:t>
      </w:r>
      <w:r w:rsidRPr="00721180">
        <w:rPr>
          <w:rStyle w:val="FootnoteReference"/>
          <w:sz w:val="20"/>
          <w:vertAlign w:val="baseline"/>
        </w:rPr>
        <w:t>.</w:t>
      </w:r>
    </w:p>
    <w:tbl>
      <w:tblPr>
        <w:tblW w:w="7371"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40"/>
        <w:gridCol w:w="2002"/>
        <w:gridCol w:w="2272"/>
        <w:gridCol w:w="2457"/>
      </w:tblGrid>
      <w:tr w:rsidR="00721180" w:rsidRPr="00AD763E" w14:paraId="455B3E1A" w14:textId="77777777" w:rsidTr="005E2C54">
        <w:trPr>
          <w:trHeight w:val="675"/>
        </w:trPr>
        <w:tc>
          <w:tcPr>
            <w:tcW w:w="640" w:type="dxa"/>
            <w:tcMar>
              <w:top w:w="0" w:type="dxa"/>
              <w:left w:w="70" w:type="dxa"/>
              <w:bottom w:w="0" w:type="dxa"/>
              <w:right w:w="70" w:type="dxa"/>
            </w:tcMar>
            <w:hideMark/>
          </w:tcPr>
          <w:p w14:paraId="1D354E4F" w14:textId="77777777" w:rsidR="00721180" w:rsidRPr="00AD763E" w:rsidRDefault="00721180" w:rsidP="005E2C54">
            <w:pPr>
              <w:spacing w:before="60" w:after="60" w:line="220" w:lineRule="atLeast"/>
              <w:ind w:left="57" w:right="57"/>
              <w:rPr>
                <w:sz w:val="16"/>
                <w:szCs w:val="16"/>
              </w:rPr>
            </w:pPr>
            <w:r w:rsidRPr="00AD763E">
              <w:rPr>
                <w:sz w:val="16"/>
                <w:szCs w:val="16"/>
                <w:lang w:val="fr-FR"/>
              </w:rPr>
              <w:t>1169</w:t>
            </w:r>
          </w:p>
        </w:tc>
        <w:tc>
          <w:tcPr>
            <w:tcW w:w="2002" w:type="dxa"/>
            <w:tcMar>
              <w:top w:w="0" w:type="dxa"/>
              <w:left w:w="70" w:type="dxa"/>
              <w:bottom w:w="0" w:type="dxa"/>
              <w:right w:w="70" w:type="dxa"/>
            </w:tcMar>
            <w:hideMark/>
          </w:tcPr>
          <w:p w14:paraId="210A014C"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EXTRACTS, AROMATIC, LIQUID</w:t>
            </w:r>
          </w:p>
        </w:tc>
        <w:tc>
          <w:tcPr>
            <w:tcW w:w="2272" w:type="dxa"/>
            <w:tcMar>
              <w:top w:w="0" w:type="dxa"/>
              <w:left w:w="70" w:type="dxa"/>
              <w:bottom w:w="0" w:type="dxa"/>
              <w:right w:w="70" w:type="dxa"/>
            </w:tcMar>
            <w:hideMark/>
          </w:tcPr>
          <w:p w14:paraId="17E076DC"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EXTRAITS AROMATIQUES LIQUIDES</w:t>
            </w:r>
          </w:p>
        </w:tc>
        <w:tc>
          <w:tcPr>
            <w:tcW w:w="2457" w:type="dxa"/>
            <w:tcMar>
              <w:top w:w="0" w:type="dxa"/>
              <w:left w:w="70" w:type="dxa"/>
              <w:bottom w:w="0" w:type="dxa"/>
              <w:right w:w="70" w:type="dxa"/>
            </w:tcMar>
            <w:hideMark/>
          </w:tcPr>
          <w:p w14:paraId="193C9CE2"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EXTRACTOS AROMÁTICOS LÍQUIDOS</w:t>
            </w:r>
          </w:p>
        </w:tc>
      </w:tr>
      <w:tr w:rsidR="00721180" w:rsidRPr="00AD763E" w14:paraId="7D7089C0" w14:textId="77777777" w:rsidTr="005E2C54">
        <w:trPr>
          <w:trHeight w:val="450"/>
        </w:trPr>
        <w:tc>
          <w:tcPr>
            <w:tcW w:w="640" w:type="dxa"/>
            <w:tcMar>
              <w:top w:w="0" w:type="dxa"/>
              <w:left w:w="70" w:type="dxa"/>
              <w:bottom w:w="0" w:type="dxa"/>
              <w:right w:w="70" w:type="dxa"/>
            </w:tcMar>
            <w:hideMark/>
          </w:tcPr>
          <w:p w14:paraId="586A4788" w14:textId="77777777" w:rsidR="00721180" w:rsidRPr="00AD763E" w:rsidRDefault="00721180" w:rsidP="005E2C54">
            <w:pPr>
              <w:spacing w:before="60" w:after="60" w:line="220" w:lineRule="atLeast"/>
              <w:ind w:left="57" w:right="57"/>
              <w:rPr>
                <w:sz w:val="16"/>
                <w:szCs w:val="16"/>
              </w:rPr>
            </w:pPr>
            <w:r w:rsidRPr="00AD763E">
              <w:rPr>
                <w:sz w:val="16"/>
                <w:szCs w:val="16"/>
                <w:lang w:val="fr-FR"/>
              </w:rPr>
              <w:t>1197</w:t>
            </w:r>
          </w:p>
        </w:tc>
        <w:tc>
          <w:tcPr>
            <w:tcW w:w="2002" w:type="dxa"/>
            <w:tcMar>
              <w:top w:w="0" w:type="dxa"/>
              <w:left w:w="70" w:type="dxa"/>
              <w:bottom w:w="0" w:type="dxa"/>
              <w:right w:w="70" w:type="dxa"/>
            </w:tcMar>
            <w:hideMark/>
          </w:tcPr>
          <w:p w14:paraId="00470F51"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EXTRACTS, FLAVOURING, LIQUID</w:t>
            </w:r>
          </w:p>
        </w:tc>
        <w:tc>
          <w:tcPr>
            <w:tcW w:w="2272" w:type="dxa"/>
            <w:tcMar>
              <w:top w:w="0" w:type="dxa"/>
              <w:left w:w="70" w:type="dxa"/>
              <w:bottom w:w="0" w:type="dxa"/>
              <w:right w:w="70" w:type="dxa"/>
            </w:tcMar>
            <w:hideMark/>
          </w:tcPr>
          <w:p w14:paraId="412340E9"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EXTRAITS LIQUIDES POUR AROMATISER</w:t>
            </w:r>
          </w:p>
        </w:tc>
        <w:tc>
          <w:tcPr>
            <w:tcW w:w="2457" w:type="dxa"/>
            <w:tcMar>
              <w:top w:w="0" w:type="dxa"/>
              <w:left w:w="70" w:type="dxa"/>
              <w:bottom w:w="0" w:type="dxa"/>
              <w:right w:w="70" w:type="dxa"/>
            </w:tcMar>
            <w:hideMark/>
          </w:tcPr>
          <w:p w14:paraId="007E041D" w14:textId="77777777" w:rsidR="00721180" w:rsidRPr="00AD763E" w:rsidRDefault="00721180" w:rsidP="005E2C54">
            <w:pPr>
              <w:spacing w:before="60" w:after="60" w:line="220" w:lineRule="atLeast"/>
              <w:ind w:left="57" w:right="57"/>
              <w:rPr>
                <w:sz w:val="16"/>
                <w:szCs w:val="16"/>
              </w:rPr>
            </w:pPr>
            <w:r w:rsidRPr="00AD763E">
              <w:rPr>
                <w:sz w:val="16"/>
                <w:szCs w:val="16"/>
                <w:lang w:val="fr-FR"/>
              </w:rPr>
              <w:t>EXTRACTOS LÍQUIDOS PARA AROMATIZAR</w:t>
            </w:r>
          </w:p>
        </w:tc>
      </w:tr>
    </w:tbl>
    <w:p w14:paraId="616173F3" w14:textId="77777777" w:rsidR="00721180" w:rsidRPr="003B2994" w:rsidRDefault="00721180" w:rsidP="00721180">
      <w:pPr>
        <w:pStyle w:val="SingleTxtG"/>
        <w:spacing w:before="240"/>
        <w:rPr>
          <w:rFonts w:eastAsia="Times New Roman"/>
          <w:lang w:val="fr-FR"/>
        </w:rPr>
      </w:pPr>
      <w:r w:rsidRPr="001F6232">
        <w:rPr>
          <w:lang w:val="fr-FR"/>
        </w:rPr>
        <w:t>4</w:t>
      </w:r>
      <w:r w:rsidRPr="00721180">
        <w:rPr>
          <w:rStyle w:val="FootnoteReference"/>
          <w:sz w:val="20"/>
          <w:vertAlign w:val="baseline"/>
        </w:rPr>
        <w:t>.</w:t>
      </w:r>
      <w:r w:rsidRPr="001F6232">
        <w:rPr>
          <w:lang w:val="fr-FR"/>
        </w:rPr>
        <w:tab/>
        <w:t>Seules les désignations dans la version anglaise permettent d</w:t>
      </w:r>
      <w:r>
        <w:rPr>
          <w:lang w:val="fr-FR"/>
        </w:rPr>
        <w:t>’</w:t>
      </w:r>
      <w:r w:rsidRPr="001F6232">
        <w:rPr>
          <w:lang w:val="fr-FR"/>
        </w:rPr>
        <w:t>établir une distinction entre ces deux numéros ONU</w:t>
      </w:r>
      <w:r w:rsidRPr="00721180">
        <w:rPr>
          <w:rStyle w:val="FootnoteReference"/>
          <w:sz w:val="20"/>
          <w:vertAlign w:val="baseline"/>
        </w:rPr>
        <w:t>.</w:t>
      </w:r>
      <w:r w:rsidRPr="001F6232">
        <w:rPr>
          <w:lang w:val="fr-FR"/>
        </w:rPr>
        <w:t xml:space="preserve"> Néanmoins, dans la mesure où deux numéros ONU différents ont été créés, il conviendrait de pouvoir les distinguer l</w:t>
      </w:r>
      <w:r>
        <w:rPr>
          <w:lang w:val="fr-FR"/>
        </w:rPr>
        <w:t>’</w:t>
      </w:r>
      <w:r w:rsidRPr="001F6232">
        <w:rPr>
          <w:lang w:val="fr-FR"/>
        </w:rPr>
        <w:t>un de l</w:t>
      </w:r>
      <w:r>
        <w:rPr>
          <w:lang w:val="fr-FR"/>
        </w:rPr>
        <w:t>’</w:t>
      </w:r>
      <w:r w:rsidRPr="001F6232">
        <w:rPr>
          <w:lang w:val="fr-FR"/>
        </w:rPr>
        <w:t>autre</w:t>
      </w:r>
      <w:r w:rsidRPr="00721180">
        <w:rPr>
          <w:rStyle w:val="FootnoteReference"/>
          <w:sz w:val="20"/>
          <w:vertAlign w:val="baseline"/>
        </w:rPr>
        <w:t>.</w:t>
      </w:r>
    </w:p>
    <w:p w14:paraId="72AA178D" w14:textId="77777777" w:rsidR="00721180" w:rsidRPr="003B2994" w:rsidRDefault="00721180" w:rsidP="00721180">
      <w:pPr>
        <w:pStyle w:val="SingleTxtG"/>
        <w:rPr>
          <w:rFonts w:eastAsia="Times New Roman"/>
          <w:lang w:val="fr-FR"/>
        </w:rPr>
      </w:pPr>
      <w:r w:rsidRPr="001F6232">
        <w:rPr>
          <w:lang w:val="fr-FR"/>
        </w:rPr>
        <w:t>5</w:t>
      </w:r>
      <w:r w:rsidRPr="00721180">
        <w:rPr>
          <w:rStyle w:val="FootnoteReference"/>
          <w:sz w:val="20"/>
          <w:vertAlign w:val="baseline"/>
        </w:rPr>
        <w:t>.</w:t>
      </w:r>
      <w:r w:rsidRPr="001F6232">
        <w:rPr>
          <w:lang w:val="fr-FR"/>
        </w:rPr>
        <w:tab/>
        <w:t>Pour la version espagnole, il s</w:t>
      </w:r>
      <w:r>
        <w:rPr>
          <w:lang w:val="fr-FR"/>
        </w:rPr>
        <w:t>’</w:t>
      </w:r>
      <w:r w:rsidRPr="001F6232">
        <w:rPr>
          <w:lang w:val="fr-FR"/>
        </w:rPr>
        <w:t>agit là d</w:t>
      </w:r>
      <w:r>
        <w:rPr>
          <w:lang w:val="fr-FR"/>
        </w:rPr>
        <w:t>’</w:t>
      </w:r>
      <w:r w:rsidRPr="001F6232">
        <w:rPr>
          <w:lang w:val="fr-FR"/>
        </w:rPr>
        <w:t xml:space="preserve">un nouveau problème, qui date de la </w:t>
      </w:r>
      <w:r>
        <w:rPr>
          <w:lang w:val="fr-FR"/>
        </w:rPr>
        <w:t xml:space="preserve">vingt et unième </w:t>
      </w:r>
      <w:r w:rsidRPr="001F6232">
        <w:rPr>
          <w:lang w:val="fr-FR"/>
        </w:rPr>
        <w:t>édition, alors</w:t>
      </w:r>
      <w:r>
        <w:rPr>
          <w:lang w:val="fr-FR"/>
        </w:rPr>
        <w:t xml:space="preserve"> </w:t>
      </w:r>
      <w:r w:rsidRPr="001F6232">
        <w:rPr>
          <w:lang w:val="fr-FR"/>
        </w:rPr>
        <w:t>que le problème existait déjà dans la version française</w:t>
      </w:r>
      <w:r w:rsidRPr="00721180">
        <w:rPr>
          <w:rStyle w:val="FootnoteReference"/>
          <w:sz w:val="20"/>
          <w:vertAlign w:val="baseline"/>
        </w:rPr>
        <w:t>.</w:t>
      </w:r>
      <w:r w:rsidRPr="001F6232">
        <w:rPr>
          <w:lang w:val="fr-FR"/>
        </w:rPr>
        <w:t xml:space="preserve"> L</w:t>
      </w:r>
      <w:r>
        <w:rPr>
          <w:lang w:val="fr-FR"/>
        </w:rPr>
        <w:t>’</w:t>
      </w:r>
      <w:r w:rsidRPr="001F6232">
        <w:rPr>
          <w:lang w:val="fr-FR"/>
        </w:rPr>
        <w:t>Espagne a consulté les délégations francophones pour savoir de quelle manière elles distinguaient actuellement ces deux numéros ONU, si elles estimaient qu</w:t>
      </w:r>
      <w:r>
        <w:rPr>
          <w:lang w:val="fr-FR"/>
        </w:rPr>
        <w:t>’</w:t>
      </w:r>
      <w:r w:rsidRPr="001F6232">
        <w:rPr>
          <w:lang w:val="fr-FR"/>
        </w:rPr>
        <w:t>il serait raisonnable de modifier la désignation française (ainsi que la désignation espagnole) du N</w:t>
      </w:r>
      <w:r w:rsidRPr="00721180">
        <w:rPr>
          <w:lang w:val="fr-FR"/>
        </w:rPr>
        <w:t>o</w:t>
      </w:r>
      <w:r>
        <w:rPr>
          <w:lang w:val="fr-FR"/>
        </w:rPr>
        <w:t> </w:t>
      </w:r>
      <w:r w:rsidRPr="001F6232">
        <w:rPr>
          <w:lang w:val="fr-FR"/>
        </w:rPr>
        <w:t>ONU</w:t>
      </w:r>
      <w:r>
        <w:rPr>
          <w:lang w:val="fr-FR"/>
        </w:rPr>
        <w:t> </w:t>
      </w:r>
      <w:r w:rsidRPr="001F6232">
        <w:rPr>
          <w:lang w:val="fr-FR"/>
        </w:rPr>
        <w:t>1197, et, si cela n</w:t>
      </w:r>
      <w:r>
        <w:rPr>
          <w:lang w:val="fr-FR"/>
        </w:rPr>
        <w:t>’</w:t>
      </w:r>
      <w:r w:rsidRPr="001F6232">
        <w:rPr>
          <w:lang w:val="fr-FR"/>
        </w:rPr>
        <w:t>était pas possible et que les désignations actuelles</w:t>
      </w:r>
      <w:r>
        <w:rPr>
          <w:lang w:val="fr-FR"/>
        </w:rPr>
        <w:t xml:space="preserve"> </w:t>
      </w:r>
      <w:r w:rsidRPr="001F6232">
        <w:rPr>
          <w:lang w:val="fr-FR"/>
        </w:rPr>
        <w:t>étaient conservées, ce que l</w:t>
      </w:r>
      <w:r>
        <w:rPr>
          <w:lang w:val="fr-FR"/>
        </w:rPr>
        <w:t>’</w:t>
      </w:r>
      <w:r w:rsidRPr="001F6232">
        <w:rPr>
          <w:lang w:val="fr-FR"/>
        </w:rPr>
        <w:t>on pourrait faire pour les différencier</w:t>
      </w:r>
      <w:r w:rsidRPr="00721180">
        <w:rPr>
          <w:rStyle w:val="FootnoteReference"/>
          <w:sz w:val="20"/>
          <w:vertAlign w:val="baseline"/>
        </w:rPr>
        <w:t>.</w:t>
      </w:r>
    </w:p>
    <w:p w14:paraId="02567A1B" w14:textId="77777777" w:rsidR="00721180" w:rsidRPr="003B2994" w:rsidRDefault="00721180" w:rsidP="00721180">
      <w:pPr>
        <w:pStyle w:val="SingleTxtG"/>
        <w:rPr>
          <w:rFonts w:eastAsia="Times New Roman"/>
          <w:lang w:val="fr-FR"/>
        </w:rPr>
      </w:pPr>
      <w:r w:rsidRPr="001F6232">
        <w:rPr>
          <w:lang w:val="fr-FR"/>
        </w:rPr>
        <w:t>6</w:t>
      </w:r>
      <w:r w:rsidRPr="00721180">
        <w:rPr>
          <w:rStyle w:val="FootnoteReference"/>
          <w:sz w:val="20"/>
          <w:vertAlign w:val="baseline"/>
        </w:rPr>
        <w:t>.</w:t>
      </w:r>
      <w:r w:rsidRPr="001F6232">
        <w:rPr>
          <w:lang w:val="fr-FR"/>
        </w:rPr>
        <w:tab/>
        <w:t>En ce qui concerne les versions française et espagnole des Recommandations (Règlement type) de l</w:t>
      </w:r>
      <w:r>
        <w:rPr>
          <w:lang w:val="fr-FR"/>
        </w:rPr>
        <w:t>’</w:t>
      </w:r>
      <w:r w:rsidRPr="001F6232">
        <w:rPr>
          <w:lang w:val="fr-FR"/>
        </w:rPr>
        <w:t xml:space="preserve">ONU, il </w:t>
      </w:r>
      <w:r>
        <w:rPr>
          <w:lang w:val="fr-FR"/>
        </w:rPr>
        <w:t xml:space="preserve">a été jugé </w:t>
      </w:r>
      <w:r w:rsidRPr="001F6232">
        <w:rPr>
          <w:lang w:val="fr-FR"/>
        </w:rPr>
        <w:t xml:space="preserve">nécessaire de préciser la différence entre les deux désignations officielles de transport </w:t>
      </w:r>
      <w:proofErr w:type="spellStart"/>
      <w:r w:rsidRPr="001F6232">
        <w:rPr>
          <w:lang w:val="fr-FR"/>
        </w:rPr>
        <w:t>de</w:t>
      </w:r>
      <w:r>
        <w:rPr>
          <w:lang w:val="fr-FR"/>
        </w:rPr>
        <w:t>s</w:t>
      </w:r>
      <w:proofErr w:type="spellEnd"/>
      <w:r w:rsidRPr="001F6232">
        <w:rPr>
          <w:lang w:val="fr-FR"/>
        </w:rPr>
        <w:t xml:space="preserve"> </w:t>
      </w:r>
      <w:r>
        <w:rPr>
          <w:lang w:val="fr-FR"/>
        </w:rPr>
        <w:t xml:space="preserve">Nos </w:t>
      </w:r>
      <w:r w:rsidRPr="001F6232">
        <w:rPr>
          <w:lang w:val="fr-FR"/>
        </w:rPr>
        <w:t>ONU</w:t>
      </w:r>
      <w:r>
        <w:rPr>
          <w:lang w:val="fr-FR"/>
        </w:rPr>
        <w:t xml:space="preserve"> 1169 et 1197, ou bien de déterminer s’il conviendrait de ne conserver qu’un seul numéro ONU</w:t>
      </w:r>
      <w:r w:rsidRPr="00721180">
        <w:rPr>
          <w:rStyle w:val="FootnoteReference"/>
          <w:sz w:val="20"/>
          <w:vertAlign w:val="baseline"/>
        </w:rPr>
        <w:t>.</w:t>
      </w:r>
    </w:p>
    <w:p w14:paraId="4A971747" w14:textId="77777777" w:rsidR="00721180" w:rsidRPr="003B2994" w:rsidRDefault="00721180" w:rsidP="00721180">
      <w:pPr>
        <w:pStyle w:val="SingleTxtG"/>
      </w:pPr>
      <w:r w:rsidRPr="003B2994">
        <w:t>7</w:t>
      </w:r>
      <w:r w:rsidRPr="00721180">
        <w:rPr>
          <w:rStyle w:val="FootnoteReference"/>
          <w:sz w:val="20"/>
          <w:vertAlign w:val="baseline"/>
        </w:rPr>
        <w:t>.</w:t>
      </w:r>
      <w:r w:rsidRPr="003B2994">
        <w:tab/>
        <w:t>Le document ST/SG/AC</w:t>
      </w:r>
      <w:r w:rsidRPr="00721180">
        <w:rPr>
          <w:rStyle w:val="FootnoteReference"/>
          <w:sz w:val="20"/>
          <w:vertAlign w:val="baseline"/>
        </w:rPr>
        <w:t>.</w:t>
      </w:r>
      <w:r w:rsidRPr="003B2994">
        <w:t>10/C</w:t>
      </w:r>
      <w:r w:rsidRPr="00721180">
        <w:rPr>
          <w:rStyle w:val="FootnoteReference"/>
          <w:sz w:val="20"/>
          <w:vertAlign w:val="baseline"/>
        </w:rPr>
        <w:t>.</w:t>
      </w:r>
      <w:r w:rsidRPr="003B2994">
        <w:t>3/2020/38, présenté par l</w:t>
      </w:r>
      <w:r>
        <w:t>’</w:t>
      </w:r>
      <w:r w:rsidRPr="003B2994">
        <w:t>Espagne, a fait l</w:t>
      </w:r>
      <w:r>
        <w:t>’</w:t>
      </w:r>
      <w:r w:rsidRPr="003B2994">
        <w:t>objet d</w:t>
      </w:r>
      <w:r>
        <w:t>’</w:t>
      </w:r>
      <w:r w:rsidRPr="003B2994">
        <w:t>observations écrites de la part de plusieurs délégations au cours des dé</w:t>
      </w:r>
      <w:r w:rsidRPr="003B2994">
        <w:rPr>
          <w:lang w:val="fr-FR"/>
        </w:rPr>
        <w:t xml:space="preserve">bats informels de juin et juillet </w:t>
      </w:r>
      <w:r w:rsidRPr="003B2994">
        <w:t>2020</w:t>
      </w:r>
      <w:r w:rsidRPr="00721180">
        <w:rPr>
          <w:rStyle w:val="FootnoteReference"/>
          <w:sz w:val="20"/>
          <w:vertAlign w:val="baseline"/>
        </w:rPr>
        <w:t>.</w:t>
      </w:r>
      <w:r w:rsidRPr="003B2994">
        <w:t xml:space="preserve"> </w:t>
      </w:r>
      <w:r w:rsidRPr="003B2994">
        <w:rPr>
          <w:lang w:val="fr-FR"/>
        </w:rPr>
        <w:t>L</w:t>
      </w:r>
      <w:r>
        <w:t>’</w:t>
      </w:r>
      <w:r w:rsidRPr="003B2994">
        <w:t>Espagne et le CEFIC ont tenu compte de ces observations d</w:t>
      </w:r>
      <w:r w:rsidRPr="003B2994">
        <w:rPr>
          <w:lang w:val="fr-FR"/>
        </w:rPr>
        <w:t xml:space="preserve">ans la présente version révisée du </w:t>
      </w:r>
      <w:r w:rsidRPr="003B2994">
        <w:t>document</w:t>
      </w:r>
      <w:r w:rsidRPr="00721180">
        <w:rPr>
          <w:rStyle w:val="FootnoteReference"/>
          <w:sz w:val="20"/>
          <w:vertAlign w:val="baseline"/>
        </w:rPr>
        <w:t>.</w:t>
      </w:r>
    </w:p>
    <w:p w14:paraId="2164E4DA" w14:textId="77777777" w:rsidR="00721180" w:rsidRPr="003B2994" w:rsidRDefault="00721180" w:rsidP="00721180">
      <w:pPr>
        <w:pStyle w:val="HChG"/>
        <w:rPr>
          <w:lang w:val="fr-FR"/>
        </w:rPr>
      </w:pPr>
      <w:r w:rsidRPr="003B2994">
        <w:tab/>
      </w:r>
      <w:r w:rsidRPr="003B2994">
        <w:tab/>
      </w:r>
      <w:r w:rsidRPr="001F6232">
        <w:rPr>
          <w:lang w:val="fr-FR"/>
        </w:rPr>
        <w:t>Historique</w:t>
      </w:r>
      <w:r>
        <w:rPr>
          <w:lang w:val="fr-FR"/>
        </w:rPr>
        <w:t xml:space="preserve"> </w:t>
      </w:r>
      <w:r w:rsidRPr="001F6232">
        <w:rPr>
          <w:lang w:val="fr-FR"/>
        </w:rPr>
        <w:t>des numéros ONU visés dans le Règlement type</w:t>
      </w:r>
    </w:p>
    <w:p w14:paraId="36AC3272" w14:textId="77777777" w:rsidR="00721180" w:rsidRPr="003B2994" w:rsidRDefault="00721180" w:rsidP="00721180">
      <w:pPr>
        <w:pStyle w:val="SingleTxtG"/>
        <w:rPr>
          <w:rFonts w:eastAsia="Times New Roman"/>
          <w:lang w:val="fr-FR"/>
        </w:rPr>
      </w:pPr>
      <w:r>
        <w:rPr>
          <w:lang w:val="fr-FR"/>
        </w:rPr>
        <w:t>8</w:t>
      </w:r>
      <w:r w:rsidRPr="00721180">
        <w:rPr>
          <w:rStyle w:val="FootnoteReference"/>
          <w:sz w:val="20"/>
          <w:vertAlign w:val="baseline"/>
        </w:rPr>
        <w:t>.</w:t>
      </w:r>
      <w:r w:rsidRPr="001F6232">
        <w:rPr>
          <w:lang w:val="fr-FR"/>
        </w:rPr>
        <w:tab/>
        <w:t>L</w:t>
      </w:r>
      <w:r>
        <w:rPr>
          <w:lang w:val="fr-FR"/>
        </w:rPr>
        <w:t>’</w:t>
      </w:r>
      <w:r w:rsidRPr="001F6232">
        <w:rPr>
          <w:lang w:val="fr-FR"/>
        </w:rPr>
        <w:t>Espagne a également consulté la CEE pour connaître l</w:t>
      </w:r>
      <w:r>
        <w:rPr>
          <w:lang w:val="fr-FR"/>
        </w:rPr>
        <w:t>’</w:t>
      </w:r>
      <w:r w:rsidRPr="001F6232">
        <w:rPr>
          <w:lang w:val="fr-FR"/>
        </w:rPr>
        <w:t>origine</w:t>
      </w:r>
      <w:r>
        <w:rPr>
          <w:lang w:val="fr-FR"/>
        </w:rPr>
        <w:t xml:space="preserve"> </w:t>
      </w:r>
      <w:r w:rsidRPr="001F6232">
        <w:rPr>
          <w:lang w:val="fr-FR"/>
        </w:rPr>
        <w:t>des numéros ONU visés</w:t>
      </w:r>
      <w:r w:rsidRPr="00721180">
        <w:rPr>
          <w:rStyle w:val="FootnoteReference"/>
          <w:sz w:val="20"/>
          <w:vertAlign w:val="baseline"/>
        </w:rPr>
        <w:t>.</w:t>
      </w:r>
      <w:r w:rsidRPr="001F6232">
        <w:rPr>
          <w:lang w:val="fr-FR"/>
        </w:rPr>
        <w:t xml:space="preserve"> Il n</w:t>
      </w:r>
      <w:r>
        <w:rPr>
          <w:lang w:val="fr-FR"/>
        </w:rPr>
        <w:t>’</w:t>
      </w:r>
      <w:r w:rsidRPr="001F6232">
        <w:rPr>
          <w:lang w:val="fr-FR"/>
        </w:rPr>
        <w:t>a pas été possible de retrouver la première proposition relative à leur introduction</w:t>
      </w:r>
      <w:r>
        <w:rPr>
          <w:lang w:val="fr-FR"/>
        </w:rPr>
        <w:t> </w:t>
      </w:r>
      <w:r w:rsidRPr="001F6232">
        <w:rPr>
          <w:lang w:val="fr-FR"/>
        </w:rPr>
        <w:t>; néanmoins, ces numéros ONU figurent dans le Règlement type depuis 1956</w:t>
      </w:r>
      <w:r w:rsidRPr="00721180">
        <w:rPr>
          <w:rStyle w:val="FootnoteReference"/>
          <w:sz w:val="20"/>
          <w:vertAlign w:val="baseline"/>
        </w:rPr>
        <w:t>.</w:t>
      </w:r>
      <w:r w:rsidRPr="001F6232">
        <w:rPr>
          <w:lang w:val="fr-FR"/>
        </w:rPr>
        <w:t xml:space="preserve"> À l</w:t>
      </w:r>
      <w:r>
        <w:rPr>
          <w:lang w:val="fr-FR"/>
        </w:rPr>
        <w:t>’</w:t>
      </w:r>
      <w:r w:rsidRPr="001F6232">
        <w:rPr>
          <w:lang w:val="fr-FR"/>
        </w:rPr>
        <w:t>époque, ils étaient répertoriés par classe, dans l</w:t>
      </w:r>
      <w:r>
        <w:rPr>
          <w:lang w:val="fr-FR"/>
        </w:rPr>
        <w:t>’</w:t>
      </w:r>
      <w:r w:rsidRPr="001F6232">
        <w:rPr>
          <w:lang w:val="fr-FR"/>
        </w:rPr>
        <w:t>ordre alphabétique anglais à l</w:t>
      </w:r>
      <w:r>
        <w:rPr>
          <w:lang w:val="fr-FR"/>
        </w:rPr>
        <w:t>’</w:t>
      </w:r>
      <w:r w:rsidRPr="001F6232">
        <w:rPr>
          <w:lang w:val="fr-FR"/>
        </w:rPr>
        <w:t>intérieur de chaque classe, c</w:t>
      </w:r>
      <w:r>
        <w:rPr>
          <w:lang w:val="fr-FR"/>
        </w:rPr>
        <w:t>’</w:t>
      </w:r>
      <w:r w:rsidRPr="001F6232">
        <w:rPr>
          <w:lang w:val="fr-FR"/>
        </w:rPr>
        <w:t>est-à-dire sans numéro ONU</w:t>
      </w:r>
      <w:r w:rsidRPr="00721180">
        <w:rPr>
          <w:rStyle w:val="FootnoteReference"/>
          <w:sz w:val="20"/>
          <w:vertAlign w:val="baseline"/>
        </w:rPr>
        <w:t>.</w:t>
      </w:r>
      <w:r w:rsidRPr="001F6232">
        <w:rPr>
          <w:lang w:val="fr-FR"/>
        </w:rPr>
        <w:t xml:space="preserve"> Les entrées correspondant aux N</w:t>
      </w:r>
      <w:r w:rsidRPr="00721180">
        <w:rPr>
          <w:lang w:val="fr-FR"/>
        </w:rPr>
        <w:t>os</w:t>
      </w:r>
      <w:r>
        <w:rPr>
          <w:lang w:val="fr-FR"/>
        </w:rPr>
        <w:t> </w:t>
      </w:r>
      <w:r w:rsidRPr="001F6232">
        <w:rPr>
          <w:lang w:val="fr-FR"/>
        </w:rPr>
        <w:t>ONU</w:t>
      </w:r>
      <w:r>
        <w:rPr>
          <w:lang w:val="fr-FR"/>
        </w:rPr>
        <w:t> </w:t>
      </w:r>
      <w:r w:rsidRPr="001F6232">
        <w:rPr>
          <w:lang w:val="fr-FR"/>
        </w:rPr>
        <w:t>1169 et 1197 actuels étaient les suivantes</w:t>
      </w:r>
      <w:r>
        <w:rPr>
          <w:lang w:val="fr-FR"/>
        </w:rPr>
        <w:t> </w:t>
      </w:r>
      <w:r w:rsidRPr="001F6232">
        <w:rPr>
          <w:lang w:val="fr-FR"/>
        </w:rPr>
        <w:t>:</w:t>
      </w:r>
    </w:p>
    <w:p w14:paraId="0718228C" w14:textId="77777777" w:rsidR="00721180" w:rsidRPr="003B2994" w:rsidRDefault="00721180" w:rsidP="00721180">
      <w:pPr>
        <w:pStyle w:val="SingleTxtG"/>
        <w:ind w:left="1701"/>
        <w:rPr>
          <w:lang w:val="fr-FR"/>
        </w:rPr>
      </w:pPr>
      <w:r w:rsidRPr="003B2994">
        <w:t xml:space="preserve">ONU 1169 : Essences, </w:t>
      </w:r>
      <w:proofErr w:type="spellStart"/>
      <w:r w:rsidRPr="003B2994">
        <w:t>having</w:t>
      </w:r>
      <w:proofErr w:type="spellEnd"/>
      <w:r w:rsidRPr="003B2994">
        <w:t xml:space="preserve"> a flash point </w:t>
      </w:r>
      <w:proofErr w:type="spellStart"/>
      <w:r w:rsidRPr="003B2994">
        <w:t>below</w:t>
      </w:r>
      <w:proofErr w:type="spellEnd"/>
      <w:r w:rsidRPr="003B2994">
        <w:t xml:space="preserve"> 150 °F (65</w:t>
      </w:r>
      <w:r w:rsidRPr="00721180">
        <w:rPr>
          <w:rStyle w:val="FootnoteReference"/>
          <w:sz w:val="20"/>
          <w:vertAlign w:val="baseline"/>
        </w:rPr>
        <w:t>.</w:t>
      </w:r>
      <w:r w:rsidRPr="003B2994">
        <w:t>6 °C)</w:t>
      </w:r>
      <w:r w:rsidRPr="00721180">
        <w:rPr>
          <w:rStyle w:val="FootnoteReference"/>
          <w:sz w:val="20"/>
          <w:vertAlign w:val="baseline"/>
        </w:rPr>
        <w:t>.</w:t>
      </w:r>
      <w:r w:rsidRPr="003B2994">
        <w:t xml:space="preserve"> </w:t>
      </w:r>
      <w:r w:rsidRPr="001F6232">
        <w:rPr>
          <w:lang w:val="fr-FR"/>
        </w:rPr>
        <w:t>Essences, de point d</w:t>
      </w:r>
      <w:r>
        <w:rPr>
          <w:lang w:val="fr-FR"/>
        </w:rPr>
        <w:t>’</w:t>
      </w:r>
      <w:r w:rsidRPr="001F6232">
        <w:rPr>
          <w:lang w:val="fr-FR"/>
        </w:rPr>
        <w:t>éclair inférieur à 65,6</w:t>
      </w:r>
      <w:r>
        <w:rPr>
          <w:lang w:val="fr-FR"/>
        </w:rPr>
        <w:t> </w:t>
      </w:r>
      <w:r w:rsidRPr="001F6232">
        <w:rPr>
          <w:lang w:val="fr-FR"/>
        </w:rPr>
        <w:t>°C (150</w:t>
      </w:r>
      <w:r>
        <w:rPr>
          <w:lang w:val="fr-FR"/>
        </w:rPr>
        <w:t> </w:t>
      </w:r>
      <w:r w:rsidRPr="001F6232">
        <w:rPr>
          <w:lang w:val="fr-FR"/>
        </w:rPr>
        <w:t>°F)</w:t>
      </w:r>
      <w:r w:rsidRPr="00721180">
        <w:rPr>
          <w:rStyle w:val="FootnoteReference"/>
          <w:sz w:val="20"/>
          <w:vertAlign w:val="baseline"/>
        </w:rPr>
        <w:t>.</w:t>
      </w:r>
      <w:r>
        <w:rPr>
          <w:lang w:val="fr-FR"/>
        </w:rPr>
        <w:t xml:space="preserve"> </w:t>
      </w:r>
    </w:p>
    <w:p w14:paraId="43F21440" w14:textId="77777777" w:rsidR="00721180" w:rsidRPr="003B2994" w:rsidRDefault="00721180" w:rsidP="00721180">
      <w:pPr>
        <w:pStyle w:val="SingleTxtG"/>
        <w:ind w:left="1701"/>
        <w:rPr>
          <w:lang w:val="fr-FR"/>
        </w:rPr>
      </w:pPr>
      <w:r w:rsidRPr="00610072">
        <w:rPr>
          <w:lang w:val="fr-FR"/>
        </w:rPr>
        <w:t xml:space="preserve">ONU 1197 : </w:t>
      </w:r>
      <w:proofErr w:type="spellStart"/>
      <w:r w:rsidRPr="00610072">
        <w:rPr>
          <w:lang w:val="fr-FR"/>
        </w:rPr>
        <w:t>Extracts</w:t>
      </w:r>
      <w:proofErr w:type="spellEnd"/>
      <w:r w:rsidRPr="00610072">
        <w:rPr>
          <w:lang w:val="fr-FR"/>
        </w:rPr>
        <w:t xml:space="preserve">, </w:t>
      </w:r>
      <w:proofErr w:type="spellStart"/>
      <w:r w:rsidRPr="00610072">
        <w:rPr>
          <w:lang w:val="fr-FR"/>
        </w:rPr>
        <w:t>Flavouring</w:t>
      </w:r>
      <w:proofErr w:type="spellEnd"/>
      <w:r w:rsidRPr="00610072">
        <w:rPr>
          <w:lang w:val="fr-FR"/>
        </w:rPr>
        <w:t xml:space="preserve">, </w:t>
      </w:r>
      <w:proofErr w:type="spellStart"/>
      <w:r w:rsidRPr="00610072">
        <w:rPr>
          <w:lang w:val="fr-FR"/>
        </w:rPr>
        <w:t>liquid</w:t>
      </w:r>
      <w:proofErr w:type="spellEnd"/>
      <w:r w:rsidRPr="00610072">
        <w:rPr>
          <w:lang w:val="fr-FR"/>
        </w:rPr>
        <w:t xml:space="preserve"> </w:t>
      </w:r>
      <w:proofErr w:type="spellStart"/>
      <w:r w:rsidRPr="00610072">
        <w:rPr>
          <w:lang w:val="fr-FR"/>
        </w:rPr>
        <w:t>having</w:t>
      </w:r>
      <w:proofErr w:type="spellEnd"/>
      <w:r w:rsidRPr="00610072">
        <w:rPr>
          <w:lang w:val="fr-FR"/>
        </w:rPr>
        <w:t xml:space="preserve"> a flash point </w:t>
      </w:r>
      <w:proofErr w:type="spellStart"/>
      <w:r w:rsidRPr="00610072">
        <w:rPr>
          <w:lang w:val="fr-FR"/>
        </w:rPr>
        <w:t>below</w:t>
      </w:r>
      <w:proofErr w:type="spellEnd"/>
      <w:r w:rsidRPr="00610072">
        <w:rPr>
          <w:lang w:val="fr-FR"/>
        </w:rPr>
        <w:t xml:space="preserve"> 150 °F (65</w:t>
      </w:r>
      <w:r w:rsidRPr="00721180">
        <w:rPr>
          <w:rStyle w:val="FootnoteReference"/>
          <w:sz w:val="20"/>
          <w:vertAlign w:val="baseline"/>
        </w:rPr>
        <w:t>.</w:t>
      </w:r>
      <w:r w:rsidRPr="00610072">
        <w:rPr>
          <w:lang w:val="fr-FR"/>
        </w:rPr>
        <w:t>6 °C)</w:t>
      </w:r>
      <w:r w:rsidRPr="00721180">
        <w:rPr>
          <w:rStyle w:val="FootnoteReference"/>
          <w:sz w:val="20"/>
          <w:vertAlign w:val="baseline"/>
        </w:rPr>
        <w:t>.</w:t>
      </w:r>
      <w:r w:rsidRPr="00610072">
        <w:rPr>
          <w:lang w:val="fr-FR"/>
        </w:rPr>
        <w:t xml:space="preserve"> </w:t>
      </w:r>
      <w:r w:rsidRPr="001F6232">
        <w:rPr>
          <w:lang w:val="fr-FR"/>
        </w:rPr>
        <w:t>Extraits aromatiques liquides, de point d</w:t>
      </w:r>
      <w:r>
        <w:rPr>
          <w:lang w:val="fr-FR"/>
        </w:rPr>
        <w:t>’</w:t>
      </w:r>
      <w:r w:rsidRPr="001F6232">
        <w:rPr>
          <w:lang w:val="fr-FR"/>
        </w:rPr>
        <w:t>éclair inférieur à 65,6</w:t>
      </w:r>
      <w:r>
        <w:rPr>
          <w:lang w:val="fr-FR"/>
        </w:rPr>
        <w:t> </w:t>
      </w:r>
      <w:r w:rsidRPr="001F6232">
        <w:rPr>
          <w:lang w:val="fr-FR"/>
        </w:rPr>
        <w:t>°C (150</w:t>
      </w:r>
      <w:r>
        <w:rPr>
          <w:lang w:val="fr-FR"/>
        </w:rPr>
        <w:t> </w:t>
      </w:r>
      <w:r w:rsidRPr="001F6232">
        <w:rPr>
          <w:lang w:val="fr-FR"/>
        </w:rPr>
        <w:t>°F)</w:t>
      </w:r>
      <w:r w:rsidRPr="00721180">
        <w:rPr>
          <w:rStyle w:val="FootnoteReference"/>
          <w:sz w:val="20"/>
          <w:vertAlign w:val="baseline"/>
        </w:rPr>
        <w:t>.</w:t>
      </w:r>
    </w:p>
    <w:p w14:paraId="38FFA85A" w14:textId="77777777" w:rsidR="00721180" w:rsidRPr="003B2994" w:rsidRDefault="00721180" w:rsidP="00721180">
      <w:pPr>
        <w:pStyle w:val="SingleTxtG"/>
        <w:rPr>
          <w:rFonts w:eastAsia="Times New Roman"/>
          <w:lang w:val="fr-FR"/>
        </w:rPr>
      </w:pPr>
      <w:r>
        <w:rPr>
          <w:lang w:val="fr-FR"/>
        </w:rPr>
        <w:t>9</w:t>
      </w:r>
      <w:r w:rsidRPr="00721180">
        <w:rPr>
          <w:rStyle w:val="FootnoteReference"/>
          <w:sz w:val="20"/>
          <w:vertAlign w:val="baseline"/>
        </w:rPr>
        <w:t>.</w:t>
      </w:r>
      <w:r w:rsidRPr="001F6232">
        <w:rPr>
          <w:lang w:val="fr-FR"/>
        </w:rPr>
        <w:tab/>
        <w:t>Dans un document datant de 1959, ces rubriques sont déjà affectées à des numéros ONU avec une désignation légèrement modifiée, comme suit :</w:t>
      </w:r>
    </w:p>
    <w:p w14:paraId="42EA5B03" w14:textId="77777777" w:rsidR="00721180" w:rsidRPr="003B2994" w:rsidRDefault="00721180" w:rsidP="00721180">
      <w:pPr>
        <w:pStyle w:val="SingleTxtG"/>
        <w:ind w:left="1701"/>
        <w:rPr>
          <w:lang w:val="fr-FR"/>
        </w:rPr>
      </w:pPr>
      <w:r w:rsidRPr="003B2994">
        <w:t xml:space="preserve">ONU 1169 : Essences, </w:t>
      </w:r>
      <w:proofErr w:type="spellStart"/>
      <w:r w:rsidRPr="003B2994">
        <w:t>having</w:t>
      </w:r>
      <w:proofErr w:type="spellEnd"/>
      <w:r w:rsidRPr="003B2994">
        <w:t xml:space="preserve"> a flash point </w:t>
      </w:r>
      <w:proofErr w:type="spellStart"/>
      <w:r w:rsidRPr="003B2994">
        <w:t>below</w:t>
      </w:r>
      <w:proofErr w:type="spellEnd"/>
      <w:r w:rsidRPr="003B2994">
        <w:t xml:space="preserve"> 150 °F (65</w:t>
      </w:r>
      <w:r w:rsidRPr="00721180">
        <w:rPr>
          <w:rStyle w:val="FootnoteReference"/>
          <w:sz w:val="20"/>
          <w:vertAlign w:val="baseline"/>
        </w:rPr>
        <w:t>.</w:t>
      </w:r>
      <w:r w:rsidRPr="003B2994">
        <w:t>6 °C)</w:t>
      </w:r>
      <w:r w:rsidRPr="00721180">
        <w:rPr>
          <w:rStyle w:val="FootnoteReference"/>
          <w:sz w:val="20"/>
          <w:vertAlign w:val="baseline"/>
        </w:rPr>
        <w:t>.</w:t>
      </w:r>
      <w:r w:rsidRPr="003B2994">
        <w:t xml:space="preserve"> </w:t>
      </w:r>
      <w:r w:rsidRPr="001F6232">
        <w:rPr>
          <w:lang w:val="fr-FR"/>
        </w:rPr>
        <w:t>Essence de point d</w:t>
      </w:r>
      <w:r>
        <w:rPr>
          <w:lang w:val="fr-FR"/>
        </w:rPr>
        <w:t>’</w:t>
      </w:r>
      <w:r w:rsidRPr="001F6232">
        <w:rPr>
          <w:lang w:val="fr-FR"/>
        </w:rPr>
        <w:t>éclair inférieur à 65,6</w:t>
      </w:r>
      <w:r>
        <w:rPr>
          <w:lang w:val="fr-FR"/>
        </w:rPr>
        <w:t> </w:t>
      </w:r>
      <w:r w:rsidRPr="001F6232">
        <w:rPr>
          <w:lang w:val="fr-FR"/>
        </w:rPr>
        <w:t>°C (150</w:t>
      </w:r>
      <w:r>
        <w:rPr>
          <w:lang w:val="fr-FR"/>
        </w:rPr>
        <w:t> </w:t>
      </w:r>
      <w:r w:rsidRPr="001F6232">
        <w:rPr>
          <w:lang w:val="fr-FR"/>
        </w:rPr>
        <w:t>°F)</w:t>
      </w:r>
      <w:r w:rsidRPr="00721180">
        <w:rPr>
          <w:rStyle w:val="FootnoteReference"/>
          <w:sz w:val="20"/>
          <w:vertAlign w:val="baseline"/>
        </w:rPr>
        <w:t>.</w:t>
      </w:r>
      <w:r w:rsidRPr="001F6232">
        <w:rPr>
          <w:lang w:val="fr-FR"/>
        </w:rPr>
        <w:t xml:space="preserve"> </w:t>
      </w:r>
    </w:p>
    <w:p w14:paraId="33B26585" w14:textId="77777777" w:rsidR="00721180" w:rsidRPr="003B2994" w:rsidRDefault="00721180" w:rsidP="00721180">
      <w:pPr>
        <w:pStyle w:val="SingleTxtG"/>
        <w:ind w:left="1701"/>
        <w:rPr>
          <w:lang w:val="fr-FR"/>
        </w:rPr>
      </w:pPr>
      <w:r w:rsidRPr="00610072">
        <w:rPr>
          <w:lang w:val="fr-FR"/>
        </w:rPr>
        <w:t xml:space="preserve">ONU 1197 : </w:t>
      </w:r>
      <w:proofErr w:type="spellStart"/>
      <w:r w:rsidRPr="00610072">
        <w:rPr>
          <w:lang w:val="fr-FR"/>
        </w:rPr>
        <w:t>Extracts</w:t>
      </w:r>
      <w:proofErr w:type="spellEnd"/>
      <w:r w:rsidRPr="00610072">
        <w:rPr>
          <w:lang w:val="fr-FR"/>
        </w:rPr>
        <w:t xml:space="preserve">, </w:t>
      </w:r>
      <w:proofErr w:type="spellStart"/>
      <w:r w:rsidRPr="00610072">
        <w:rPr>
          <w:lang w:val="fr-FR"/>
        </w:rPr>
        <w:t>Flavouring</w:t>
      </w:r>
      <w:proofErr w:type="spellEnd"/>
      <w:r w:rsidRPr="00610072">
        <w:rPr>
          <w:lang w:val="fr-FR"/>
        </w:rPr>
        <w:t xml:space="preserve">, </w:t>
      </w:r>
      <w:proofErr w:type="spellStart"/>
      <w:r w:rsidRPr="00610072">
        <w:rPr>
          <w:lang w:val="fr-FR"/>
        </w:rPr>
        <w:t>liquid</w:t>
      </w:r>
      <w:proofErr w:type="spellEnd"/>
      <w:r w:rsidRPr="00610072">
        <w:rPr>
          <w:lang w:val="fr-FR"/>
        </w:rPr>
        <w:t xml:space="preserve"> </w:t>
      </w:r>
      <w:proofErr w:type="spellStart"/>
      <w:r w:rsidRPr="00610072">
        <w:rPr>
          <w:lang w:val="fr-FR"/>
        </w:rPr>
        <w:t>having</w:t>
      </w:r>
      <w:proofErr w:type="spellEnd"/>
      <w:r w:rsidRPr="00610072">
        <w:rPr>
          <w:lang w:val="fr-FR"/>
        </w:rPr>
        <w:t xml:space="preserve"> a flash point </w:t>
      </w:r>
      <w:proofErr w:type="spellStart"/>
      <w:r w:rsidRPr="00610072">
        <w:rPr>
          <w:lang w:val="fr-FR"/>
        </w:rPr>
        <w:t>below</w:t>
      </w:r>
      <w:proofErr w:type="spellEnd"/>
      <w:r w:rsidRPr="00610072">
        <w:rPr>
          <w:lang w:val="fr-FR"/>
        </w:rPr>
        <w:t xml:space="preserve"> 150 °F (65</w:t>
      </w:r>
      <w:r w:rsidRPr="00721180">
        <w:rPr>
          <w:rStyle w:val="FootnoteReference"/>
          <w:sz w:val="20"/>
          <w:vertAlign w:val="baseline"/>
        </w:rPr>
        <w:t>.</w:t>
      </w:r>
      <w:r w:rsidRPr="00610072">
        <w:rPr>
          <w:lang w:val="fr-FR"/>
        </w:rPr>
        <w:t>6 °C)</w:t>
      </w:r>
      <w:r w:rsidRPr="00721180">
        <w:rPr>
          <w:rStyle w:val="FootnoteReference"/>
          <w:sz w:val="20"/>
          <w:vertAlign w:val="baseline"/>
        </w:rPr>
        <w:t>.</w:t>
      </w:r>
      <w:r w:rsidRPr="00610072">
        <w:rPr>
          <w:lang w:val="fr-FR"/>
        </w:rPr>
        <w:t xml:space="preserve"> </w:t>
      </w:r>
      <w:r w:rsidRPr="001F6232">
        <w:rPr>
          <w:lang w:val="fr-FR"/>
        </w:rPr>
        <w:t>Extraits liquides pour aromatiser ayant un point d</w:t>
      </w:r>
      <w:r>
        <w:rPr>
          <w:lang w:val="fr-FR"/>
        </w:rPr>
        <w:t>’</w:t>
      </w:r>
      <w:r w:rsidRPr="001F6232">
        <w:rPr>
          <w:lang w:val="fr-FR"/>
        </w:rPr>
        <w:t>éclair inférieur à 65,6</w:t>
      </w:r>
      <w:r>
        <w:rPr>
          <w:lang w:val="fr-FR"/>
        </w:rPr>
        <w:t> </w:t>
      </w:r>
      <w:r w:rsidRPr="001F6232">
        <w:rPr>
          <w:lang w:val="fr-FR"/>
        </w:rPr>
        <w:t>°C (150</w:t>
      </w:r>
      <w:r>
        <w:rPr>
          <w:lang w:val="fr-FR"/>
        </w:rPr>
        <w:t> </w:t>
      </w:r>
      <w:r w:rsidRPr="001F6232">
        <w:rPr>
          <w:lang w:val="fr-FR"/>
        </w:rPr>
        <w:t>°F)</w:t>
      </w:r>
      <w:r w:rsidRPr="00721180">
        <w:rPr>
          <w:rStyle w:val="FootnoteReference"/>
          <w:sz w:val="20"/>
          <w:vertAlign w:val="baseline"/>
        </w:rPr>
        <w:t>.</w:t>
      </w:r>
      <w:r w:rsidRPr="001F6232">
        <w:rPr>
          <w:lang w:val="fr-FR"/>
        </w:rPr>
        <w:t xml:space="preserve"> </w:t>
      </w:r>
    </w:p>
    <w:p w14:paraId="5DED7A94" w14:textId="77777777" w:rsidR="00721180" w:rsidRPr="003B2994" w:rsidRDefault="00721180" w:rsidP="00721180">
      <w:pPr>
        <w:pStyle w:val="SingleTxtG"/>
        <w:rPr>
          <w:rFonts w:eastAsia="Times New Roman"/>
          <w:lang w:val="fr-FR"/>
        </w:rPr>
      </w:pPr>
      <w:r>
        <w:rPr>
          <w:lang w:val="fr-FR"/>
        </w:rPr>
        <w:t>10</w:t>
      </w:r>
      <w:r w:rsidRPr="00721180">
        <w:rPr>
          <w:rStyle w:val="FootnoteReference"/>
          <w:sz w:val="20"/>
          <w:vertAlign w:val="baseline"/>
        </w:rPr>
        <w:t>.</w:t>
      </w:r>
      <w:r w:rsidRPr="001F6232">
        <w:rPr>
          <w:lang w:val="fr-FR"/>
        </w:rPr>
        <w:tab/>
        <w:t>On trouve les mêmes désignations dans l</w:t>
      </w:r>
      <w:r>
        <w:rPr>
          <w:lang w:val="fr-FR"/>
        </w:rPr>
        <w:t>’</w:t>
      </w:r>
      <w:r w:rsidRPr="001F6232">
        <w:rPr>
          <w:lang w:val="fr-FR"/>
        </w:rPr>
        <w:t>édition de 1964 des Recommandations, si ce n</w:t>
      </w:r>
      <w:r>
        <w:rPr>
          <w:lang w:val="fr-FR"/>
        </w:rPr>
        <w:t>’</w:t>
      </w:r>
      <w:r w:rsidRPr="001F6232">
        <w:rPr>
          <w:lang w:val="fr-FR"/>
        </w:rPr>
        <w:t>est que la température en degrés Fahrenheit n</w:t>
      </w:r>
      <w:r>
        <w:rPr>
          <w:lang w:val="fr-FR"/>
        </w:rPr>
        <w:t>’</w:t>
      </w:r>
      <w:r w:rsidRPr="001F6232">
        <w:rPr>
          <w:lang w:val="fr-FR"/>
        </w:rPr>
        <w:t>est pas indiquée dans la version française</w:t>
      </w:r>
      <w:r>
        <w:rPr>
          <w:lang w:val="fr-FR"/>
        </w:rPr>
        <w:t> </w:t>
      </w:r>
      <w:r w:rsidRPr="001F6232">
        <w:rPr>
          <w:lang w:val="fr-FR"/>
        </w:rPr>
        <w:t>:</w:t>
      </w:r>
    </w:p>
    <w:p w14:paraId="7A8462BE" w14:textId="77777777" w:rsidR="00721180" w:rsidRPr="003B2994" w:rsidRDefault="00721180" w:rsidP="00721180">
      <w:pPr>
        <w:pStyle w:val="SingleTxtG"/>
        <w:ind w:left="1701"/>
        <w:rPr>
          <w:lang w:val="fr-FR"/>
        </w:rPr>
      </w:pPr>
      <w:r w:rsidRPr="003B2994">
        <w:t xml:space="preserve">ONU 1169 : Essences, </w:t>
      </w:r>
      <w:proofErr w:type="spellStart"/>
      <w:r w:rsidRPr="003B2994">
        <w:t>having</w:t>
      </w:r>
      <w:proofErr w:type="spellEnd"/>
      <w:r w:rsidRPr="003B2994">
        <w:t xml:space="preserve"> a flash point </w:t>
      </w:r>
      <w:proofErr w:type="spellStart"/>
      <w:r w:rsidRPr="003B2994">
        <w:t>below</w:t>
      </w:r>
      <w:proofErr w:type="spellEnd"/>
      <w:r w:rsidRPr="003B2994">
        <w:t xml:space="preserve"> 150 °F (65</w:t>
      </w:r>
      <w:r w:rsidRPr="00721180">
        <w:rPr>
          <w:rStyle w:val="FootnoteReference"/>
          <w:sz w:val="20"/>
          <w:vertAlign w:val="baseline"/>
        </w:rPr>
        <w:t>.</w:t>
      </w:r>
      <w:r w:rsidRPr="003B2994">
        <w:t>6 °C)</w:t>
      </w:r>
      <w:r w:rsidRPr="00721180">
        <w:rPr>
          <w:rStyle w:val="FootnoteReference"/>
          <w:sz w:val="20"/>
          <w:vertAlign w:val="baseline"/>
        </w:rPr>
        <w:t>.</w:t>
      </w:r>
      <w:r w:rsidRPr="003B2994">
        <w:t xml:space="preserve"> </w:t>
      </w:r>
      <w:r w:rsidRPr="001F6232">
        <w:rPr>
          <w:lang w:val="fr-FR"/>
        </w:rPr>
        <w:t>Essence de point d</w:t>
      </w:r>
      <w:r>
        <w:rPr>
          <w:lang w:val="fr-FR"/>
        </w:rPr>
        <w:t>’</w:t>
      </w:r>
      <w:r w:rsidRPr="001F6232">
        <w:rPr>
          <w:lang w:val="fr-FR"/>
        </w:rPr>
        <w:t>éclair inférieur à 65,6</w:t>
      </w:r>
      <w:r>
        <w:rPr>
          <w:lang w:val="fr-FR"/>
        </w:rPr>
        <w:t> </w:t>
      </w:r>
      <w:r w:rsidRPr="001F6232">
        <w:rPr>
          <w:lang w:val="fr-FR"/>
        </w:rPr>
        <w:t>°C</w:t>
      </w:r>
      <w:r w:rsidRPr="00721180">
        <w:rPr>
          <w:rStyle w:val="FootnoteReference"/>
          <w:sz w:val="20"/>
          <w:vertAlign w:val="baseline"/>
        </w:rPr>
        <w:t>.</w:t>
      </w:r>
      <w:r w:rsidRPr="001F6232">
        <w:rPr>
          <w:lang w:val="fr-FR"/>
        </w:rPr>
        <w:t xml:space="preserve"> </w:t>
      </w:r>
    </w:p>
    <w:p w14:paraId="43CD1134" w14:textId="77777777" w:rsidR="00721180" w:rsidRPr="003B2994" w:rsidRDefault="00721180" w:rsidP="00721180">
      <w:pPr>
        <w:pStyle w:val="SingleTxtG"/>
        <w:ind w:left="1701"/>
        <w:rPr>
          <w:lang w:val="fr-FR"/>
        </w:rPr>
      </w:pPr>
      <w:bookmarkStart w:id="0" w:name="_GoBack"/>
      <w:bookmarkEnd w:id="0"/>
      <w:r w:rsidRPr="003B2994">
        <w:rPr>
          <w:lang w:val="fr-FR"/>
        </w:rPr>
        <w:lastRenderedPageBreak/>
        <w:t xml:space="preserve">ONU 1197 : </w:t>
      </w:r>
      <w:proofErr w:type="spellStart"/>
      <w:r w:rsidRPr="003B2994">
        <w:rPr>
          <w:lang w:val="fr-FR"/>
        </w:rPr>
        <w:t>Extracts</w:t>
      </w:r>
      <w:proofErr w:type="spellEnd"/>
      <w:r w:rsidRPr="003B2994">
        <w:rPr>
          <w:lang w:val="fr-FR"/>
        </w:rPr>
        <w:t xml:space="preserve">, </w:t>
      </w:r>
      <w:proofErr w:type="spellStart"/>
      <w:r w:rsidRPr="003B2994">
        <w:rPr>
          <w:lang w:val="fr-FR"/>
        </w:rPr>
        <w:t>Flavouring</w:t>
      </w:r>
      <w:proofErr w:type="spellEnd"/>
      <w:r w:rsidRPr="003B2994">
        <w:rPr>
          <w:lang w:val="fr-FR"/>
        </w:rPr>
        <w:t xml:space="preserve">, </w:t>
      </w:r>
      <w:proofErr w:type="spellStart"/>
      <w:r w:rsidRPr="003B2994">
        <w:rPr>
          <w:lang w:val="fr-FR"/>
        </w:rPr>
        <w:t>liquid</w:t>
      </w:r>
      <w:proofErr w:type="spellEnd"/>
      <w:r w:rsidRPr="003B2994">
        <w:rPr>
          <w:lang w:val="fr-FR"/>
        </w:rPr>
        <w:t xml:space="preserve"> </w:t>
      </w:r>
      <w:proofErr w:type="spellStart"/>
      <w:r w:rsidRPr="003B2994">
        <w:rPr>
          <w:lang w:val="fr-FR"/>
        </w:rPr>
        <w:t>having</w:t>
      </w:r>
      <w:proofErr w:type="spellEnd"/>
      <w:r w:rsidRPr="003B2994">
        <w:rPr>
          <w:lang w:val="fr-FR"/>
        </w:rPr>
        <w:t xml:space="preserve"> a flash point </w:t>
      </w:r>
      <w:proofErr w:type="spellStart"/>
      <w:r w:rsidRPr="003B2994">
        <w:rPr>
          <w:lang w:val="fr-FR"/>
        </w:rPr>
        <w:t>below</w:t>
      </w:r>
      <w:proofErr w:type="spellEnd"/>
      <w:r w:rsidRPr="003B2994">
        <w:rPr>
          <w:lang w:val="fr-FR"/>
        </w:rPr>
        <w:t xml:space="preserve"> 150 °F (65</w:t>
      </w:r>
      <w:r w:rsidRPr="00721180">
        <w:rPr>
          <w:rStyle w:val="FootnoteReference"/>
          <w:sz w:val="20"/>
          <w:vertAlign w:val="baseline"/>
        </w:rPr>
        <w:t>.</w:t>
      </w:r>
      <w:r w:rsidRPr="003B2994">
        <w:rPr>
          <w:lang w:val="fr-FR"/>
        </w:rPr>
        <w:t>6 °C)</w:t>
      </w:r>
      <w:r w:rsidRPr="00721180">
        <w:rPr>
          <w:rStyle w:val="FootnoteReference"/>
          <w:sz w:val="20"/>
          <w:vertAlign w:val="baseline"/>
        </w:rPr>
        <w:t>.</w:t>
      </w:r>
      <w:r w:rsidRPr="003B2994">
        <w:rPr>
          <w:lang w:val="fr-FR"/>
        </w:rPr>
        <w:t xml:space="preserve"> </w:t>
      </w:r>
      <w:r w:rsidRPr="001F6232">
        <w:rPr>
          <w:lang w:val="fr-FR"/>
        </w:rPr>
        <w:t>Extraits liquides pour aromatiser ayant un point d</w:t>
      </w:r>
      <w:r>
        <w:rPr>
          <w:lang w:val="fr-FR"/>
        </w:rPr>
        <w:t>’</w:t>
      </w:r>
      <w:r w:rsidRPr="001F6232">
        <w:rPr>
          <w:lang w:val="fr-FR"/>
        </w:rPr>
        <w:t>éclair inférieur à 65,6</w:t>
      </w:r>
      <w:r>
        <w:rPr>
          <w:lang w:val="fr-FR"/>
        </w:rPr>
        <w:t> </w:t>
      </w:r>
      <w:r w:rsidRPr="001F6232">
        <w:rPr>
          <w:lang w:val="fr-FR"/>
        </w:rPr>
        <w:t>°C (150</w:t>
      </w:r>
      <w:r>
        <w:rPr>
          <w:lang w:val="fr-FR"/>
        </w:rPr>
        <w:t> </w:t>
      </w:r>
      <w:r w:rsidRPr="001F6232">
        <w:rPr>
          <w:lang w:val="fr-FR"/>
        </w:rPr>
        <w:t>°F)</w:t>
      </w:r>
      <w:r w:rsidRPr="00721180">
        <w:rPr>
          <w:rStyle w:val="FootnoteReference"/>
          <w:sz w:val="20"/>
          <w:vertAlign w:val="baseline"/>
        </w:rPr>
        <w:t>.</w:t>
      </w:r>
      <w:r w:rsidRPr="001F6232">
        <w:rPr>
          <w:lang w:val="fr-FR"/>
        </w:rPr>
        <w:t xml:space="preserve"> </w:t>
      </w:r>
    </w:p>
    <w:p w14:paraId="2D19CD3C" w14:textId="77777777" w:rsidR="00721180" w:rsidRPr="003B2994" w:rsidRDefault="00721180" w:rsidP="00721180">
      <w:pPr>
        <w:pStyle w:val="SingleTxtG"/>
        <w:rPr>
          <w:rFonts w:eastAsia="Times New Roman"/>
          <w:lang w:val="fr-FR"/>
        </w:rPr>
      </w:pPr>
      <w:r>
        <w:rPr>
          <w:lang w:val="fr-FR"/>
        </w:rPr>
        <w:t>11</w:t>
      </w:r>
      <w:r w:rsidRPr="00721180">
        <w:rPr>
          <w:rStyle w:val="FootnoteReference"/>
          <w:sz w:val="20"/>
          <w:vertAlign w:val="baseline"/>
        </w:rPr>
        <w:t>.</w:t>
      </w:r>
      <w:r w:rsidRPr="001F6232">
        <w:rPr>
          <w:lang w:val="fr-FR"/>
        </w:rPr>
        <w:tab/>
        <w:t>Dans l</w:t>
      </w:r>
      <w:r>
        <w:rPr>
          <w:lang w:val="fr-FR"/>
        </w:rPr>
        <w:t>’</w:t>
      </w:r>
      <w:r w:rsidRPr="001F6232">
        <w:rPr>
          <w:lang w:val="fr-FR"/>
        </w:rPr>
        <w:t>édition de 1966 des Recommandations, la référence aux températures a disparu dans les deux rubriques, qui sont ainsi libellées</w:t>
      </w:r>
      <w:r>
        <w:rPr>
          <w:lang w:val="fr-FR"/>
        </w:rPr>
        <w:t> </w:t>
      </w:r>
      <w:r w:rsidRPr="001F6232">
        <w:rPr>
          <w:lang w:val="fr-FR"/>
        </w:rPr>
        <w:t>:</w:t>
      </w:r>
    </w:p>
    <w:p w14:paraId="51E34C5D" w14:textId="77777777" w:rsidR="00721180" w:rsidRPr="003B2994" w:rsidRDefault="00721180" w:rsidP="00721180">
      <w:pPr>
        <w:pStyle w:val="SingleTxtG"/>
        <w:ind w:left="1701"/>
        <w:rPr>
          <w:lang w:val="fr-FR"/>
        </w:rPr>
      </w:pPr>
      <w:r w:rsidRPr="001F6232">
        <w:rPr>
          <w:lang w:val="fr-FR"/>
        </w:rPr>
        <w:t>1169</w:t>
      </w:r>
      <w:r>
        <w:rPr>
          <w:lang w:val="fr-FR"/>
        </w:rPr>
        <w:t> </w:t>
      </w:r>
      <w:r w:rsidRPr="001F6232">
        <w:rPr>
          <w:lang w:val="fr-FR"/>
        </w:rPr>
        <w:t>: Essences</w:t>
      </w:r>
      <w:r w:rsidRPr="00721180">
        <w:rPr>
          <w:rStyle w:val="FootnoteReference"/>
          <w:sz w:val="20"/>
          <w:vertAlign w:val="baseline"/>
        </w:rPr>
        <w:t>.</w:t>
      </w:r>
      <w:r w:rsidRPr="001F6232">
        <w:rPr>
          <w:lang w:val="fr-FR"/>
        </w:rPr>
        <w:t xml:space="preserve"> Essences</w:t>
      </w:r>
      <w:r w:rsidRPr="00721180">
        <w:rPr>
          <w:rStyle w:val="FootnoteReference"/>
          <w:sz w:val="20"/>
          <w:vertAlign w:val="baseline"/>
        </w:rPr>
        <w:t>.</w:t>
      </w:r>
      <w:r w:rsidRPr="001F6232">
        <w:rPr>
          <w:lang w:val="fr-FR"/>
        </w:rPr>
        <w:t xml:space="preserve"> </w:t>
      </w:r>
    </w:p>
    <w:p w14:paraId="17F57643" w14:textId="77777777" w:rsidR="00721180" w:rsidRPr="003B2994" w:rsidRDefault="00721180" w:rsidP="00721180">
      <w:pPr>
        <w:pStyle w:val="SingleTxtG"/>
        <w:ind w:left="1701"/>
        <w:rPr>
          <w:lang w:val="fr-FR"/>
        </w:rPr>
      </w:pPr>
      <w:r w:rsidRPr="001F6232">
        <w:rPr>
          <w:lang w:val="fr-FR"/>
        </w:rPr>
        <w:t>1197</w:t>
      </w:r>
      <w:r>
        <w:rPr>
          <w:lang w:val="fr-FR"/>
        </w:rPr>
        <w:t> </w:t>
      </w:r>
      <w:r w:rsidRPr="001F6232">
        <w:rPr>
          <w:lang w:val="fr-FR"/>
        </w:rPr>
        <w:t>:</w:t>
      </w:r>
      <w:r>
        <w:rPr>
          <w:lang w:val="fr-FR"/>
        </w:rPr>
        <w:t xml:space="preserve"> </w:t>
      </w:r>
      <w:proofErr w:type="spellStart"/>
      <w:r w:rsidRPr="001F6232">
        <w:rPr>
          <w:lang w:val="fr-FR"/>
        </w:rPr>
        <w:t>Extracts</w:t>
      </w:r>
      <w:proofErr w:type="spellEnd"/>
      <w:r w:rsidRPr="001F6232">
        <w:rPr>
          <w:lang w:val="fr-FR"/>
        </w:rPr>
        <w:t xml:space="preserve">, </w:t>
      </w:r>
      <w:proofErr w:type="spellStart"/>
      <w:r w:rsidRPr="001F6232">
        <w:rPr>
          <w:lang w:val="fr-FR"/>
        </w:rPr>
        <w:t>Flavouring</w:t>
      </w:r>
      <w:proofErr w:type="spellEnd"/>
      <w:r w:rsidRPr="001F6232">
        <w:rPr>
          <w:lang w:val="fr-FR"/>
        </w:rPr>
        <w:t xml:space="preserve">, </w:t>
      </w:r>
      <w:proofErr w:type="spellStart"/>
      <w:r w:rsidRPr="001F6232">
        <w:rPr>
          <w:lang w:val="fr-FR"/>
        </w:rPr>
        <w:t>liquid</w:t>
      </w:r>
      <w:proofErr w:type="spellEnd"/>
      <w:r w:rsidRPr="00721180">
        <w:rPr>
          <w:rStyle w:val="FootnoteReference"/>
          <w:sz w:val="20"/>
          <w:vertAlign w:val="baseline"/>
        </w:rPr>
        <w:t>.</w:t>
      </w:r>
      <w:r w:rsidRPr="001F6232">
        <w:rPr>
          <w:lang w:val="fr-FR"/>
        </w:rPr>
        <w:t xml:space="preserve"> Extraits liquides pour aromatiser</w:t>
      </w:r>
      <w:r w:rsidRPr="00721180">
        <w:rPr>
          <w:rStyle w:val="FootnoteReference"/>
          <w:sz w:val="20"/>
          <w:vertAlign w:val="baseline"/>
        </w:rPr>
        <w:t>.</w:t>
      </w:r>
      <w:r w:rsidRPr="001F6232">
        <w:rPr>
          <w:lang w:val="fr-FR"/>
        </w:rPr>
        <w:t xml:space="preserve"> </w:t>
      </w:r>
    </w:p>
    <w:p w14:paraId="3EC6A016" w14:textId="77777777" w:rsidR="00721180" w:rsidRPr="003B2994" w:rsidRDefault="00721180" w:rsidP="00721180">
      <w:pPr>
        <w:pStyle w:val="SingleTxtG"/>
        <w:rPr>
          <w:rFonts w:eastAsia="Times New Roman"/>
          <w:lang w:val="fr-FR"/>
        </w:rPr>
      </w:pPr>
      <w:r>
        <w:rPr>
          <w:lang w:val="fr-FR"/>
        </w:rPr>
        <w:t>12</w:t>
      </w:r>
      <w:r w:rsidRPr="00721180">
        <w:rPr>
          <w:rStyle w:val="FootnoteReference"/>
          <w:sz w:val="20"/>
          <w:vertAlign w:val="baseline"/>
        </w:rPr>
        <w:t>.</w:t>
      </w:r>
      <w:r w:rsidRPr="001F6232">
        <w:rPr>
          <w:lang w:val="fr-FR"/>
        </w:rPr>
        <w:tab/>
        <w:t>Dans un document soumis par l</w:t>
      </w:r>
      <w:r>
        <w:rPr>
          <w:lang w:val="fr-FR"/>
        </w:rPr>
        <w:t>’</w:t>
      </w:r>
      <w:r w:rsidRPr="001F6232">
        <w:rPr>
          <w:lang w:val="fr-FR"/>
        </w:rPr>
        <w:t>OCTI (Office central des transports internationaux ferroviaires) en 1968, contenant des commentaires sur l</w:t>
      </w:r>
      <w:r>
        <w:rPr>
          <w:lang w:val="fr-FR"/>
        </w:rPr>
        <w:t>’</w:t>
      </w:r>
      <w:r w:rsidRPr="001F6232">
        <w:rPr>
          <w:lang w:val="fr-FR"/>
        </w:rPr>
        <w:t>édition de 1966 des Recommandations, il est indiqué que le N</w:t>
      </w:r>
      <w:r w:rsidRPr="00721180">
        <w:rPr>
          <w:lang w:val="fr-FR"/>
        </w:rPr>
        <w:t>o</w:t>
      </w:r>
      <w:r>
        <w:rPr>
          <w:lang w:val="fr-FR"/>
        </w:rPr>
        <w:t> </w:t>
      </w:r>
      <w:r w:rsidRPr="001F6232">
        <w:rPr>
          <w:lang w:val="fr-FR"/>
        </w:rPr>
        <w:t>ONU</w:t>
      </w:r>
      <w:r>
        <w:rPr>
          <w:lang w:val="fr-FR"/>
        </w:rPr>
        <w:t> </w:t>
      </w:r>
      <w:r w:rsidRPr="001F6232">
        <w:rPr>
          <w:lang w:val="fr-FR"/>
        </w:rPr>
        <w:t>1169 devrait se lire</w:t>
      </w:r>
      <w:r>
        <w:rPr>
          <w:lang w:val="fr-FR"/>
        </w:rPr>
        <w:t> </w:t>
      </w:r>
      <w:r w:rsidRPr="001F6232">
        <w:rPr>
          <w:lang w:val="fr-FR"/>
        </w:rPr>
        <w:t xml:space="preserve">: « Essences, </w:t>
      </w:r>
      <w:proofErr w:type="spellStart"/>
      <w:r w:rsidRPr="001F6232">
        <w:rPr>
          <w:lang w:val="fr-FR"/>
        </w:rPr>
        <w:t>natural</w:t>
      </w:r>
      <w:proofErr w:type="spellEnd"/>
      <w:r w:rsidRPr="001F6232">
        <w:rPr>
          <w:lang w:val="fr-FR"/>
        </w:rPr>
        <w:t xml:space="preserve"> or essential »/« Essences, naturelles ou parfumées »</w:t>
      </w:r>
      <w:r w:rsidRPr="00721180">
        <w:rPr>
          <w:rStyle w:val="FootnoteReference"/>
          <w:sz w:val="20"/>
          <w:vertAlign w:val="baseline"/>
        </w:rPr>
        <w:t>.</w:t>
      </w:r>
    </w:p>
    <w:p w14:paraId="64F84B39" w14:textId="77777777" w:rsidR="00721180" w:rsidRPr="003B2994" w:rsidRDefault="00721180" w:rsidP="00721180">
      <w:pPr>
        <w:pStyle w:val="SingleTxtG"/>
        <w:keepNext/>
        <w:rPr>
          <w:rFonts w:eastAsia="Times New Roman"/>
          <w:lang w:val="fr-FR"/>
        </w:rPr>
      </w:pPr>
      <w:r>
        <w:rPr>
          <w:lang w:val="fr-FR"/>
        </w:rPr>
        <w:t>13</w:t>
      </w:r>
      <w:r w:rsidRPr="00721180">
        <w:rPr>
          <w:rStyle w:val="FootnoteReference"/>
          <w:sz w:val="20"/>
          <w:vertAlign w:val="baseline"/>
        </w:rPr>
        <w:t>.</w:t>
      </w:r>
      <w:r w:rsidRPr="001F6232">
        <w:rPr>
          <w:lang w:val="fr-FR"/>
        </w:rPr>
        <w:tab/>
        <w:t>En 1969, le rapport du Comité d</w:t>
      </w:r>
      <w:r>
        <w:rPr>
          <w:lang w:val="fr-FR"/>
        </w:rPr>
        <w:t>’</w:t>
      </w:r>
      <w:r w:rsidRPr="001F6232">
        <w:rPr>
          <w:lang w:val="fr-FR"/>
        </w:rPr>
        <w:t>experts en matière de transport des marchandises dangereuses sur sa 6</w:t>
      </w:r>
      <w:r w:rsidRPr="00931F0D">
        <w:rPr>
          <w:vertAlign w:val="superscript"/>
          <w:lang w:val="fr-FR"/>
        </w:rPr>
        <w:t>e</w:t>
      </w:r>
      <w:r>
        <w:rPr>
          <w:lang w:val="fr-FR"/>
        </w:rPr>
        <w:t> </w:t>
      </w:r>
      <w:r w:rsidRPr="001F6232">
        <w:rPr>
          <w:lang w:val="fr-FR"/>
        </w:rPr>
        <w:t>session, (annexe</w:t>
      </w:r>
      <w:r>
        <w:rPr>
          <w:lang w:val="fr-FR"/>
        </w:rPr>
        <w:t> </w:t>
      </w:r>
      <w:r w:rsidRPr="001F6232">
        <w:rPr>
          <w:lang w:val="fr-FR"/>
        </w:rPr>
        <w:t>2 intitulée « Propositions de modifications des annexes aux Recommandations » (ST/ECA/81/</w:t>
      </w:r>
      <w:proofErr w:type="spellStart"/>
      <w:r w:rsidRPr="001F6232">
        <w:rPr>
          <w:lang w:val="fr-FR"/>
        </w:rPr>
        <w:t>Rev</w:t>
      </w:r>
      <w:proofErr w:type="spellEnd"/>
      <w:r w:rsidRPr="00721180">
        <w:rPr>
          <w:rStyle w:val="FootnoteReference"/>
          <w:sz w:val="20"/>
          <w:vertAlign w:val="baseline"/>
        </w:rPr>
        <w:t>.</w:t>
      </w:r>
      <w:r w:rsidRPr="001F6232">
        <w:rPr>
          <w:lang w:val="fr-FR"/>
        </w:rPr>
        <w:t>1-E/CN</w:t>
      </w:r>
      <w:r w:rsidRPr="00721180">
        <w:rPr>
          <w:rStyle w:val="FootnoteReference"/>
          <w:sz w:val="20"/>
          <w:vertAlign w:val="baseline"/>
        </w:rPr>
        <w:t>.</w:t>
      </w:r>
      <w:r w:rsidRPr="001F6232">
        <w:rPr>
          <w:lang w:val="fr-FR"/>
        </w:rPr>
        <w:t>2/CONF</w:t>
      </w:r>
      <w:r w:rsidRPr="00721180">
        <w:rPr>
          <w:rStyle w:val="FootnoteReference"/>
          <w:sz w:val="20"/>
          <w:vertAlign w:val="baseline"/>
        </w:rPr>
        <w:t>.</w:t>
      </w:r>
      <w:r w:rsidRPr="001F6232">
        <w:rPr>
          <w:lang w:val="fr-FR"/>
        </w:rPr>
        <w:t>5/10/</w:t>
      </w:r>
      <w:proofErr w:type="spellStart"/>
      <w:r w:rsidRPr="001F6232">
        <w:rPr>
          <w:lang w:val="fr-FR"/>
        </w:rPr>
        <w:t>Rev</w:t>
      </w:r>
      <w:proofErr w:type="spellEnd"/>
      <w:r w:rsidRPr="00721180">
        <w:rPr>
          <w:rStyle w:val="FootnoteReference"/>
          <w:sz w:val="20"/>
          <w:vertAlign w:val="baseline"/>
        </w:rPr>
        <w:t>.</w:t>
      </w:r>
      <w:r w:rsidRPr="001F6232">
        <w:rPr>
          <w:lang w:val="fr-FR"/>
        </w:rPr>
        <w:t>1)), propose l</w:t>
      </w:r>
      <w:r>
        <w:rPr>
          <w:lang w:val="fr-FR"/>
        </w:rPr>
        <w:t>’</w:t>
      </w:r>
      <w:r w:rsidRPr="001F6232">
        <w:rPr>
          <w:lang w:val="fr-FR"/>
        </w:rPr>
        <w:t>amendement suivant au N</w:t>
      </w:r>
      <w:r w:rsidRPr="00721180">
        <w:rPr>
          <w:lang w:val="fr-FR"/>
        </w:rPr>
        <w:t>o</w:t>
      </w:r>
      <w:r>
        <w:rPr>
          <w:lang w:val="fr-FR"/>
        </w:rPr>
        <w:t> </w:t>
      </w:r>
      <w:r w:rsidRPr="001F6232">
        <w:rPr>
          <w:lang w:val="fr-FR"/>
        </w:rPr>
        <w:t>ONU</w:t>
      </w:r>
      <w:r>
        <w:rPr>
          <w:lang w:val="fr-FR"/>
        </w:rPr>
        <w:t> </w:t>
      </w:r>
      <w:r w:rsidRPr="001F6232">
        <w:rPr>
          <w:lang w:val="fr-FR"/>
        </w:rPr>
        <w:t>1169</w:t>
      </w:r>
      <w:r>
        <w:rPr>
          <w:lang w:val="fr-FR"/>
        </w:rPr>
        <w:t> </w:t>
      </w:r>
      <w:r w:rsidRPr="001F6232">
        <w:rPr>
          <w:lang w:val="fr-FR"/>
        </w:rPr>
        <w:t xml:space="preserve">: </w:t>
      </w:r>
    </w:p>
    <w:p w14:paraId="246AC4BE" w14:textId="77777777" w:rsidR="00721180" w:rsidRPr="001F6232" w:rsidRDefault="00721180" w:rsidP="00721180">
      <w:pPr>
        <w:pStyle w:val="SingleTxtG"/>
        <w:ind w:left="1701"/>
        <w:rPr>
          <w:lang w:val="en-US"/>
        </w:rPr>
      </w:pPr>
      <w:r w:rsidRPr="001F6232">
        <w:rPr>
          <w:lang w:val="en-US"/>
        </w:rPr>
        <w:t>(Version anglaise) Should read</w:t>
      </w:r>
      <w:r>
        <w:rPr>
          <w:lang w:val="en-US"/>
        </w:rPr>
        <w:t> </w:t>
      </w:r>
      <w:r w:rsidRPr="001F6232">
        <w:rPr>
          <w:lang w:val="en-US"/>
        </w:rPr>
        <w:t xml:space="preserve">: </w:t>
      </w:r>
      <w:r w:rsidRPr="00931F0D">
        <w:rPr>
          <w:lang w:val="en-US"/>
        </w:rPr>
        <w:t>« </w:t>
      </w:r>
      <w:r w:rsidRPr="001F6232">
        <w:rPr>
          <w:lang w:val="en-US"/>
        </w:rPr>
        <w:t>Extracts</w:t>
      </w:r>
      <w:r w:rsidRPr="00931F0D">
        <w:rPr>
          <w:lang w:val="en-US"/>
        </w:rPr>
        <w:t> »</w:t>
      </w:r>
      <w:r w:rsidRPr="00721180">
        <w:rPr>
          <w:rStyle w:val="FootnoteReference"/>
          <w:sz w:val="20"/>
          <w:vertAlign w:val="baseline"/>
          <w:lang w:val="en-US"/>
        </w:rPr>
        <w:t>.</w:t>
      </w:r>
    </w:p>
    <w:p w14:paraId="2F0A6A3E" w14:textId="77777777" w:rsidR="00721180" w:rsidRPr="003B2994" w:rsidRDefault="00721180" w:rsidP="00721180">
      <w:pPr>
        <w:pStyle w:val="SingleTxtG"/>
        <w:ind w:left="1701"/>
        <w:rPr>
          <w:lang w:val="fr-FR"/>
        </w:rPr>
      </w:pPr>
      <w:r w:rsidRPr="001F6232">
        <w:rPr>
          <w:lang w:val="fr-FR"/>
        </w:rPr>
        <w:t>(Version française) Lire</w:t>
      </w:r>
      <w:r>
        <w:rPr>
          <w:lang w:val="fr-FR"/>
        </w:rPr>
        <w:t> </w:t>
      </w:r>
      <w:r w:rsidRPr="001F6232">
        <w:rPr>
          <w:lang w:val="fr-FR"/>
        </w:rPr>
        <w:t>: « Extraits aromatiques liquides »</w:t>
      </w:r>
      <w:r w:rsidRPr="00721180">
        <w:rPr>
          <w:rStyle w:val="FootnoteReference"/>
          <w:sz w:val="20"/>
          <w:vertAlign w:val="baseline"/>
        </w:rPr>
        <w:t>.</w:t>
      </w:r>
    </w:p>
    <w:p w14:paraId="3D9A8F5C" w14:textId="77777777" w:rsidR="00721180" w:rsidRPr="003B2994" w:rsidRDefault="00721180" w:rsidP="00721180">
      <w:pPr>
        <w:pStyle w:val="SingleTxtG"/>
        <w:rPr>
          <w:rFonts w:eastAsia="Times New Roman"/>
          <w:lang w:val="fr-FR"/>
        </w:rPr>
      </w:pPr>
      <w:r>
        <w:rPr>
          <w:lang w:val="fr-FR"/>
        </w:rPr>
        <w:t>14</w:t>
      </w:r>
      <w:r w:rsidRPr="00721180">
        <w:rPr>
          <w:rStyle w:val="FootnoteReference"/>
          <w:sz w:val="20"/>
          <w:vertAlign w:val="baseline"/>
        </w:rPr>
        <w:t>.</w:t>
      </w:r>
      <w:r w:rsidRPr="001F6232">
        <w:rPr>
          <w:lang w:val="fr-FR"/>
        </w:rPr>
        <w:tab/>
        <w:t>C</w:t>
      </w:r>
      <w:r>
        <w:rPr>
          <w:lang w:val="fr-FR"/>
        </w:rPr>
        <w:t>’</w:t>
      </w:r>
      <w:r w:rsidRPr="001F6232">
        <w:rPr>
          <w:lang w:val="fr-FR"/>
        </w:rPr>
        <w:t>est</w:t>
      </w:r>
      <w:r>
        <w:rPr>
          <w:lang w:val="fr-FR"/>
        </w:rPr>
        <w:t xml:space="preserve"> </w:t>
      </w:r>
      <w:r w:rsidRPr="001F6232">
        <w:rPr>
          <w:lang w:val="fr-FR"/>
        </w:rPr>
        <w:t>cette même désignation que l</w:t>
      </w:r>
      <w:r>
        <w:rPr>
          <w:lang w:val="fr-FR"/>
        </w:rPr>
        <w:t>’</w:t>
      </w:r>
      <w:r w:rsidRPr="001F6232">
        <w:rPr>
          <w:lang w:val="fr-FR"/>
        </w:rPr>
        <w:t>on trouve ensuite pour chaque langue dans l</w:t>
      </w:r>
      <w:r>
        <w:rPr>
          <w:lang w:val="fr-FR"/>
        </w:rPr>
        <w:t>’</w:t>
      </w:r>
      <w:r w:rsidRPr="001F6232">
        <w:rPr>
          <w:lang w:val="fr-FR"/>
        </w:rPr>
        <w:t>édition de 1970 des Recommandations</w:t>
      </w:r>
      <w:r w:rsidRPr="00721180">
        <w:rPr>
          <w:rStyle w:val="FootnoteReference"/>
          <w:sz w:val="20"/>
          <w:vertAlign w:val="baseline"/>
        </w:rPr>
        <w:t>.</w:t>
      </w:r>
    </w:p>
    <w:p w14:paraId="6D7A9728" w14:textId="77777777" w:rsidR="00721180" w:rsidRPr="003B2994" w:rsidRDefault="00721180" w:rsidP="00721180">
      <w:pPr>
        <w:pStyle w:val="SingleTxtG"/>
        <w:rPr>
          <w:rFonts w:eastAsia="Times New Roman"/>
          <w:lang w:val="fr-FR"/>
        </w:rPr>
      </w:pPr>
      <w:r>
        <w:rPr>
          <w:lang w:val="fr-FR"/>
        </w:rPr>
        <w:t>15</w:t>
      </w:r>
      <w:r w:rsidRPr="00721180">
        <w:rPr>
          <w:rStyle w:val="FootnoteReference"/>
          <w:sz w:val="20"/>
          <w:vertAlign w:val="baseline"/>
        </w:rPr>
        <w:t>.</w:t>
      </w:r>
      <w:r w:rsidRPr="001F6232">
        <w:rPr>
          <w:lang w:val="fr-FR"/>
        </w:rPr>
        <w:tab/>
        <w:t>En résumé, il semble que le passage des « essences » aux « extraits » se soit produit en 1969, mais la proposition portant</w:t>
      </w:r>
      <w:r>
        <w:rPr>
          <w:lang w:val="fr-FR"/>
        </w:rPr>
        <w:t xml:space="preserve"> </w:t>
      </w:r>
      <w:r w:rsidRPr="001F6232">
        <w:rPr>
          <w:lang w:val="fr-FR"/>
        </w:rPr>
        <w:t>spécifiquement sur la modification de ces rubriques n</w:t>
      </w:r>
      <w:r>
        <w:rPr>
          <w:lang w:val="fr-FR"/>
        </w:rPr>
        <w:t>’</w:t>
      </w:r>
      <w:r w:rsidRPr="001F6232">
        <w:rPr>
          <w:lang w:val="fr-FR"/>
        </w:rPr>
        <w:t>a pu être retrouvée</w:t>
      </w:r>
      <w:r w:rsidRPr="00721180">
        <w:rPr>
          <w:rStyle w:val="FootnoteReference"/>
          <w:sz w:val="20"/>
          <w:vertAlign w:val="baseline"/>
        </w:rPr>
        <w:t>.</w:t>
      </w:r>
      <w:r w:rsidRPr="001F6232">
        <w:rPr>
          <w:lang w:val="fr-FR"/>
        </w:rPr>
        <w:t xml:space="preserve"> Comme on trouve déjà ces rubriques dans la première édition des Recommandations, il est possible qu</w:t>
      </w:r>
      <w:r>
        <w:rPr>
          <w:lang w:val="fr-FR"/>
        </w:rPr>
        <w:t>’</w:t>
      </w:r>
      <w:r w:rsidRPr="001F6232">
        <w:rPr>
          <w:lang w:val="fr-FR"/>
        </w:rPr>
        <w:t>elles aient été reprises d</w:t>
      </w:r>
      <w:r>
        <w:rPr>
          <w:lang w:val="fr-FR"/>
        </w:rPr>
        <w:t>’</w:t>
      </w:r>
      <w:r w:rsidRPr="001F6232">
        <w:rPr>
          <w:lang w:val="fr-FR"/>
        </w:rPr>
        <w:t>autres règlements (par</w:t>
      </w:r>
      <w:r>
        <w:rPr>
          <w:lang w:val="fr-FR"/>
        </w:rPr>
        <w:t> </w:t>
      </w:r>
      <w:r w:rsidRPr="001F6232">
        <w:rPr>
          <w:lang w:val="fr-FR"/>
        </w:rPr>
        <w:t>exemple des règlements applicables au transport maritime ou ferroviaire)</w:t>
      </w:r>
      <w:r w:rsidRPr="00721180">
        <w:rPr>
          <w:rStyle w:val="FootnoteReference"/>
          <w:sz w:val="20"/>
          <w:vertAlign w:val="baseline"/>
        </w:rPr>
        <w:t>.</w:t>
      </w:r>
      <w:r w:rsidRPr="001F6232">
        <w:rPr>
          <w:lang w:val="fr-FR"/>
        </w:rPr>
        <w:t xml:space="preserve"> </w:t>
      </w:r>
    </w:p>
    <w:p w14:paraId="1305D876" w14:textId="77777777" w:rsidR="00721180" w:rsidRPr="003B2994" w:rsidRDefault="00721180" w:rsidP="00721180">
      <w:pPr>
        <w:pStyle w:val="SingleTxtG"/>
        <w:rPr>
          <w:rFonts w:eastAsia="Times New Roman"/>
          <w:lang w:val="fr-FR"/>
        </w:rPr>
      </w:pPr>
      <w:r>
        <w:rPr>
          <w:lang w:val="fr-FR"/>
        </w:rPr>
        <w:t>16</w:t>
      </w:r>
      <w:r w:rsidRPr="00721180">
        <w:rPr>
          <w:rStyle w:val="FootnoteReference"/>
          <w:sz w:val="20"/>
          <w:vertAlign w:val="baseline"/>
        </w:rPr>
        <w:t>.</w:t>
      </w:r>
      <w:r w:rsidRPr="001F6232">
        <w:rPr>
          <w:lang w:val="fr-FR"/>
        </w:rPr>
        <w:tab/>
        <w:t>Une autre conclusion que l</w:t>
      </w:r>
      <w:r>
        <w:rPr>
          <w:lang w:val="fr-FR"/>
        </w:rPr>
        <w:t>’</w:t>
      </w:r>
      <w:r w:rsidRPr="001F6232">
        <w:rPr>
          <w:lang w:val="fr-FR"/>
        </w:rPr>
        <w:t>on peut tirer compte tenu des désignations attribuées initialement</w:t>
      </w:r>
      <w:r>
        <w:rPr>
          <w:lang w:val="fr-FR"/>
        </w:rPr>
        <w:t xml:space="preserve"> </w:t>
      </w:r>
      <w:r w:rsidRPr="001F6232">
        <w:rPr>
          <w:lang w:val="fr-FR"/>
        </w:rPr>
        <w:t>aux numéros ONU visés est qu</w:t>
      </w:r>
      <w:r>
        <w:rPr>
          <w:lang w:val="fr-FR"/>
        </w:rPr>
        <w:t>’</w:t>
      </w:r>
      <w:r w:rsidRPr="001F6232">
        <w:rPr>
          <w:lang w:val="fr-FR"/>
        </w:rPr>
        <w:t>aucune de ces rubriques ne fait clairement référence à la famille chimique des substances « aromatiques » cycliques</w:t>
      </w:r>
      <w:r w:rsidRPr="00721180">
        <w:rPr>
          <w:rStyle w:val="FootnoteReference"/>
          <w:sz w:val="20"/>
          <w:vertAlign w:val="baseline"/>
        </w:rPr>
        <w:t>.</w:t>
      </w:r>
    </w:p>
    <w:p w14:paraId="624DF551" w14:textId="77777777" w:rsidR="00721180" w:rsidRPr="003B2994" w:rsidRDefault="00721180" w:rsidP="00721180">
      <w:pPr>
        <w:pStyle w:val="HChG"/>
        <w:rPr>
          <w:rFonts w:eastAsia="Times New Roman"/>
          <w:lang w:val="fr-FR"/>
        </w:rPr>
      </w:pPr>
      <w:r w:rsidRPr="001F6232">
        <w:rPr>
          <w:lang w:val="fr-FR"/>
        </w:rPr>
        <w:tab/>
      </w:r>
      <w:r w:rsidRPr="001F6232">
        <w:rPr>
          <w:lang w:val="fr-FR"/>
        </w:rPr>
        <w:tab/>
        <w:t>Utilisation des numéros ONU visés dans les règlements modaux</w:t>
      </w:r>
    </w:p>
    <w:p w14:paraId="63C90515" w14:textId="77777777" w:rsidR="00721180" w:rsidRPr="003B2994" w:rsidRDefault="00721180" w:rsidP="00721180">
      <w:pPr>
        <w:pStyle w:val="SingleTxtG"/>
        <w:rPr>
          <w:rFonts w:eastAsia="Times New Roman"/>
          <w:lang w:val="fr-FR"/>
        </w:rPr>
      </w:pPr>
      <w:r>
        <w:rPr>
          <w:lang w:val="fr-FR"/>
        </w:rPr>
        <w:t>17</w:t>
      </w:r>
      <w:r w:rsidRPr="00721180">
        <w:rPr>
          <w:rStyle w:val="FootnoteReference"/>
          <w:sz w:val="20"/>
          <w:vertAlign w:val="baseline"/>
        </w:rPr>
        <w:t>.</w:t>
      </w:r>
      <w:r w:rsidRPr="001F6232">
        <w:rPr>
          <w:lang w:val="fr-FR"/>
        </w:rPr>
        <w:tab/>
        <w:t xml:space="preserve">Il ressort des différents règlements modaux consultés (RID, ADR, Code IMDG et Instructions techniques) que les désignations </w:t>
      </w:r>
      <w:proofErr w:type="spellStart"/>
      <w:r w:rsidRPr="001F6232">
        <w:rPr>
          <w:lang w:val="fr-FR"/>
        </w:rPr>
        <w:t>des</w:t>
      </w:r>
      <w:proofErr w:type="spellEnd"/>
      <w:r w:rsidRPr="001F6232">
        <w:rPr>
          <w:lang w:val="fr-FR"/>
        </w:rPr>
        <w:t xml:space="preserve"> N</w:t>
      </w:r>
      <w:r w:rsidRPr="00721180">
        <w:rPr>
          <w:lang w:val="fr-FR"/>
        </w:rPr>
        <w:t>os</w:t>
      </w:r>
      <w:r>
        <w:rPr>
          <w:lang w:val="fr-FR"/>
        </w:rPr>
        <w:t> </w:t>
      </w:r>
      <w:r w:rsidRPr="001F6232">
        <w:rPr>
          <w:lang w:val="fr-FR"/>
        </w:rPr>
        <w:t>ONU</w:t>
      </w:r>
      <w:r>
        <w:rPr>
          <w:lang w:val="fr-FR"/>
        </w:rPr>
        <w:t> </w:t>
      </w:r>
      <w:r w:rsidRPr="001F6232">
        <w:rPr>
          <w:lang w:val="fr-FR"/>
        </w:rPr>
        <w:t>1169 et 1197 dans les versions française et anglaise sont les mêmes que dans le Règlement type</w:t>
      </w:r>
      <w:r w:rsidRPr="00721180">
        <w:rPr>
          <w:rStyle w:val="FootnoteReference"/>
          <w:sz w:val="20"/>
          <w:vertAlign w:val="baseline"/>
        </w:rPr>
        <w:t>.</w:t>
      </w:r>
      <w:r w:rsidRPr="001F6232">
        <w:rPr>
          <w:lang w:val="fr-FR"/>
        </w:rPr>
        <w:t xml:space="preserve"> En ce qui concerne le Code IMDG et les Instructions techniques, les désignations dans la version espagnole sont identiques à celles de la </w:t>
      </w:r>
      <w:r>
        <w:rPr>
          <w:lang w:val="fr-FR"/>
        </w:rPr>
        <w:t xml:space="preserve">vingtième </w:t>
      </w:r>
      <w:r w:rsidRPr="001F6232">
        <w:rPr>
          <w:lang w:val="fr-FR"/>
        </w:rPr>
        <w:t>édition du Règlement type (avant leur modification ; voir le paragraphe</w:t>
      </w:r>
      <w:r>
        <w:rPr>
          <w:lang w:val="fr-FR"/>
        </w:rPr>
        <w:t> </w:t>
      </w:r>
      <w:r w:rsidRPr="001F6232">
        <w:rPr>
          <w:lang w:val="fr-FR"/>
        </w:rPr>
        <w:t>2)</w:t>
      </w:r>
      <w:r w:rsidRPr="00721180">
        <w:rPr>
          <w:rStyle w:val="FootnoteReference"/>
          <w:sz w:val="20"/>
          <w:vertAlign w:val="baseline"/>
        </w:rPr>
        <w:t>.</w:t>
      </w:r>
    </w:p>
    <w:p w14:paraId="31D4DC9C" w14:textId="77777777" w:rsidR="00721180" w:rsidRPr="003B2994" w:rsidRDefault="00721180" w:rsidP="00721180">
      <w:pPr>
        <w:pStyle w:val="SingleTxtG"/>
        <w:rPr>
          <w:rFonts w:eastAsia="Times New Roman"/>
          <w:lang w:val="fr-FR"/>
        </w:rPr>
      </w:pPr>
      <w:r>
        <w:rPr>
          <w:lang w:val="fr-FR"/>
        </w:rPr>
        <w:t>18</w:t>
      </w:r>
      <w:r w:rsidRPr="00721180">
        <w:rPr>
          <w:rStyle w:val="FootnoteReference"/>
          <w:sz w:val="20"/>
          <w:vertAlign w:val="baseline"/>
        </w:rPr>
        <w:t>.</w:t>
      </w:r>
      <w:r w:rsidRPr="001F6232">
        <w:rPr>
          <w:lang w:val="fr-FR"/>
        </w:rPr>
        <w:tab/>
        <w:t>Les conditions de transport pour les N</w:t>
      </w:r>
      <w:r w:rsidRPr="00721180">
        <w:rPr>
          <w:lang w:val="fr-FR"/>
        </w:rPr>
        <w:t>os</w:t>
      </w:r>
      <w:r>
        <w:rPr>
          <w:lang w:val="fr-FR"/>
        </w:rPr>
        <w:t> </w:t>
      </w:r>
      <w:r w:rsidRPr="001F6232">
        <w:rPr>
          <w:lang w:val="fr-FR"/>
        </w:rPr>
        <w:t>ONU</w:t>
      </w:r>
      <w:r>
        <w:rPr>
          <w:lang w:val="fr-FR"/>
        </w:rPr>
        <w:t> </w:t>
      </w:r>
      <w:r w:rsidRPr="001F6232">
        <w:rPr>
          <w:lang w:val="fr-FR"/>
        </w:rPr>
        <w:t>1169 et 1197</w:t>
      </w:r>
      <w:r>
        <w:rPr>
          <w:lang w:val="fr-FR"/>
        </w:rPr>
        <w:t>,</w:t>
      </w:r>
      <w:r w:rsidRPr="001F6232">
        <w:rPr>
          <w:lang w:val="fr-FR"/>
        </w:rPr>
        <w:t xml:space="preserve"> </w:t>
      </w:r>
      <w:r>
        <w:rPr>
          <w:lang w:val="fr-FR"/>
        </w:rPr>
        <w:t xml:space="preserve">telles qu’énoncées dans les différentes listes de marchandises dangereuses, </w:t>
      </w:r>
      <w:r w:rsidRPr="001F6232">
        <w:rPr>
          <w:lang w:val="fr-FR"/>
        </w:rPr>
        <w:t>sont exactement les mêmes dans tous les règlements modaux</w:t>
      </w:r>
      <w:r w:rsidRPr="00721180">
        <w:rPr>
          <w:rStyle w:val="FootnoteReference"/>
          <w:sz w:val="20"/>
          <w:vertAlign w:val="baseline"/>
        </w:rPr>
        <w:t>.</w:t>
      </w:r>
    </w:p>
    <w:p w14:paraId="4E200850" w14:textId="77777777" w:rsidR="00721180" w:rsidRPr="003B2994" w:rsidRDefault="00721180" w:rsidP="00721180">
      <w:pPr>
        <w:pStyle w:val="SingleTxtG"/>
        <w:rPr>
          <w:rFonts w:eastAsia="Times New Roman"/>
          <w:lang w:val="fr-FR"/>
        </w:rPr>
      </w:pPr>
      <w:r>
        <w:rPr>
          <w:lang w:val="fr-FR"/>
        </w:rPr>
        <w:t>19</w:t>
      </w:r>
      <w:r w:rsidRPr="00721180">
        <w:rPr>
          <w:rStyle w:val="FootnoteReference"/>
          <w:sz w:val="20"/>
          <w:vertAlign w:val="baseline"/>
        </w:rPr>
        <w:t>.</w:t>
      </w:r>
      <w:r w:rsidRPr="001F6232">
        <w:rPr>
          <w:lang w:val="fr-FR"/>
        </w:rPr>
        <w:tab/>
        <w:t>En outre, dans l</w:t>
      </w:r>
      <w:r>
        <w:rPr>
          <w:lang w:val="fr-FR"/>
        </w:rPr>
        <w:t>’</w:t>
      </w:r>
      <w:r w:rsidRPr="001F6232">
        <w:rPr>
          <w:lang w:val="fr-FR"/>
        </w:rPr>
        <w:t>édition 2019-2020 des Instructions techniques pour la sécurité du transport aérien des marchandises dangereuses de l</w:t>
      </w:r>
      <w:r>
        <w:rPr>
          <w:lang w:val="fr-FR"/>
        </w:rPr>
        <w:t>’</w:t>
      </w:r>
      <w:r w:rsidRPr="001F6232">
        <w:rPr>
          <w:lang w:val="fr-FR"/>
        </w:rPr>
        <w:t>OACI, on trouve dans le glossaire (dont le caractère est purement informatif) la définition suivante, applicable au N</w:t>
      </w:r>
      <w:r w:rsidRPr="00721180">
        <w:rPr>
          <w:lang w:val="fr-FR"/>
        </w:rPr>
        <w:t>o</w:t>
      </w:r>
      <w:r>
        <w:rPr>
          <w:lang w:val="fr-FR"/>
        </w:rPr>
        <w:t> </w:t>
      </w:r>
      <w:r w:rsidRPr="001F6232">
        <w:rPr>
          <w:lang w:val="fr-FR"/>
        </w:rPr>
        <w:t>ONU</w:t>
      </w:r>
      <w:r>
        <w:rPr>
          <w:lang w:val="fr-FR"/>
        </w:rPr>
        <w:t> </w:t>
      </w:r>
      <w:r w:rsidRPr="001F6232">
        <w:rPr>
          <w:lang w:val="fr-FR"/>
        </w:rPr>
        <w:t>1169 tout comme au N</w:t>
      </w:r>
      <w:r w:rsidRPr="00721180">
        <w:rPr>
          <w:lang w:val="fr-FR"/>
        </w:rPr>
        <w:t>o</w:t>
      </w:r>
      <w:r>
        <w:rPr>
          <w:lang w:val="fr-FR"/>
        </w:rPr>
        <w:t> </w:t>
      </w:r>
      <w:r w:rsidRPr="001F6232">
        <w:rPr>
          <w:lang w:val="fr-FR"/>
        </w:rPr>
        <w:t>ONU</w:t>
      </w:r>
      <w:r>
        <w:rPr>
          <w:lang w:val="fr-FR"/>
        </w:rPr>
        <w:t> </w:t>
      </w:r>
      <w:r w:rsidRPr="001F6232">
        <w:rPr>
          <w:lang w:val="fr-FR"/>
        </w:rPr>
        <w:t>1197</w:t>
      </w:r>
      <w:r w:rsidRPr="00721180">
        <w:rPr>
          <w:rStyle w:val="FootnoteReference"/>
          <w:sz w:val="20"/>
          <w:vertAlign w:val="baseline"/>
        </w:rPr>
        <w:t>.</w:t>
      </w:r>
    </w:p>
    <w:p w14:paraId="3DEBD561" w14:textId="77777777" w:rsidR="00721180" w:rsidRPr="003B2994" w:rsidRDefault="00721180" w:rsidP="00721180">
      <w:pPr>
        <w:pStyle w:val="SingleTxtG"/>
        <w:ind w:left="1701"/>
        <w:rPr>
          <w:lang w:val="en-US"/>
        </w:rPr>
      </w:pPr>
      <w:r w:rsidRPr="001F6232">
        <w:rPr>
          <w:lang w:val="en-US"/>
        </w:rPr>
        <w:t>EXTRACTS, AROMATIC OR EXTRACTS, FLAVOURING</w:t>
      </w:r>
      <w:r w:rsidRPr="00721180">
        <w:rPr>
          <w:rStyle w:val="FootnoteReference"/>
          <w:sz w:val="20"/>
          <w:vertAlign w:val="baseline"/>
          <w:lang w:val="en-US"/>
        </w:rPr>
        <w:t>.</w:t>
      </w:r>
      <w:r w:rsidRPr="001F6232">
        <w:rPr>
          <w:lang w:val="en-US"/>
        </w:rPr>
        <w:t xml:space="preserve"> Substances used for fragrances or for </w:t>
      </w:r>
      <w:proofErr w:type="spellStart"/>
      <w:r w:rsidRPr="001F6232">
        <w:rPr>
          <w:lang w:val="en-US"/>
        </w:rPr>
        <w:t>flavouring</w:t>
      </w:r>
      <w:proofErr w:type="spellEnd"/>
      <w:r w:rsidRPr="001F6232">
        <w:rPr>
          <w:lang w:val="en-US"/>
        </w:rPr>
        <w:t xml:space="preserve"> foods or beverages</w:t>
      </w:r>
      <w:r w:rsidRPr="00721180">
        <w:rPr>
          <w:rStyle w:val="FootnoteReference"/>
          <w:sz w:val="20"/>
          <w:vertAlign w:val="baseline"/>
          <w:lang w:val="en-US"/>
        </w:rPr>
        <w:t>.</w:t>
      </w:r>
      <w:r w:rsidRPr="001F6232">
        <w:rPr>
          <w:lang w:val="en-US"/>
        </w:rPr>
        <w:t xml:space="preserve"> Where they contain a solvent or other liquid with a sufficiently low flash point they are classified as flammable liquids</w:t>
      </w:r>
      <w:r w:rsidRPr="00721180">
        <w:rPr>
          <w:rStyle w:val="FootnoteReference"/>
          <w:sz w:val="20"/>
          <w:vertAlign w:val="baseline"/>
          <w:lang w:val="en-US"/>
        </w:rPr>
        <w:t>.</w:t>
      </w:r>
      <w:r w:rsidRPr="001F6232">
        <w:rPr>
          <w:lang w:val="en-US"/>
        </w:rPr>
        <w:t xml:space="preserve"> However, where they contain a liquid which has corrosive or toxic properties they must be classified according to that criteria</w:t>
      </w:r>
      <w:r w:rsidRPr="00721180">
        <w:rPr>
          <w:rStyle w:val="FootnoteReference"/>
          <w:sz w:val="20"/>
          <w:vertAlign w:val="baseline"/>
          <w:lang w:val="en-US"/>
        </w:rPr>
        <w:t>.</w:t>
      </w:r>
      <w:r w:rsidRPr="001F6232">
        <w:rPr>
          <w:lang w:val="en-US"/>
        </w:rPr>
        <w:t xml:space="preserve"> They may have obnoxious properties such that in the event of a leakage from the package they may cause extreme discomfort to the crew or passengers</w:t>
      </w:r>
      <w:r w:rsidRPr="00721180">
        <w:rPr>
          <w:rStyle w:val="FootnoteReference"/>
          <w:sz w:val="20"/>
          <w:vertAlign w:val="baseline"/>
          <w:lang w:val="en-US"/>
        </w:rPr>
        <w:t>.</w:t>
      </w:r>
    </w:p>
    <w:p w14:paraId="1B65CECB" w14:textId="77777777" w:rsidR="00721180" w:rsidRDefault="00721180" w:rsidP="00721180">
      <w:pPr>
        <w:pStyle w:val="SingleTxtG"/>
        <w:rPr>
          <w:lang w:val="fr-FR"/>
        </w:rPr>
      </w:pPr>
      <w:r>
        <w:rPr>
          <w:lang w:val="fr-FR"/>
        </w:rPr>
        <w:lastRenderedPageBreak/>
        <w:t>20</w:t>
      </w:r>
      <w:r w:rsidRPr="00721180">
        <w:rPr>
          <w:rStyle w:val="FootnoteReference"/>
          <w:sz w:val="20"/>
          <w:vertAlign w:val="baseline"/>
        </w:rPr>
        <w:t>.</w:t>
      </w:r>
      <w:r w:rsidRPr="001F6232">
        <w:rPr>
          <w:lang w:val="fr-FR"/>
        </w:rPr>
        <w:tab/>
        <w:t>Les règlements modaux prévoient les mêmes conditions de transport pour les N</w:t>
      </w:r>
      <w:r w:rsidRPr="00721180">
        <w:rPr>
          <w:lang w:val="fr-FR"/>
        </w:rPr>
        <w:t>os</w:t>
      </w:r>
      <w:r>
        <w:rPr>
          <w:lang w:val="fr-FR"/>
        </w:rPr>
        <w:t> </w:t>
      </w:r>
      <w:r w:rsidRPr="001F6232">
        <w:rPr>
          <w:lang w:val="fr-FR"/>
        </w:rPr>
        <w:t>ONU</w:t>
      </w:r>
      <w:r>
        <w:rPr>
          <w:lang w:val="fr-FR"/>
        </w:rPr>
        <w:t> </w:t>
      </w:r>
      <w:r w:rsidRPr="001F6232">
        <w:rPr>
          <w:lang w:val="fr-FR"/>
        </w:rPr>
        <w:t>1169 et 1197</w:t>
      </w:r>
      <w:r w:rsidRPr="00721180">
        <w:rPr>
          <w:rStyle w:val="FootnoteReference"/>
          <w:sz w:val="20"/>
          <w:vertAlign w:val="baseline"/>
        </w:rPr>
        <w:t>.</w:t>
      </w:r>
    </w:p>
    <w:p w14:paraId="2BBB1272" w14:textId="77777777" w:rsidR="00721180" w:rsidRPr="003B2994" w:rsidRDefault="00721180" w:rsidP="00721180">
      <w:pPr>
        <w:pStyle w:val="HChG"/>
        <w:rPr>
          <w:lang w:val="fr-FR"/>
        </w:rPr>
      </w:pPr>
      <w:r>
        <w:rPr>
          <w:lang w:val="fr-FR"/>
        </w:rPr>
        <w:tab/>
      </w:r>
      <w:r>
        <w:rPr>
          <w:lang w:val="fr-FR"/>
        </w:rPr>
        <w:tab/>
      </w:r>
      <w:r w:rsidRPr="003B2994">
        <w:rPr>
          <w:lang w:val="fr-FR"/>
        </w:rPr>
        <w:t>Utilisation dans le secteur du transport</w:t>
      </w:r>
    </w:p>
    <w:p w14:paraId="42BF6AF1" w14:textId="77777777" w:rsidR="00721180" w:rsidRDefault="00721180" w:rsidP="00721180">
      <w:pPr>
        <w:pStyle w:val="SingleTxtG"/>
        <w:rPr>
          <w:lang w:val="fr-FR"/>
        </w:rPr>
      </w:pPr>
      <w:r>
        <w:rPr>
          <w:lang w:val="fr-FR"/>
        </w:rPr>
        <w:t>21</w:t>
      </w:r>
      <w:r w:rsidRPr="00721180">
        <w:rPr>
          <w:rStyle w:val="FootnoteReference"/>
          <w:sz w:val="20"/>
          <w:vertAlign w:val="baseline"/>
        </w:rPr>
        <w:t>.</w:t>
      </w:r>
      <w:r w:rsidRPr="001F6232">
        <w:rPr>
          <w:lang w:val="fr-FR"/>
        </w:rPr>
        <w:tab/>
      </w:r>
      <w:r>
        <w:rPr>
          <w:lang w:val="fr-FR"/>
        </w:rPr>
        <w:t>Plusieurs pays ont signalé que les professionnels du secteur utilisaient les deux numéros </w:t>
      </w:r>
      <w:r w:rsidRPr="001F6232">
        <w:rPr>
          <w:lang w:val="fr-FR"/>
        </w:rPr>
        <w:t>ONU</w:t>
      </w:r>
      <w:r>
        <w:rPr>
          <w:lang w:val="fr-FR"/>
        </w:rPr>
        <w:t> sans distinctions et ont suggéré que l’on supprime l’un des deux</w:t>
      </w:r>
      <w:r w:rsidRPr="00721180">
        <w:rPr>
          <w:rStyle w:val="FootnoteReference"/>
          <w:sz w:val="20"/>
          <w:vertAlign w:val="baseline"/>
        </w:rPr>
        <w:t>.</w:t>
      </w:r>
    </w:p>
    <w:p w14:paraId="44767CFD" w14:textId="77777777" w:rsidR="00721180" w:rsidRPr="003B2994" w:rsidRDefault="00721180" w:rsidP="00721180">
      <w:pPr>
        <w:pStyle w:val="SingleTxtG"/>
        <w:rPr>
          <w:rFonts w:eastAsia="Times New Roman"/>
          <w:b/>
          <w:bCs/>
          <w:sz w:val="28"/>
          <w:szCs w:val="28"/>
          <w:lang w:val="fr-FR"/>
        </w:rPr>
      </w:pPr>
      <w:r>
        <w:rPr>
          <w:lang w:val="fr-FR"/>
        </w:rPr>
        <w:t>22</w:t>
      </w:r>
      <w:r w:rsidRPr="00721180">
        <w:rPr>
          <w:rStyle w:val="FootnoteReference"/>
          <w:sz w:val="20"/>
          <w:vertAlign w:val="baseline"/>
        </w:rPr>
        <w:t>.</w:t>
      </w:r>
      <w:r>
        <w:rPr>
          <w:lang w:val="fr-FR"/>
        </w:rPr>
        <w:tab/>
        <w:t>Les membres du CEFIC estiment quant à eux qu’il n’est pas utile d’avoir deux numéros ONU et proposent ainsi de supprimer le No ONU 1169 et conserver le No ONU 1197</w:t>
      </w:r>
      <w:r w:rsidRPr="00721180">
        <w:rPr>
          <w:rStyle w:val="FootnoteReference"/>
          <w:sz w:val="20"/>
          <w:vertAlign w:val="baseline"/>
        </w:rPr>
        <w:t>.</w:t>
      </w:r>
    </w:p>
    <w:p w14:paraId="10A5BCCC" w14:textId="77777777" w:rsidR="00721180" w:rsidRPr="003B2994" w:rsidRDefault="00721180" w:rsidP="00721180">
      <w:pPr>
        <w:pStyle w:val="HChG"/>
        <w:rPr>
          <w:rFonts w:eastAsia="Times New Roman"/>
          <w:lang w:val="fr-FR"/>
        </w:rPr>
      </w:pPr>
      <w:r w:rsidRPr="001F6232">
        <w:rPr>
          <w:lang w:val="fr-FR"/>
        </w:rPr>
        <w:tab/>
      </w:r>
      <w:r w:rsidRPr="001F6232">
        <w:rPr>
          <w:lang w:val="fr-FR"/>
        </w:rPr>
        <w:tab/>
        <w:t>Conclusions</w:t>
      </w:r>
    </w:p>
    <w:p w14:paraId="41488B24" w14:textId="77777777" w:rsidR="00721180" w:rsidRDefault="00721180" w:rsidP="00721180">
      <w:pPr>
        <w:pStyle w:val="SingleTxtG"/>
        <w:rPr>
          <w:lang w:val="fr-FR"/>
        </w:rPr>
      </w:pPr>
      <w:r>
        <w:rPr>
          <w:lang w:val="fr-FR"/>
        </w:rPr>
        <w:t>23</w:t>
      </w:r>
      <w:r w:rsidRPr="00721180">
        <w:rPr>
          <w:rStyle w:val="FootnoteReference"/>
          <w:sz w:val="20"/>
          <w:vertAlign w:val="baseline"/>
        </w:rPr>
        <w:t>.</w:t>
      </w:r>
      <w:r>
        <w:rPr>
          <w:lang w:val="fr-FR"/>
        </w:rPr>
        <w:tab/>
        <w:t>Conserver les deux numéros ONU et définir des critères pour les distinguer clairement pourrait être difficile</w:t>
      </w:r>
      <w:r w:rsidRPr="00721180">
        <w:rPr>
          <w:rStyle w:val="FootnoteReference"/>
          <w:sz w:val="20"/>
          <w:vertAlign w:val="baseline"/>
        </w:rPr>
        <w:t>.</w:t>
      </w:r>
      <w:r>
        <w:rPr>
          <w:lang w:val="fr-FR"/>
        </w:rPr>
        <w:t xml:space="preserve"> En outre, les conditions de transport étant les mêmes pour ces deux numéros, cela ne se justifie pas vraiment</w:t>
      </w:r>
      <w:r w:rsidRPr="00721180">
        <w:rPr>
          <w:rStyle w:val="FootnoteReference"/>
          <w:sz w:val="20"/>
          <w:vertAlign w:val="baseline"/>
        </w:rPr>
        <w:t>.</w:t>
      </w:r>
    </w:p>
    <w:p w14:paraId="170EC44A" w14:textId="77777777" w:rsidR="00721180" w:rsidRPr="003B2994" w:rsidRDefault="00721180" w:rsidP="00721180">
      <w:pPr>
        <w:pStyle w:val="SingleTxtG"/>
        <w:rPr>
          <w:rFonts w:eastAsia="Times New Roman"/>
          <w:lang w:val="fr-FR"/>
        </w:rPr>
      </w:pPr>
      <w:r>
        <w:rPr>
          <w:lang w:val="fr-FR"/>
        </w:rPr>
        <w:t>24</w:t>
      </w:r>
      <w:r w:rsidRPr="00721180">
        <w:rPr>
          <w:rStyle w:val="FootnoteReference"/>
          <w:sz w:val="20"/>
          <w:vertAlign w:val="baseline"/>
        </w:rPr>
        <w:t>.</w:t>
      </w:r>
      <w:r w:rsidRPr="001F6232">
        <w:rPr>
          <w:lang w:val="fr-FR"/>
        </w:rPr>
        <w:tab/>
        <w:t>Il semble que les deux rubriques font référence à la même réalité, car les définitions des deux substances se recoupent</w:t>
      </w:r>
      <w:r w:rsidRPr="00721180">
        <w:rPr>
          <w:rStyle w:val="FootnoteReference"/>
          <w:sz w:val="20"/>
          <w:vertAlign w:val="baseline"/>
        </w:rPr>
        <w:t>.</w:t>
      </w:r>
      <w:r w:rsidRPr="001F6232">
        <w:rPr>
          <w:lang w:val="fr-FR"/>
        </w:rPr>
        <w:t xml:space="preserve"> De plus, les conditions de transport définies</w:t>
      </w:r>
      <w:r>
        <w:rPr>
          <w:lang w:val="fr-FR"/>
        </w:rPr>
        <w:t xml:space="preserve"> </w:t>
      </w:r>
      <w:r w:rsidRPr="001F6232">
        <w:rPr>
          <w:lang w:val="fr-FR"/>
        </w:rPr>
        <w:t>dans tous les règlements modaux sont les mêmes pour les deux numéros ONU</w:t>
      </w:r>
      <w:r w:rsidRPr="00721180">
        <w:rPr>
          <w:rStyle w:val="FootnoteReference"/>
          <w:sz w:val="20"/>
          <w:vertAlign w:val="baseline"/>
        </w:rPr>
        <w:t>.</w:t>
      </w:r>
    </w:p>
    <w:p w14:paraId="2C8D070D" w14:textId="77777777" w:rsidR="00721180" w:rsidRDefault="00721180" w:rsidP="00721180">
      <w:pPr>
        <w:pStyle w:val="SingleTxtG"/>
        <w:rPr>
          <w:lang w:val="fr-FR"/>
        </w:rPr>
      </w:pPr>
      <w:r>
        <w:rPr>
          <w:lang w:val="fr-FR"/>
        </w:rPr>
        <w:t>25</w:t>
      </w:r>
      <w:r w:rsidRPr="00721180">
        <w:rPr>
          <w:rStyle w:val="FootnoteReference"/>
          <w:sz w:val="20"/>
          <w:vertAlign w:val="baseline"/>
        </w:rPr>
        <w:t>.</w:t>
      </w:r>
      <w:r w:rsidRPr="001F6232">
        <w:rPr>
          <w:lang w:val="fr-FR"/>
        </w:rPr>
        <w:tab/>
      </w:r>
      <w:r>
        <w:rPr>
          <w:lang w:val="fr-FR"/>
        </w:rPr>
        <w:t>Par conséquent, les experts de l’Espagne et du CEFIC proposent d’éliminer la rubrique du No ONU 1169 et de conserver uniquement celle du No ONU 1197 en adaptant la désignation de sorte qu’elle porte à la fois sur les substances aromatiques et les substances pour aromatiser</w:t>
      </w:r>
      <w:r w:rsidRPr="00721180">
        <w:rPr>
          <w:rStyle w:val="FootnoteReference"/>
          <w:sz w:val="20"/>
          <w:vertAlign w:val="baseline"/>
        </w:rPr>
        <w:t>.</w:t>
      </w:r>
    </w:p>
    <w:p w14:paraId="39545218" w14:textId="77777777" w:rsidR="00721180" w:rsidRPr="003B2994" w:rsidRDefault="00721180" w:rsidP="00721180">
      <w:pPr>
        <w:pStyle w:val="HChG"/>
        <w:rPr>
          <w:lang w:val="fr-FR"/>
        </w:rPr>
      </w:pPr>
      <w:r>
        <w:rPr>
          <w:lang w:val="fr-FR"/>
        </w:rPr>
        <w:tab/>
      </w:r>
      <w:r>
        <w:rPr>
          <w:lang w:val="fr-FR"/>
        </w:rPr>
        <w:tab/>
      </w:r>
      <w:r w:rsidRPr="003B2994">
        <w:rPr>
          <w:lang w:val="fr-FR"/>
        </w:rPr>
        <w:t>Proposition</w:t>
      </w:r>
    </w:p>
    <w:p w14:paraId="72DE2A6C" w14:textId="77777777" w:rsidR="00721180" w:rsidRPr="003B2994" w:rsidRDefault="00721180" w:rsidP="00721180">
      <w:pPr>
        <w:pStyle w:val="SingleTxtG"/>
        <w:kinsoku/>
        <w:overflowPunct/>
        <w:autoSpaceDE/>
        <w:adjustRightInd/>
        <w:snapToGrid/>
        <w:rPr>
          <w:rFonts w:eastAsia="Times New Roman"/>
          <w:lang w:val="fr-FR"/>
        </w:rPr>
      </w:pPr>
      <w:r w:rsidRPr="003B2994">
        <w:rPr>
          <w:rFonts w:eastAsia="Times New Roman"/>
          <w:lang w:val="fr-FR"/>
        </w:rPr>
        <w:t>26</w:t>
      </w:r>
      <w:r w:rsidRPr="00721180">
        <w:rPr>
          <w:rStyle w:val="FootnoteReference"/>
          <w:sz w:val="20"/>
          <w:vertAlign w:val="baseline"/>
        </w:rPr>
        <w:t>.</w:t>
      </w:r>
      <w:r w:rsidRPr="003B2994">
        <w:rPr>
          <w:rFonts w:eastAsia="Times New Roman"/>
          <w:lang w:val="fr-FR"/>
        </w:rPr>
        <w:tab/>
        <w:t>Les experts de l</w:t>
      </w:r>
      <w:r>
        <w:rPr>
          <w:rFonts w:eastAsia="Times New Roman"/>
          <w:lang w:val="fr-FR"/>
        </w:rPr>
        <w:t>’</w:t>
      </w:r>
      <w:r w:rsidRPr="003B2994">
        <w:rPr>
          <w:rFonts w:eastAsia="Times New Roman"/>
          <w:lang w:val="fr-FR"/>
        </w:rPr>
        <w:t>Espagne et du CEFIC proposent de</w:t>
      </w:r>
      <w:r>
        <w:rPr>
          <w:rFonts w:eastAsia="Times New Roman"/>
          <w:lang w:val="fr-FR"/>
        </w:rPr>
        <w:t xml:space="preserve"> modifier le Règlement type comme suit </w:t>
      </w:r>
      <w:r w:rsidRPr="003B2994">
        <w:rPr>
          <w:rFonts w:eastAsia="Times New Roman"/>
          <w:lang w:val="fr-FR"/>
        </w:rPr>
        <w:t>:</w:t>
      </w:r>
    </w:p>
    <w:p w14:paraId="500E6AEB" w14:textId="77777777" w:rsidR="00721180" w:rsidRPr="003B2994" w:rsidRDefault="00721180" w:rsidP="00721180">
      <w:pPr>
        <w:pStyle w:val="Bullet1G"/>
        <w:numPr>
          <w:ilvl w:val="0"/>
          <w:numId w:val="1"/>
        </w:numPr>
        <w:rPr>
          <w:lang w:val="fr-FR"/>
        </w:rPr>
      </w:pPr>
      <w:r w:rsidRPr="003B2994">
        <w:t>Supprimer</w:t>
      </w:r>
      <w:r w:rsidRPr="003B2994">
        <w:rPr>
          <w:lang w:val="fr-FR"/>
        </w:rPr>
        <w:t xml:space="preserve"> le No ONU 1169 de la liste des marchandises dangereus</w:t>
      </w:r>
      <w:r>
        <w:rPr>
          <w:lang w:val="fr-FR"/>
        </w:rPr>
        <w:t>es du chapitre </w:t>
      </w:r>
      <w:r w:rsidRPr="003B2994">
        <w:rPr>
          <w:lang w:val="fr-FR"/>
        </w:rPr>
        <w:t>3</w:t>
      </w:r>
      <w:r w:rsidRPr="00721180">
        <w:rPr>
          <w:rStyle w:val="FootnoteReference"/>
          <w:sz w:val="20"/>
          <w:vertAlign w:val="baseline"/>
        </w:rPr>
        <w:t>.</w:t>
      </w:r>
      <w:r w:rsidRPr="003B2994">
        <w:rPr>
          <w:lang w:val="fr-FR"/>
        </w:rPr>
        <w:t xml:space="preserve">2 </w:t>
      </w:r>
      <w:r>
        <w:rPr>
          <w:lang w:val="fr-FR"/>
        </w:rPr>
        <w:t xml:space="preserve">et de l’index </w:t>
      </w:r>
      <w:r w:rsidRPr="003B2994">
        <w:rPr>
          <w:lang w:val="fr-FR"/>
        </w:rPr>
        <w:t>alphab</w:t>
      </w:r>
      <w:r>
        <w:rPr>
          <w:lang w:val="fr-FR"/>
        </w:rPr>
        <w:t>étique ;</w:t>
      </w:r>
    </w:p>
    <w:p w14:paraId="5428929C" w14:textId="77777777" w:rsidR="00721180" w:rsidRPr="003B2994" w:rsidRDefault="00721180" w:rsidP="00721180">
      <w:pPr>
        <w:pStyle w:val="Bullet1G"/>
        <w:numPr>
          <w:ilvl w:val="0"/>
          <w:numId w:val="17"/>
        </w:numPr>
        <w:rPr>
          <w:rFonts w:eastAsia="Times New Roman"/>
          <w:lang w:val="fr-FR"/>
        </w:rPr>
      </w:pPr>
      <w:r w:rsidRPr="00294DA3">
        <w:rPr>
          <w:lang w:val="fr-FR"/>
        </w:rPr>
        <w:t>Mo</w:t>
      </w:r>
      <w:r w:rsidRPr="003B2994">
        <w:rPr>
          <w:lang w:val="fr-FR"/>
        </w:rPr>
        <w:t xml:space="preserve">difier la désignation et la description </w:t>
      </w:r>
      <w:r>
        <w:rPr>
          <w:lang w:val="fr-FR"/>
        </w:rPr>
        <w:t xml:space="preserve">du </w:t>
      </w:r>
      <w:r w:rsidRPr="00EA2358">
        <w:rPr>
          <w:rFonts w:eastAsia="Times New Roman"/>
          <w:lang w:val="fr-FR"/>
        </w:rPr>
        <w:t>No ONU 119</w:t>
      </w:r>
      <w:r>
        <w:rPr>
          <w:rFonts w:eastAsia="Times New Roman"/>
          <w:lang w:val="fr-FR"/>
        </w:rPr>
        <w:t>7</w:t>
      </w:r>
      <w:r w:rsidRPr="00EA2358">
        <w:rPr>
          <w:rFonts w:eastAsia="Times New Roman"/>
          <w:lang w:val="fr-FR"/>
        </w:rPr>
        <w:t xml:space="preserve"> </w:t>
      </w:r>
      <w:r w:rsidRPr="003B2994">
        <w:rPr>
          <w:lang w:val="fr-FR"/>
        </w:rPr>
        <w:t xml:space="preserve">dans la </w:t>
      </w:r>
      <w:r w:rsidRPr="00EA2358">
        <w:rPr>
          <w:rFonts w:eastAsia="Times New Roman"/>
          <w:lang w:val="fr-FR"/>
        </w:rPr>
        <w:t>liste des marchandises dangereus</w:t>
      </w:r>
      <w:r>
        <w:rPr>
          <w:rFonts w:eastAsia="Times New Roman"/>
          <w:lang w:val="fr-FR"/>
        </w:rPr>
        <w:t xml:space="preserve">es du chapitre </w:t>
      </w:r>
      <w:r w:rsidRPr="00EA2358">
        <w:rPr>
          <w:lang w:val="fr-FR"/>
        </w:rPr>
        <w:t>3</w:t>
      </w:r>
      <w:r w:rsidRPr="00721180">
        <w:rPr>
          <w:rStyle w:val="FootnoteReference"/>
          <w:sz w:val="20"/>
          <w:vertAlign w:val="baseline"/>
        </w:rPr>
        <w:t>.</w:t>
      </w:r>
      <w:r w:rsidRPr="00EA2358">
        <w:rPr>
          <w:lang w:val="fr-FR"/>
        </w:rPr>
        <w:t>2</w:t>
      </w:r>
      <w:r w:rsidRPr="003B2994">
        <w:rPr>
          <w:lang w:val="fr-FR"/>
        </w:rPr>
        <w:t xml:space="preserve"> et dans </w:t>
      </w:r>
      <w:r>
        <w:rPr>
          <w:lang w:val="fr-FR"/>
        </w:rPr>
        <w:t xml:space="preserve">l’index </w:t>
      </w:r>
      <w:r w:rsidRPr="00EA2358">
        <w:rPr>
          <w:lang w:val="fr-FR"/>
        </w:rPr>
        <w:t>alphab</w:t>
      </w:r>
      <w:r>
        <w:rPr>
          <w:lang w:val="fr-FR"/>
        </w:rPr>
        <w:t>étique</w:t>
      </w:r>
      <w:r w:rsidRPr="00294DA3">
        <w:rPr>
          <w:lang w:val="fr-FR"/>
        </w:rPr>
        <w:t xml:space="preserve"> </w:t>
      </w:r>
      <w:r>
        <w:rPr>
          <w:lang w:val="fr-FR"/>
        </w:rPr>
        <w:t>comme suit</w:t>
      </w:r>
      <w:r w:rsidRPr="003B2994">
        <w:rPr>
          <w:rFonts w:eastAsia="Times New Roman"/>
          <w:lang w:val="fr-FR"/>
        </w:rPr>
        <w:t xml:space="preserve"> (</w:t>
      </w:r>
      <w:r>
        <w:rPr>
          <w:rFonts w:eastAsia="Times New Roman"/>
          <w:lang w:val="fr-FR"/>
        </w:rPr>
        <w:t>seule la version anglaise doit être modifiée</w:t>
      </w:r>
      <w:r w:rsidRPr="003B2994">
        <w:rPr>
          <w:rFonts w:eastAsia="Times New Roman"/>
          <w:lang w:val="fr-FR"/>
        </w:rPr>
        <w:t>)</w:t>
      </w:r>
      <w:r>
        <w:rPr>
          <w:rFonts w:eastAsia="Times New Roman"/>
          <w:lang w:val="fr-FR"/>
        </w:rPr>
        <w:t> </w:t>
      </w:r>
      <w:r w:rsidRPr="003B2994">
        <w:rPr>
          <w:rFonts w:eastAsia="Times New Roman"/>
          <w:lang w:val="fr-FR"/>
        </w:rPr>
        <w:t>:</w:t>
      </w:r>
    </w:p>
    <w:tbl>
      <w:tblPr>
        <w:tblW w:w="7230" w:type="dxa"/>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1"/>
        <w:gridCol w:w="1701"/>
        <w:gridCol w:w="2268"/>
        <w:gridCol w:w="2410"/>
      </w:tblGrid>
      <w:tr w:rsidR="00721180" w14:paraId="1489CED3" w14:textId="77777777" w:rsidTr="00721180">
        <w:trPr>
          <w:trHeight w:val="675"/>
        </w:trPr>
        <w:tc>
          <w:tcPr>
            <w:tcW w:w="851" w:type="dxa"/>
            <w:tcMar>
              <w:top w:w="0" w:type="dxa"/>
              <w:left w:w="0" w:type="dxa"/>
              <w:bottom w:w="0" w:type="dxa"/>
              <w:right w:w="0" w:type="dxa"/>
            </w:tcMar>
            <w:hideMark/>
          </w:tcPr>
          <w:p w14:paraId="338D5153" w14:textId="77777777" w:rsidR="00721180" w:rsidRDefault="00721180" w:rsidP="00721180">
            <w:pPr>
              <w:spacing w:before="60" w:after="60" w:line="220" w:lineRule="atLeast"/>
              <w:ind w:left="57" w:right="57"/>
              <w:rPr>
                <w:sz w:val="16"/>
                <w:szCs w:val="16"/>
                <w:lang w:val="es-ES" w:eastAsia="es-ES"/>
              </w:rPr>
            </w:pPr>
            <w:r>
              <w:rPr>
                <w:sz w:val="16"/>
                <w:szCs w:val="16"/>
                <w:lang w:eastAsia="es-ES"/>
              </w:rPr>
              <w:t>Nº</w:t>
            </w:r>
          </w:p>
        </w:tc>
        <w:tc>
          <w:tcPr>
            <w:tcW w:w="1701" w:type="dxa"/>
            <w:tcMar>
              <w:top w:w="0" w:type="dxa"/>
              <w:left w:w="0" w:type="dxa"/>
              <w:bottom w:w="0" w:type="dxa"/>
              <w:right w:w="0" w:type="dxa"/>
            </w:tcMar>
            <w:hideMark/>
          </w:tcPr>
          <w:p w14:paraId="4F75B125" w14:textId="77777777" w:rsidR="00721180" w:rsidRDefault="00721180" w:rsidP="005E2C54">
            <w:pPr>
              <w:spacing w:before="60" w:after="60" w:line="220" w:lineRule="atLeast"/>
              <w:ind w:left="57" w:right="57"/>
              <w:rPr>
                <w:sz w:val="16"/>
                <w:szCs w:val="16"/>
                <w:lang w:eastAsia="es-ES"/>
              </w:rPr>
            </w:pPr>
            <w:r>
              <w:rPr>
                <w:sz w:val="16"/>
                <w:szCs w:val="16"/>
                <w:lang w:eastAsia="es-ES"/>
              </w:rPr>
              <w:t>Anglais</w:t>
            </w:r>
          </w:p>
        </w:tc>
        <w:tc>
          <w:tcPr>
            <w:tcW w:w="2268" w:type="dxa"/>
            <w:tcMar>
              <w:top w:w="0" w:type="dxa"/>
              <w:left w:w="0" w:type="dxa"/>
              <w:bottom w:w="0" w:type="dxa"/>
              <w:right w:w="0" w:type="dxa"/>
            </w:tcMar>
            <w:hideMark/>
          </w:tcPr>
          <w:p w14:paraId="7119CA08" w14:textId="77777777" w:rsidR="00721180" w:rsidRDefault="00721180" w:rsidP="005E2C54">
            <w:pPr>
              <w:spacing w:before="60" w:after="60" w:line="220" w:lineRule="atLeast"/>
              <w:ind w:left="57" w:right="57"/>
              <w:rPr>
                <w:sz w:val="16"/>
                <w:szCs w:val="16"/>
                <w:lang w:eastAsia="es-ES"/>
              </w:rPr>
            </w:pPr>
            <w:r>
              <w:rPr>
                <w:sz w:val="16"/>
                <w:szCs w:val="16"/>
                <w:lang w:eastAsia="es-ES"/>
              </w:rPr>
              <w:t>Français</w:t>
            </w:r>
          </w:p>
        </w:tc>
        <w:tc>
          <w:tcPr>
            <w:tcW w:w="2410" w:type="dxa"/>
            <w:tcMar>
              <w:top w:w="0" w:type="dxa"/>
              <w:left w:w="0" w:type="dxa"/>
              <w:bottom w:w="0" w:type="dxa"/>
              <w:right w:w="0" w:type="dxa"/>
            </w:tcMar>
            <w:hideMark/>
          </w:tcPr>
          <w:p w14:paraId="05687CD6" w14:textId="77777777" w:rsidR="00721180" w:rsidRDefault="00721180" w:rsidP="005E2C54">
            <w:pPr>
              <w:spacing w:before="60" w:after="60" w:line="220" w:lineRule="atLeast"/>
              <w:ind w:left="57" w:right="57"/>
              <w:rPr>
                <w:sz w:val="16"/>
                <w:szCs w:val="16"/>
                <w:lang w:eastAsia="es-ES"/>
              </w:rPr>
            </w:pPr>
            <w:r>
              <w:rPr>
                <w:sz w:val="16"/>
                <w:szCs w:val="16"/>
                <w:lang w:eastAsia="es-ES"/>
              </w:rPr>
              <w:t>Espagnol</w:t>
            </w:r>
          </w:p>
        </w:tc>
      </w:tr>
      <w:tr w:rsidR="00721180" w14:paraId="75DF68D7" w14:textId="77777777" w:rsidTr="00721180">
        <w:trPr>
          <w:trHeight w:val="450"/>
        </w:trPr>
        <w:tc>
          <w:tcPr>
            <w:tcW w:w="851" w:type="dxa"/>
            <w:tcMar>
              <w:top w:w="0" w:type="dxa"/>
              <w:left w:w="0" w:type="dxa"/>
              <w:bottom w:w="0" w:type="dxa"/>
              <w:right w:w="0" w:type="dxa"/>
            </w:tcMar>
            <w:hideMark/>
          </w:tcPr>
          <w:p w14:paraId="05D02728" w14:textId="77777777" w:rsidR="00721180" w:rsidRDefault="00721180" w:rsidP="00721180">
            <w:pPr>
              <w:spacing w:before="60" w:after="60" w:line="220" w:lineRule="atLeast"/>
              <w:ind w:left="57" w:right="57"/>
              <w:rPr>
                <w:sz w:val="16"/>
                <w:szCs w:val="16"/>
                <w:lang w:eastAsia="es-ES"/>
              </w:rPr>
            </w:pPr>
            <w:r>
              <w:rPr>
                <w:sz w:val="16"/>
                <w:szCs w:val="16"/>
                <w:lang w:eastAsia="es-ES"/>
              </w:rPr>
              <w:t>1197</w:t>
            </w:r>
          </w:p>
        </w:tc>
        <w:tc>
          <w:tcPr>
            <w:tcW w:w="1701" w:type="dxa"/>
            <w:tcMar>
              <w:top w:w="0" w:type="dxa"/>
              <w:left w:w="0" w:type="dxa"/>
              <w:bottom w:w="0" w:type="dxa"/>
              <w:right w:w="0" w:type="dxa"/>
            </w:tcMar>
            <w:hideMark/>
          </w:tcPr>
          <w:p w14:paraId="1D7AED58" w14:textId="77777777" w:rsidR="00721180" w:rsidRPr="00721180" w:rsidRDefault="00721180" w:rsidP="005E2C54">
            <w:pPr>
              <w:spacing w:before="60" w:after="60" w:line="220" w:lineRule="atLeast"/>
              <w:ind w:left="57" w:right="57"/>
              <w:rPr>
                <w:sz w:val="16"/>
                <w:szCs w:val="16"/>
                <w:lang w:val="en-US" w:eastAsia="es-ES"/>
              </w:rPr>
            </w:pPr>
            <w:r w:rsidRPr="00721180">
              <w:rPr>
                <w:sz w:val="16"/>
                <w:szCs w:val="16"/>
                <w:lang w:val="en-US" w:eastAsia="es-ES"/>
              </w:rPr>
              <w:t xml:space="preserve">EXTRACTS, </w:t>
            </w:r>
            <w:r w:rsidRPr="00721180">
              <w:rPr>
                <w:sz w:val="16"/>
                <w:szCs w:val="16"/>
                <w:u w:val="single"/>
                <w:lang w:val="en-US" w:eastAsia="es-ES"/>
              </w:rPr>
              <w:t>AROMATIC OR</w:t>
            </w:r>
            <w:r w:rsidRPr="00721180">
              <w:rPr>
                <w:sz w:val="16"/>
                <w:szCs w:val="16"/>
                <w:lang w:val="en-US" w:eastAsia="es-ES"/>
              </w:rPr>
              <w:t xml:space="preserve"> FLAVOURING, LIQUID</w:t>
            </w:r>
          </w:p>
        </w:tc>
        <w:tc>
          <w:tcPr>
            <w:tcW w:w="2268" w:type="dxa"/>
            <w:tcMar>
              <w:top w:w="0" w:type="dxa"/>
              <w:left w:w="0" w:type="dxa"/>
              <w:bottom w:w="0" w:type="dxa"/>
              <w:right w:w="0" w:type="dxa"/>
            </w:tcMar>
            <w:hideMark/>
          </w:tcPr>
          <w:p w14:paraId="0FF00B35" w14:textId="77777777" w:rsidR="00721180" w:rsidRDefault="00721180" w:rsidP="005E2C54">
            <w:pPr>
              <w:spacing w:before="60" w:after="60" w:line="220" w:lineRule="atLeast"/>
              <w:ind w:left="57" w:right="57"/>
              <w:rPr>
                <w:sz w:val="16"/>
                <w:szCs w:val="16"/>
                <w:lang w:eastAsia="es-ES"/>
              </w:rPr>
            </w:pPr>
            <w:r>
              <w:rPr>
                <w:sz w:val="16"/>
                <w:szCs w:val="16"/>
                <w:lang w:eastAsia="es-ES"/>
              </w:rPr>
              <w:t>EXTRAITS LIQUIDES POUR AROMATISER</w:t>
            </w:r>
          </w:p>
        </w:tc>
        <w:tc>
          <w:tcPr>
            <w:tcW w:w="2410" w:type="dxa"/>
            <w:tcMar>
              <w:top w:w="0" w:type="dxa"/>
              <w:left w:w="0" w:type="dxa"/>
              <w:bottom w:w="0" w:type="dxa"/>
              <w:right w:w="0" w:type="dxa"/>
            </w:tcMar>
            <w:hideMark/>
          </w:tcPr>
          <w:p w14:paraId="06EAB99D" w14:textId="77777777" w:rsidR="00721180" w:rsidRDefault="00721180" w:rsidP="005E2C54">
            <w:pPr>
              <w:spacing w:before="60" w:after="60" w:line="220" w:lineRule="atLeast"/>
              <w:ind w:left="57" w:right="57"/>
              <w:rPr>
                <w:sz w:val="16"/>
                <w:szCs w:val="16"/>
                <w:lang w:eastAsia="es-ES"/>
              </w:rPr>
            </w:pPr>
            <w:r>
              <w:rPr>
                <w:sz w:val="16"/>
                <w:szCs w:val="16"/>
                <w:lang w:eastAsia="es-ES"/>
              </w:rPr>
              <w:t>EXTRACTOS LÍQUIDOS PARA AROMATIZAR</w:t>
            </w:r>
          </w:p>
        </w:tc>
      </w:tr>
    </w:tbl>
    <w:p w14:paraId="16C5F1C6" w14:textId="77777777" w:rsidR="00721180" w:rsidRDefault="00721180" w:rsidP="00721180">
      <w:pPr>
        <w:pStyle w:val="SingleTxtG"/>
        <w:spacing w:before="240"/>
      </w:pPr>
      <w:r w:rsidRPr="003B2994">
        <w:rPr>
          <w:lang w:val="fr-FR"/>
        </w:rPr>
        <w:t>27</w:t>
      </w:r>
      <w:r w:rsidRPr="00721180">
        <w:rPr>
          <w:rStyle w:val="FootnoteReference"/>
          <w:sz w:val="20"/>
          <w:vertAlign w:val="baseline"/>
        </w:rPr>
        <w:t>.</w:t>
      </w:r>
      <w:r w:rsidRPr="003B2994">
        <w:rPr>
          <w:lang w:val="fr-FR"/>
        </w:rPr>
        <w:tab/>
        <w:t>Aucun autre amendement ne s</w:t>
      </w:r>
      <w:r>
        <w:rPr>
          <w:lang w:val="fr-FR"/>
        </w:rPr>
        <w:t>’</w:t>
      </w:r>
      <w:r w:rsidRPr="003B2994">
        <w:rPr>
          <w:lang w:val="fr-FR"/>
        </w:rPr>
        <w:t>impose</w:t>
      </w:r>
      <w:r>
        <w:rPr>
          <w:lang w:val="fr-FR"/>
        </w:rPr>
        <w:t xml:space="preserve"> en raison de cette modification</w:t>
      </w:r>
      <w:r w:rsidRPr="00721180">
        <w:rPr>
          <w:rStyle w:val="FootnoteReference"/>
          <w:sz w:val="20"/>
          <w:vertAlign w:val="baseline"/>
        </w:rPr>
        <w:t>.</w:t>
      </w:r>
    </w:p>
    <w:p w14:paraId="42D90189" w14:textId="77777777" w:rsidR="00446FE5" w:rsidRPr="00721180" w:rsidRDefault="00721180" w:rsidP="00721180">
      <w:pPr>
        <w:pStyle w:val="SingleTxtG"/>
        <w:spacing w:before="240" w:after="0"/>
        <w:jc w:val="center"/>
        <w:rPr>
          <w:u w:val="single"/>
        </w:rPr>
      </w:pPr>
      <w:r>
        <w:rPr>
          <w:u w:val="single"/>
        </w:rPr>
        <w:tab/>
      </w:r>
      <w:r>
        <w:rPr>
          <w:u w:val="single"/>
        </w:rPr>
        <w:tab/>
      </w:r>
      <w:r>
        <w:rPr>
          <w:u w:val="single"/>
        </w:rPr>
        <w:tab/>
      </w:r>
    </w:p>
    <w:sectPr w:rsidR="00446FE5" w:rsidRPr="00721180" w:rsidSect="00721180">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ECE2E" w14:textId="77777777" w:rsidR="00904C5F" w:rsidRDefault="00904C5F" w:rsidP="00F95C08">
      <w:pPr>
        <w:spacing w:line="240" w:lineRule="auto"/>
      </w:pPr>
    </w:p>
  </w:endnote>
  <w:endnote w:type="continuationSeparator" w:id="0">
    <w:p w14:paraId="6E5C5CC5" w14:textId="77777777" w:rsidR="00904C5F" w:rsidRPr="00AC3823" w:rsidRDefault="00904C5F" w:rsidP="00AC3823">
      <w:pPr>
        <w:pStyle w:val="Footer"/>
      </w:pPr>
    </w:p>
  </w:endnote>
  <w:endnote w:type="continuationNotice" w:id="1">
    <w:p w14:paraId="3FB49363" w14:textId="77777777" w:rsidR="00904C5F" w:rsidRDefault="00904C5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ADB6" w14:textId="77777777" w:rsidR="00721180" w:rsidRPr="00721180" w:rsidRDefault="00721180" w:rsidP="00721180">
    <w:pPr>
      <w:pStyle w:val="Footer"/>
      <w:tabs>
        <w:tab w:val="right" w:pos="9638"/>
      </w:tabs>
    </w:pPr>
    <w:r w:rsidRPr="00721180">
      <w:rPr>
        <w:b/>
        <w:sz w:val="18"/>
      </w:rPr>
      <w:fldChar w:fldCharType="begin"/>
    </w:r>
    <w:r w:rsidRPr="00721180">
      <w:rPr>
        <w:b/>
        <w:sz w:val="18"/>
      </w:rPr>
      <w:instrText xml:space="preserve"> PAGE  \* MERGEFORMAT </w:instrText>
    </w:r>
    <w:r w:rsidRPr="00721180">
      <w:rPr>
        <w:b/>
        <w:sz w:val="18"/>
      </w:rPr>
      <w:fldChar w:fldCharType="separate"/>
    </w:r>
    <w:r w:rsidRPr="00721180">
      <w:rPr>
        <w:b/>
        <w:noProof/>
        <w:sz w:val="18"/>
      </w:rPr>
      <w:t>2</w:t>
    </w:r>
    <w:r w:rsidRPr="00721180">
      <w:rPr>
        <w:b/>
        <w:sz w:val="18"/>
      </w:rPr>
      <w:fldChar w:fldCharType="end"/>
    </w:r>
    <w:r>
      <w:rPr>
        <w:b/>
        <w:sz w:val="18"/>
      </w:rPr>
      <w:tab/>
    </w:r>
    <w:r>
      <w:t>GE.20-11673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1829D" w14:textId="77777777" w:rsidR="00721180" w:rsidRPr="00721180" w:rsidRDefault="00721180" w:rsidP="00721180">
    <w:pPr>
      <w:pStyle w:val="Footer"/>
      <w:tabs>
        <w:tab w:val="right" w:pos="9638"/>
      </w:tabs>
      <w:rPr>
        <w:b/>
        <w:sz w:val="18"/>
      </w:rPr>
    </w:pPr>
    <w:r>
      <w:t>GE.20-11673</w:t>
    </w:r>
    <w:r>
      <w:tab/>
    </w:r>
    <w:r w:rsidRPr="00721180">
      <w:rPr>
        <w:b/>
        <w:sz w:val="18"/>
      </w:rPr>
      <w:fldChar w:fldCharType="begin"/>
    </w:r>
    <w:r w:rsidRPr="00721180">
      <w:rPr>
        <w:b/>
        <w:sz w:val="18"/>
      </w:rPr>
      <w:instrText xml:space="preserve"> PAGE  \* MERGEFORMAT </w:instrText>
    </w:r>
    <w:r w:rsidRPr="00721180">
      <w:rPr>
        <w:b/>
        <w:sz w:val="18"/>
      </w:rPr>
      <w:fldChar w:fldCharType="separate"/>
    </w:r>
    <w:r w:rsidRPr="00721180">
      <w:rPr>
        <w:b/>
        <w:noProof/>
        <w:sz w:val="18"/>
      </w:rPr>
      <w:t>3</w:t>
    </w:r>
    <w:r w:rsidRPr="0072118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0CD57" w14:textId="77777777" w:rsidR="0068456F" w:rsidRPr="00721180" w:rsidRDefault="00721180" w:rsidP="00721180">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85EC2AD" wp14:editId="2B54C684">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20-11673  (F)    161120    161120</w:t>
    </w:r>
    <w:r>
      <w:rPr>
        <w:sz w:val="20"/>
      </w:rPr>
      <w:br/>
    </w:r>
    <w:r w:rsidRPr="00721180">
      <w:rPr>
        <w:rFonts w:ascii="C39T30Lfz" w:hAnsi="C39T30Lfz"/>
        <w:sz w:val="56"/>
      </w:rPr>
      <w:t>*2011673*</w:t>
    </w:r>
    <w:r>
      <w:rPr>
        <w:noProof/>
        <w:sz w:val="20"/>
      </w:rPr>
      <w:drawing>
        <wp:anchor distT="0" distB="0" distL="114300" distR="114300" simplePos="0" relativeHeight="251658240" behindDoc="0" locked="0" layoutInCell="1" allowOverlap="1" wp14:anchorId="7E669789" wp14:editId="6E506F90">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A8403" w14:textId="77777777" w:rsidR="00904C5F" w:rsidRPr="00AC3823" w:rsidRDefault="00904C5F" w:rsidP="00AC3823">
      <w:pPr>
        <w:pStyle w:val="Footer"/>
        <w:tabs>
          <w:tab w:val="right" w:pos="2155"/>
        </w:tabs>
        <w:spacing w:after="80" w:line="240" w:lineRule="atLeast"/>
        <w:ind w:left="680"/>
        <w:rPr>
          <w:u w:val="single"/>
        </w:rPr>
      </w:pPr>
      <w:r>
        <w:rPr>
          <w:u w:val="single"/>
        </w:rPr>
        <w:tab/>
      </w:r>
    </w:p>
  </w:footnote>
  <w:footnote w:type="continuationSeparator" w:id="0">
    <w:p w14:paraId="589D5369" w14:textId="77777777" w:rsidR="00904C5F" w:rsidRPr="00AC3823" w:rsidRDefault="00904C5F" w:rsidP="00AC3823">
      <w:pPr>
        <w:pStyle w:val="Footer"/>
        <w:tabs>
          <w:tab w:val="right" w:pos="2155"/>
        </w:tabs>
        <w:spacing w:after="80" w:line="240" w:lineRule="atLeast"/>
        <w:ind w:left="680"/>
        <w:rPr>
          <w:u w:val="single"/>
        </w:rPr>
      </w:pPr>
      <w:r>
        <w:rPr>
          <w:u w:val="single"/>
        </w:rPr>
        <w:tab/>
      </w:r>
    </w:p>
  </w:footnote>
  <w:footnote w:type="continuationNotice" w:id="1">
    <w:p w14:paraId="5B5D0BC0" w14:textId="77777777" w:rsidR="00904C5F" w:rsidRPr="00AC3823" w:rsidRDefault="00904C5F">
      <w:pPr>
        <w:spacing w:line="240" w:lineRule="auto"/>
        <w:rPr>
          <w:sz w:val="2"/>
          <w:szCs w:val="2"/>
        </w:rPr>
      </w:pPr>
    </w:p>
  </w:footnote>
  <w:footnote w:id="2">
    <w:p w14:paraId="152CBF50" w14:textId="77777777" w:rsidR="00721180" w:rsidRPr="003B2994" w:rsidRDefault="00721180" w:rsidP="00721180">
      <w:pPr>
        <w:pStyle w:val="FootnoteText"/>
        <w:rPr>
          <w:lang w:val="fr-FR"/>
        </w:rPr>
      </w:pPr>
      <w:r>
        <w:rPr>
          <w:rStyle w:val="FootnoteReference"/>
        </w:rPr>
        <w:tab/>
      </w:r>
      <w:r w:rsidRPr="00773DF5">
        <w:rPr>
          <w:rStyle w:val="FootnoteReference"/>
          <w:sz w:val="20"/>
          <w:vertAlign w:val="baseline"/>
        </w:rPr>
        <w:t>*</w:t>
      </w:r>
      <w:r>
        <w:rPr>
          <w:rStyle w:val="FootnoteReference"/>
          <w:sz w:val="20"/>
          <w:vertAlign w:val="baseline"/>
        </w:rPr>
        <w:tab/>
      </w:r>
      <w:r w:rsidRPr="003B2994">
        <w:rPr>
          <w:lang w:val="fr-FR"/>
        </w:rPr>
        <w:t>Sous-programme 2 du budget-programme pour 2020 (A/74/6 (sect</w:t>
      </w:r>
      <w:r w:rsidRPr="00721180">
        <w:rPr>
          <w:rStyle w:val="FootnoteReference"/>
          <w:vertAlign w:val="baseline"/>
        </w:rPr>
        <w:t>.</w:t>
      </w:r>
      <w:r>
        <w:rPr>
          <w:lang w:val="fr-FR"/>
        </w:rPr>
        <w:t> </w:t>
      </w:r>
      <w:r w:rsidRPr="003B2994">
        <w:rPr>
          <w:lang w:val="fr-FR"/>
        </w:rPr>
        <w:t>20)) et informations complémentaires</w:t>
      </w:r>
      <w:r w:rsidRPr="00721180">
        <w:rPr>
          <w:rStyle w:val="FootnoteReference"/>
          <w:vertAlign w:val="baselin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3C89" w14:textId="6392733B" w:rsidR="00721180" w:rsidRPr="00721180" w:rsidRDefault="009019D5">
    <w:pPr>
      <w:pStyle w:val="Header"/>
    </w:pPr>
    <w:r>
      <w:fldChar w:fldCharType="begin"/>
    </w:r>
    <w:r>
      <w:instrText xml:space="preserve"> TITLE  \* MERGEFORMAT </w:instrText>
    </w:r>
    <w:r>
      <w:fldChar w:fldCharType="separate"/>
    </w:r>
    <w:r w:rsidR="007C4B68">
      <w:t>ST/SG/AC.10/C.3/2020/38/Rev.1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29CE" w14:textId="44C2DFDC" w:rsidR="00721180" w:rsidRPr="00721180" w:rsidRDefault="009019D5" w:rsidP="00721180">
    <w:pPr>
      <w:pStyle w:val="Header"/>
      <w:jc w:val="right"/>
    </w:pPr>
    <w:r>
      <w:fldChar w:fldCharType="begin"/>
    </w:r>
    <w:r>
      <w:instrText xml:space="preserve"> TITLE  \* MERGEFORMAT </w:instrText>
    </w:r>
    <w:r>
      <w:fldChar w:fldCharType="separate"/>
    </w:r>
    <w:r w:rsidR="007C4B68">
      <w:t>ST/SG/AC.10/C.3/2020/38/Rev.1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C5F"/>
    <w:rsid w:val="00017F94"/>
    <w:rsid w:val="00023842"/>
    <w:rsid w:val="000305D3"/>
    <w:rsid w:val="000334F9"/>
    <w:rsid w:val="0007796D"/>
    <w:rsid w:val="000B7790"/>
    <w:rsid w:val="00111F2F"/>
    <w:rsid w:val="00132EA9"/>
    <w:rsid w:val="0014365E"/>
    <w:rsid w:val="00176178"/>
    <w:rsid w:val="001F525A"/>
    <w:rsid w:val="001F6545"/>
    <w:rsid w:val="00223272"/>
    <w:rsid w:val="0024779E"/>
    <w:rsid w:val="00283190"/>
    <w:rsid w:val="002832AC"/>
    <w:rsid w:val="002D7C93"/>
    <w:rsid w:val="00441C3B"/>
    <w:rsid w:val="00446FE5"/>
    <w:rsid w:val="00452396"/>
    <w:rsid w:val="004E468C"/>
    <w:rsid w:val="005505B7"/>
    <w:rsid w:val="00573BE5"/>
    <w:rsid w:val="00584DC4"/>
    <w:rsid w:val="00586ED3"/>
    <w:rsid w:val="00596AA9"/>
    <w:rsid w:val="0068456F"/>
    <w:rsid w:val="0071601D"/>
    <w:rsid w:val="00721180"/>
    <w:rsid w:val="007A62E6"/>
    <w:rsid w:val="007C4B68"/>
    <w:rsid w:val="0080684C"/>
    <w:rsid w:val="00871C75"/>
    <w:rsid w:val="008776DC"/>
    <w:rsid w:val="008B40CD"/>
    <w:rsid w:val="009019D5"/>
    <w:rsid w:val="00904C5F"/>
    <w:rsid w:val="009705C8"/>
    <w:rsid w:val="009C1CF4"/>
    <w:rsid w:val="00A30353"/>
    <w:rsid w:val="00AC3823"/>
    <w:rsid w:val="00AE323C"/>
    <w:rsid w:val="00B00181"/>
    <w:rsid w:val="00B00B0D"/>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615C0"/>
  <w15:docId w15:val="{EA0ED52E-6E91-45C3-9159-D3D22773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721180"/>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72118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413CD-A5C5-408A-9697-651A6CA05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E4712-67AE-41E0-B782-2D44D5A45B12}">
  <ds:schemaRefs>
    <ds:schemaRef ds:uri="http://schemas.microsoft.com/sharepoint/v3/contenttype/forms"/>
  </ds:schemaRefs>
</ds:datastoreItem>
</file>

<file path=customXml/itemProps3.xml><?xml version="1.0" encoding="utf-8"?>
<ds:datastoreItem xmlns:ds="http://schemas.openxmlformats.org/officeDocument/2006/customXml" ds:itemID="{8A236398-8B63-4C93-8146-1467BD1FE5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1515</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ST/SG/AC.10/C.3/2020/38/Rev.1</dc:title>
  <dc:subject/>
  <dc:creator>Maud DARICHE</dc:creator>
  <cp:keywords/>
  <cp:lastModifiedBy>Laurence Berthet</cp:lastModifiedBy>
  <cp:revision>2</cp:revision>
  <cp:lastPrinted>2020-11-16T13:23:00Z</cp:lastPrinted>
  <dcterms:created xsi:type="dcterms:W3CDTF">2020-11-16T13:38:00Z</dcterms:created>
  <dcterms:modified xsi:type="dcterms:W3CDTF">2020-11-16T13:38:00Z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