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EAE290D" w14:textId="77777777" w:rsidTr="006476E1">
        <w:trPr>
          <w:trHeight w:val="851"/>
        </w:trPr>
        <w:tc>
          <w:tcPr>
            <w:tcW w:w="1259" w:type="dxa"/>
            <w:tcBorders>
              <w:top w:val="nil"/>
              <w:left w:val="nil"/>
              <w:bottom w:val="single" w:sz="4" w:space="0" w:color="auto"/>
              <w:right w:val="nil"/>
            </w:tcBorders>
          </w:tcPr>
          <w:p w14:paraId="065CA594" w14:textId="77777777" w:rsidR="00E52109" w:rsidRPr="002A32CB" w:rsidRDefault="00E52109" w:rsidP="004858F5"/>
        </w:tc>
        <w:tc>
          <w:tcPr>
            <w:tcW w:w="2236" w:type="dxa"/>
            <w:tcBorders>
              <w:top w:val="nil"/>
              <w:left w:val="nil"/>
              <w:bottom w:val="single" w:sz="4" w:space="0" w:color="auto"/>
              <w:right w:val="nil"/>
            </w:tcBorders>
            <w:vAlign w:val="bottom"/>
          </w:tcPr>
          <w:p w14:paraId="2B48CFD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35A6A56" w14:textId="5B88A571" w:rsidR="00E52109" w:rsidRDefault="008C378F" w:rsidP="00173068">
            <w:pPr>
              <w:suppressAutoHyphens w:val="0"/>
              <w:jc w:val="right"/>
            </w:pPr>
            <w:r w:rsidRPr="008C378F">
              <w:rPr>
                <w:sz w:val="40"/>
              </w:rPr>
              <w:t>ST</w:t>
            </w:r>
            <w:r w:rsidR="00173068">
              <w:t>/SG/AC.10/C.3/2020/</w:t>
            </w:r>
            <w:r w:rsidR="000307FB">
              <w:t>38/Rev.1</w:t>
            </w:r>
          </w:p>
        </w:tc>
      </w:tr>
      <w:tr w:rsidR="00E52109" w14:paraId="18EA09F4" w14:textId="77777777" w:rsidTr="006476E1">
        <w:trPr>
          <w:trHeight w:val="2835"/>
        </w:trPr>
        <w:tc>
          <w:tcPr>
            <w:tcW w:w="1259" w:type="dxa"/>
            <w:tcBorders>
              <w:top w:val="single" w:sz="4" w:space="0" w:color="auto"/>
              <w:left w:val="nil"/>
              <w:bottom w:val="single" w:sz="12" w:space="0" w:color="auto"/>
              <w:right w:val="nil"/>
            </w:tcBorders>
          </w:tcPr>
          <w:p w14:paraId="5A69C052" w14:textId="77777777" w:rsidR="00E52109" w:rsidRDefault="00E52109" w:rsidP="006476E1">
            <w:pPr>
              <w:spacing w:before="120"/>
              <w:jc w:val="center"/>
            </w:pPr>
            <w:r>
              <w:rPr>
                <w:noProof/>
                <w:lang w:val="es-ES" w:eastAsia="es-ES"/>
              </w:rPr>
              <w:drawing>
                <wp:inline distT="0" distB="0" distL="0" distR="0" wp14:anchorId="4E1E2A92" wp14:editId="765413E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603F982"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187C367" w14:textId="77777777" w:rsidR="00D94B05" w:rsidRDefault="008C378F" w:rsidP="008C378F">
            <w:pPr>
              <w:suppressAutoHyphens w:val="0"/>
              <w:spacing w:before="240" w:line="240" w:lineRule="exact"/>
            </w:pPr>
            <w:r>
              <w:t>Distr.: General</w:t>
            </w:r>
          </w:p>
          <w:p w14:paraId="505FEB5B" w14:textId="1A2BE5A8" w:rsidR="008C378F" w:rsidRDefault="00476E9D" w:rsidP="008C378F">
            <w:pPr>
              <w:suppressAutoHyphens w:val="0"/>
              <w:spacing w:line="240" w:lineRule="exact"/>
            </w:pPr>
            <w:r>
              <w:t>9</w:t>
            </w:r>
            <w:r w:rsidR="000307FB">
              <w:t xml:space="preserve"> </w:t>
            </w:r>
            <w:r w:rsidR="00E74AA0">
              <w:t>September</w:t>
            </w:r>
            <w:r w:rsidR="008C378F">
              <w:t xml:space="preserve"> 2020</w:t>
            </w:r>
          </w:p>
          <w:p w14:paraId="0AD4F0F5" w14:textId="77777777" w:rsidR="008C378F" w:rsidRDefault="008C378F" w:rsidP="008C378F">
            <w:pPr>
              <w:suppressAutoHyphens w:val="0"/>
              <w:spacing w:line="240" w:lineRule="exact"/>
            </w:pPr>
          </w:p>
          <w:p w14:paraId="262C9F5A" w14:textId="77777777" w:rsidR="008C378F" w:rsidRDefault="008C378F" w:rsidP="008C378F">
            <w:pPr>
              <w:suppressAutoHyphens w:val="0"/>
              <w:spacing w:line="240" w:lineRule="exact"/>
            </w:pPr>
            <w:r>
              <w:t>Original: English</w:t>
            </w:r>
          </w:p>
        </w:tc>
      </w:tr>
    </w:tbl>
    <w:p w14:paraId="658C8957" w14:textId="77777777" w:rsidR="009033A8" w:rsidRPr="006500BA" w:rsidRDefault="009033A8"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B7DB52E" w14:textId="77777777" w:rsidR="009033A8" w:rsidRPr="006500BA" w:rsidRDefault="009033A8" w:rsidP="004858F5">
      <w:pPr>
        <w:spacing w:before="120"/>
        <w:rPr>
          <w:rFonts w:ascii="Helv" w:hAnsi="Helv" w:cs="Helv"/>
          <w:b/>
          <w:color w:val="000000"/>
        </w:rPr>
      </w:pPr>
      <w:r w:rsidRPr="006500BA">
        <w:rPr>
          <w:b/>
        </w:rPr>
        <w:t xml:space="preserve">Sub-Committee of Experts on the </w:t>
      </w:r>
      <w:r>
        <w:rPr>
          <w:b/>
        </w:rPr>
        <w:t>Transport of Dangerous Goods</w:t>
      </w:r>
    </w:p>
    <w:p w14:paraId="009C991B" w14:textId="77777777" w:rsidR="009033A8" w:rsidRDefault="009033A8" w:rsidP="009033A8">
      <w:pPr>
        <w:spacing w:before="120"/>
        <w:rPr>
          <w:b/>
        </w:rPr>
      </w:pPr>
      <w:r>
        <w:rPr>
          <w:b/>
        </w:rPr>
        <w:t>Fifty-seventh session</w:t>
      </w:r>
    </w:p>
    <w:p w14:paraId="12AA49CC" w14:textId="6A12BF29" w:rsidR="009033A8" w:rsidRDefault="000307FB" w:rsidP="009033A8">
      <w:r>
        <w:t>Geneva, 30</w:t>
      </w:r>
      <w:r w:rsidRPr="003A1B34">
        <w:t xml:space="preserve"> </w:t>
      </w:r>
      <w:r>
        <w:t>November-8</w:t>
      </w:r>
      <w:r w:rsidRPr="003A1B34">
        <w:t xml:space="preserve"> </w:t>
      </w:r>
      <w:r>
        <w:t>December</w:t>
      </w:r>
      <w:r w:rsidRPr="003A1B34">
        <w:t xml:space="preserve"> 2020</w:t>
      </w:r>
      <w:r w:rsidR="009033A8">
        <w:br/>
        <w:t>Item 6 (e) of the provisional agenda</w:t>
      </w:r>
    </w:p>
    <w:p w14:paraId="29DDD84D" w14:textId="77777777" w:rsidR="00AF5DE1" w:rsidRPr="009033A8" w:rsidRDefault="009033A8" w:rsidP="004858F5">
      <w:pPr>
        <w:rPr>
          <w:b/>
          <w:bCs/>
        </w:rPr>
      </w:pPr>
      <w:r w:rsidRPr="009033A8">
        <w:rPr>
          <w:b/>
          <w:bCs/>
        </w:rPr>
        <w:t xml:space="preserve">Miscellaneous proposals for amendments to the Model Regulations </w:t>
      </w:r>
      <w:r w:rsidRPr="009033A8">
        <w:rPr>
          <w:b/>
          <w:bCs/>
        </w:rPr>
        <w:br/>
        <w:t>on the Transport of Dangerous Goods: other miscellaneous proposals</w:t>
      </w:r>
    </w:p>
    <w:p w14:paraId="3EBFC200" w14:textId="0E858649" w:rsidR="009033A8" w:rsidRDefault="009033A8" w:rsidP="009033A8">
      <w:pPr>
        <w:pStyle w:val="HChG"/>
        <w:spacing w:before="240" w:after="120"/>
        <w:ind w:firstLine="0"/>
        <w:jc w:val="both"/>
        <w:rPr>
          <w:rFonts w:eastAsia="Times New Roman"/>
          <w:lang w:eastAsia="en-US"/>
        </w:rPr>
      </w:pPr>
      <w:r>
        <w:t>A</w:t>
      </w:r>
      <w:r>
        <w:rPr>
          <w:rFonts w:eastAsia="Times New Roman"/>
          <w:lang w:eastAsia="en-US"/>
        </w:rPr>
        <w:t>romatic and flavouring</w:t>
      </w:r>
      <w:r w:rsidR="00626510">
        <w:rPr>
          <w:rFonts w:eastAsia="Times New Roman"/>
          <w:lang w:eastAsia="en-US"/>
        </w:rPr>
        <w:t>,</w:t>
      </w:r>
      <w:r>
        <w:rPr>
          <w:rFonts w:eastAsia="Times New Roman"/>
          <w:lang w:eastAsia="en-US"/>
        </w:rPr>
        <w:t xml:space="preserve"> UN 1169 and UN 1197</w:t>
      </w:r>
    </w:p>
    <w:p w14:paraId="5D8248C9" w14:textId="253EFCB1" w:rsidR="009033A8" w:rsidRDefault="009033A8" w:rsidP="009033A8">
      <w:pPr>
        <w:pStyle w:val="H1G"/>
        <w:rPr>
          <w:lang w:eastAsia="en-US"/>
        </w:rPr>
      </w:pPr>
      <w:r>
        <w:rPr>
          <w:lang w:eastAsia="en-US"/>
        </w:rPr>
        <w:tab/>
      </w:r>
      <w:r>
        <w:rPr>
          <w:lang w:eastAsia="en-US"/>
        </w:rPr>
        <w:tab/>
        <w:t>Transmitted by the expert</w:t>
      </w:r>
      <w:r w:rsidR="00173068">
        <w:rPr>
          <w:lang w:eastAsia="en-US"/>
        </w:rPr>
        <w:t>s</w:t>
      </w:r>
      <w:r>
        <w:rPr>
          <w:lang w:eastAsia="en-US"/>
        </w:rPr>
        <w:t xml:space="preserve"> from Spain</w:t>
      </w:r>
      <w:r w:rsidR="00173068">
        <w:rPr>
          <w:lang w:eastAsia="en-US"/>
        </w:rPr>
        <w:t xml:space="preserve"> and CEFIC</w:t>
      </w:r>
      <w:r>
        <w:rPr>
          <w:rStyle w:val="FootnoteReference"/>
          <w:lang w:eastAsia="en-US"/>
        </w:rPr>
        <w:footnoteReference w:id="2"/>
      </w:r>
    </w:p>
    <w:p w14:paraId="7C70CF70" w14:textId="2EF977D1" w:rsidR="005E6213" w:rsidRPr="005E6213" w:rsidRDefault="005E6213" w:rsidP="005E6213">
      <w:pPr>
        <w:pStyle w:val="H23G"/>
        <w:rPr>
          <w:lang w:eastAsia="en-US"/>
        </w:rPr>
      </w:pPr>
      <w:r>
        <w:rPr>
          <w:lang w:eastAsia="en-US"/>
        </w:rPr>
        <w:tab/>
      </w:r>
      <w:r>
        <w:rPr>
          <w:lang w:eastAsia="en-US"/>
        </w:rPr>
        <w:tab/>
        <w:t>Revision</w:t>
      </w:r>
      <w:bookmarkStart w:id="0" w:name="_GoBack"/>
      <w:bookmarkEnd w:id="0"/>
    </w:p>
    <w:p w14:paraId="6A2F33D0" w14:textId="77777777" w:rsidR="009033A8" w:rsidRDefault="009033A8" w:rsidP="009033A8">
      <w:pPr>
        <w:pStyle w:val="HChG"/>
        <w:rPr>
          <w:rFonts w:eastAsia="Times New Roman"/>
          <w:lang w:val="x-none" w:eastAsia="en-US"/>
        </w:rPr>
      </w:pPr>
      <w:r>
        <w:rPr>
          <w:rFonts w:eastAsia="Times New Roman"/>
          <w:lang w:eastAsia="en-US"/>
        </w:rPr>
        <w:tab/>
      </w:r>
      <w:r>
        <w:rPr>
          <w:rFonts w:eastAsia="Times New Roman"/>
          <w:lang w:eastAsia="en-US"/>
        </w:rPr>
        <w:tab/>
      </w:r>
      <w:r>
        <w:rPr>
          <w:rFonts w:eastAsia="Times New Roman"/>
          <w:lang w:eastAsia="en-US"/>
        </w:rPr>
        <w:tab/>
        <w:t>Introduction</w:t>
      </w:r>
    </w:p>
    <w:p w14:paraId="2FE3A8E0" w14:textId="77777777" w:rsidR="009033A8" w:rsidRDefault="009033A8" w:rsidP="000307FB">
      <w:pPr>
        <w:pStyle w:val="SingleTxtG"/>
        <w:spacing w:after="240"/>
        <w:rPr>
          <w:lang w:eastAsia="en-US"/>
        </w:rPr>
      </w:pPr>
      <w:r>
        <w:rPr>
          <w:lang w:eastAsia="en-US"/>
        </w:rPr>
        <w:tab/>
        <w:t>1.</w:t>
      </w:r>
      <w:r>
        <w:rPr>
          <w:lang w:eastAsia="en-US"/>
        </w:rPr>
        <w:tab/>
        <w:t>In the twentieth edition of the Model Regulations, the name for the UN number 1197 in English, French and Spanish was the following:</w:t>
      </w:r>
    </w:p>
    <w:tbl>
      <w:tblPr>
        <w:tblW w:w="6894" w:type="dxa"/>
        <w:tblInd w:w="1266" w:type="dxa"/>
        <w:tblCellMar>
          <w:left w:w="0" w:type="dxa"/>
          <w:right w:w="0" w:type="dxa"/>
        </w:tblCellMar>
        <w:tblLook w:val="04A0" w:firstRow="1" w:lastRow="0" w:firstColumn="1" w:lastColumn="0" w:noHBand="0" w:noVBand="1"/>
      </w:tblPr>
      <w:tblGrid>
        <w:gridCol w:w="460"/>
        <w:gridCol w:w="1974"/>
        <w:gridCol w:w="2154"/>
        <w:gridCol w:w="2306"/>
      </w:tblGrid>
      <w:tr w:rsidR="009033A8" w14:paraId="5AEDE4E2" w14:textId="77777777" w:rsidTr="0079428F">
        <w:trPr>
          <w:trHeight w:val="450"/>
        </w:trPr>
        <w:tc>
          <w:tcPr>
            <w:tcW w:w="4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BD26BF2" w14:textId="77777777" w:rsidR="009033A8" w:rsidRDefault="009033A8">
            <w:pPr>
              <w:jc w:val="center"/>
              <w:rPr>
                <w:sz w:val="16"/>
                <w:szCs w:val="16"/>
                <w:lang w:val="es-ES" w:eastAsia="es-ES"/>
              </w:rPr>
            </w:pPr>
            <w:r>
              <w:rPr>
                <w:sz w:val="16"/>
                <w:szCs w:val="16"/>
                <w:lang w:eastAsia="es-ES"/>
              </w:rPr>
              <w:t>1197</w:t>
            </w:r>
          </w:p>
        </w:tc>
        <w:tc>
          <w:tcPr>
            <w:tcW w:w="197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2840332" w14:textId="77777777" w:rsidR="009033A8" w:rsidRDefault="009033A8">
            <w:pPr>
              <w:rPr>
                <w:sz w:val="16"/>
                <w:szCs w:val="16"/>
                <w:lang w:eastAsia="es-ES"/>
              </w:rPr>
            </w:pPr>
            <w:r>
              <w:rPr>
                <w:sz w:val="16"/>
                <w:szCs w:val="16"/>
                <w:lang w:eastAsia="es-ES"/>
              </w:rPr>
              <w:t>EXTRACTS, FLAVOURING, LIQUID</w:t>
            </w:r>
          </w:p>
        </w:tc>
        <w:tc>
          <w:tcPr>
            <w:tcW w:w="215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D7B7EA9" w14:textId="77777777" w:rsidR="009033A8" w:rsidRDefault="009033A8">
            <w:pPr>
              <w:rPr>
                <w:sz w:val="16"/>
                <w:szCs w:val="16"/>
                <w:lang w:eastAsia="es-ES"/>
              </w:rPr>
            </w:pPr>
            <w:r>
              <w:rPr>
                <w:sz w:val="16"/>
                <w:szCs w:val="16"/>
                <w:lang w:eastAsia="es-ES"/>
              </w:rPr>
              <w:t>EXTRAITS LIQUIDES POUR AROMATISER</w:t>
            </w:r>
          </w:p>
        </w:tc>
        <w:tc>
          <w:tcPr>
            <w:tcW w:w="23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B71003" w14:textId="77777777" w:rsidR="009033A8" w:rsidRDefault="009033A8">
            <w:pPr>
              <w:rPr>
                <w:sz w:val="16"/>
                <w:szCs w:val="16"/>
                <w:lang w:eastAsia="es-ES"/>
              </w:rPr>
            </w:pPr>
            <w:r>
              <w:rPr>
                <w:sz w:val="16"/>
                <w:szCs w:val="16"/>
                <w:lang w:eastAsia="es-ES"/>
              </w:rPr>
              <w:t>EXTRACTOS SAPORÍFEROS LÍQUIDOS</w:t>
            </w:r>
          </w:p>
        </w:tc>
      </w:tr>
    </w:tbl>
    <w:p w14:paraId="737288DE" w14:textId="469CD41E" w:rsidR="009033A8" w:rsidRDefault="009033A8" w:rsidP="000307FB">
      <w:pPr>
        <w:pStyle w:val="SingleTxtG"/>
        <w:kinsoku/>
        <w:overflowPunct/>
        <w:autoSpaceDE/>
        <w:adjustRightInd/>
        <w:snapToGrid/>
        <w:spacing w:before="120" w:after="240"/>
        <w:rPr>
          <w:rFonts w:eastAsia="Times New Roman"/>
          <w:lang w:eastAsia="en-US"/>
        </w:rPr>
      </w:pPr>
      <w:r>
        <w:rPr>
          <w:rFonts w:eastAsia="Times New Roman"/>
          <w:lang w:eastAsia="en-US"/>
        </w:rPr>
        <w:tab/>
        <w:t>2.</w:t>
      </w:r>
      <w:r>
        <w:rPr>
          <w:rFonts w:eastAsia="Times New Roman"/>
          <w:lang w:eastAsia="en-US"/>
        </w:rPr>
        <w:tab/>
        <w:t xml:space="preserve">As the word for flavouring is not a very common one in the Spanish language, and extracts used for adding flavour are generally also used for adding aroma, for the </w:t>
      </w:r>
      <w:r w:rsidR="00C3449C">
        <w:rPr>
          <w:lang w:eastAsia="en-US"/>
        </w:rPr>
        <w:t xml:space="preserve">twenty-first </w:t>
      </w:r>
      <w:r>
        <w:rPr>
          <w:rFonts w:eastAsia="Times New Roman"/>
          <w:lang w:eastAsia="en-US"/>
        </w:rPr>
        <w:t>edition of the Model Regulation the Spanish version has been amended in a way similar to the French language, remaining as follows:</w:t>
      </w:r>
    </w:p>
    <w:tbl>
      <w:tblPr>
        <w:tblW w:w="7005" w:type="dxa"/>
        <w:tblInd w:w="1266" w:type="dxa"/>
        <w:tblCellMar>
          <w:left w:w="0" w:type="dxa"/>
          <w:right w:w="0" w:type="dxa"/>
        </w:tblCellMar>
        <w:tblLook w:val="04A0" w:firstRow="1" w:lastRow="0" w:firstColumn="1" w:lastColumn="0" w:noHBand="0" w:noVBand="1"/>
      </w:tblPr>
      <w:tblGrid>
        <w:gridCol w:w="567"/>
        <w:gridCol w:w="1843"/>
        <w:gridCol w:w="2126"/>
        <w:gridCol w:w="2469"/>
      </w:tblGrid>
      <w:tr w:rsidR="009033A8" w14:paraId="16E623A9" w14:textId="77777777" w:rsidTr="0079428F">
        <w:trPr>
          <w:trHeight w:val="450"/>
        </w:trPr>
        <w:tc>
          <w:tcPr>
            <w:tcW w:w="5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BF99387" w14:textId="77777777" w:rsidR="009033A8" w:rsidRDefault="009033A8">
            <w:pPr>
              <w:jc w:val="center"/>
              <w:rPr>
                <w:sz w:val="16"/>
                <w:szCs w:val="16"/>
                <w:lang w:val="es-ES" w:eastAsia="es-ES"/>
              </w:rPr>
            </w:pPr>
            <w:r>
              <w:rPr>
                <w:sz w:val="16"/>
                <w:szCs w:val="16"/>
                <w:lang w:eastAsia="es-ES"/>
              </w:rPr>
              <w:t>1197</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09D64A9" w14:textId="77777777" w:rsidR="009033A8" w:rsidRDefault="009033A8">
            <w:pPr>
              <w:rPr>
                <w:sz w:val="16"/>
                <w:szCs w:val="16"/>
                <w:lang w:eastAsia="es-ES"/>
              </w:rPr>
            </w:pPr>
            <w:r>
              <w:rPr>
                <w:sz w:val="16"/>
                <w:szCs w:val="16"/>
                <w:lang w:eastAsia="es-ES"/>
              </w:rPr>
              <w:t>EXTRACTS, FLAVOURING, LIQUID</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12B46DE" w14:textId="77777777" w:rsidR="009033A8" w:rsidRDefault="009033A8">
            <w:pPr>
              <w:rPr>
                <w:sz w:val="16"/>
                <w:szCs w:val="16"/>
                <w:lang w:eastAsia="es-ES"/>
              </w:rPr>
            </w:pPr>
            <w:r>
              <w:rPr>
                <w:sz w:val="16"/>
                <w:szCs w:val="16"/>
                <w:lang w:eastAsia="es-ES"/>
              </w:rPr>
              <w:t>EXTRAITS LIQUIDES POUR AROMATISER</w:t>
            </w:r>
          </w:p>
        </w:tc>
        <w:tc>
          <w:tcPr>
            <w:tcW w:w="246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44A7136" w14:textId="77777777" w:rsidR="009033A8" w:rsidRDefault="009033A8">
            <w:pPr>
              <w:rPr>
                <w:sz w:val="16"/>
                <w:szCs w:val="16"/>
                <w:lang w:eastAsia="es-ES"/>
              </w:rPr>
            </w:pPr>
            <w:r>
              <w:rPr>
                <w:sz w:val="16"/>
                <w:szCs w:val="16"/>
                <w:lang w:eastAsia="es-ES"/>
              </w:rPr>
              <w:t>EXTRACTOS LÍQUIDOS PARA AROMATIZAR</w:t>
            </w:r>
          </w:p>
        </w:tc>
      </w:tr>
    </w:tbl>
    <w:p w14:paraId="15F2CFEE" w14:textId="77777777" w:rsidR="009033A8" w:rsidRDefault="009033A8" w:rsidP="000307FB">
      <w:pPr>
        <w:pStyle w:val="SingleTxtG"/>
        <w:kinsoku/>
        <w:overflowPunct/>
        <w:autoSpaceDE/>
        <w:adjustRightInd/>
        <w:snapToGrid/>
        <w:spacing w:before="120" w:after="240"/>
        <w:rPr>
          <w:rFonts w:eastAsia="Times New Roman"/>
          <w:lang w:eastAsia="en-US"/>
        </w:rPr>
      </w:pPr>
      <w:r>
        <w:rPr>
          <w:rFonts w:eastAsia="Times New Roman"/>
          <w:lang w:eastAsia="en-US"/>
        </w:rPr>
        <w:tab/>
        <w:t>3.</w:t>
      </w:r>
      <w:r>
        <w:rPr>
          <w:rFonts w:eastAsia="Times New Roman"/>
          <w:lang w:eastAsia="en-US"/>
        </w:rPr>
        <w:tab/>
        <w:t xml:space="preserve">However, as has been indicated by our colleagues from Mexico, </w:t>
      </w:r>
      <w:r w:rsidR="00567AF7">
        <w:rPr>
          <w:rFonts w:eastAsia="Times New Roman"/>
          <w:lang w:eastAsia="en-US"/>
        </w:rPr>
        <w:t>this change</w:t>
      </w:r>
      <w:r w:rsidR="00567AF7" w:rsidRPr="00567AF7">
        <w:rPr>
          <w:rFonts w:eastAsia="Times New Roman"/>
          <w:lang w:eastAsia="en-US"/>
        </w:rPr>
        <w:t xml:space="preserve"> </w:t>
      </w:r>
      <w:r w:rsidR="00567AF7">
        <w:rPr>
          <w:rFonts w:eastAsia="Times New Roman"/>
          <w:lang w:eastAsia="en-US"/>
        </w:rPr>
        <w:t xml:space="preserve">of name </w:t>
      </w:r>
      <w:r>
        <w:rPr>
          <w:rFonts w:eastAsia="Times New Roman"/>
          <w:lang w:eastAsia="en-US"/>
        </w:rPr>
        <w:t xml:space="preserve">has led to doubts about how to differentiate UN 1197 from UN 1169: </w:t>
      </w:r>
    </w:p>
    <w:tbl>
      <w:tblPr>
        <w:tblW w:w="7230" w:type="dxa"/>
        <w:tblInd w:w="1124" w:type="dxa"/>
        <w:tblCellMar>
          <w:left w:w="0" w:type="dxa"/>
          <w:right w:w="0" w:type="dxa"/>
        </w:tblCellMar>
        <w:tblLook w:val="04A0" w:firstRow="1" w:lastRow="0" w:firstColumn="1" w:lastColumn="0" w:noHBand="0" w:noVBand="1"/>
      </w:tblPr>
      <w:tblGrid>
        <w:gridCol w:w="851"/>
        <w:gridCol w:w="1701"/>
        <w:gridCol w:w="2268"/>
        <w:gridCol w:w="2410"/>
      </w:tblGrid>
      <w:tr w:rsidR="009033A8" w14:paraId="475C7CE8" w14:textId="77777777" w:rsidTr="009033A8">
        <w:trPr>
          <w:trHeight w:val="675"/>
        </w:trPr>
        <w:tc>
          <w:tcPr>
            <w:tcW w:w="8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F1FA685" w14:textId="77777777" w:rsidR="009033A8" w:rsidRDefault="009033A8">
            <w:pPr>
              <w:jc w:val="center"/>
              <w:rPr>
                <w:sz w:val="16"/>
                <w:szCs w:val="16"/>
                <w:lang w:val="es-ES" w:eastAsia="es-ES"/>
              </w:rPr>
            </w:pPr>
            <w:r>
              <w:rPr>
                <w:sz w:val="16"/>
                <w:szCs w:val="16"/>
                <w:lang w:eastAsia="es-ES"/>
              </w:rPr>
              <w:t>1169</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C43F39E" w14:textId="77777777" w:rsidR="009033A8" w:rsidRDefault="009033A8">
            <w:pPr>
              <w:rPr>
                <w:sz w:val="16"/>
                <w:szCs w:val="16"/>
                <w:lang w:eastAsia="es-ES"/>
              </w:rPr>
            </w:pPr>
            <w:r>
              <w:rPr>
                <w:sz w:val="16"/>
                <w:szCs w:val="16"/>
                <w:lang w:eastAsia="es-ES"/>
              </w:rPr>
              <w:t>EXTRACTS, AROMATIC, LIQUID</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5E5A9D2" w14:textId="77777777" w:rsidR="009033A8" w:rsidRDefault="009033A8">
            <w:pPr>
              <w:rPr>
                <w:sz w:val="16"/>
                <w:szCs w:val="16"/>
                <w:lang w:eastAsia="es-ES"/>
              </w:rPr>
            </w:pPr>
            <w:r>
              <w:rPr>
                <w:sz w:val="16"/>
                <w:szCs w:val="16"/>
                <w:lang w:eastAsia="es-ES"/>
              </w:rPr>
              <w:t>EXTRAITS AROMATIQUES LIQUIDES</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6B0CAB0" w14:textId="77777777" w:rsidR="009033A8" w:rsidRDefault="009033A8">
            <w:pPr>
              <w:rPr>
                <w:sz w:val="16"/>
                <w:szCs w:val="16"/>
                <w:lang w:eastAsia="es-ES"/>
              </w:rPr>
            </w:pPr>
            <w:r>
              <w:rPr>
                <w:sz w:val="16"/>
                <w:szCs w:val="16"/>
                <w:lang w:eastAsia="es-ES"/>
              </w:rPr>
              <w:t>EXTRACTOS AROMÁTICOS LÍQUIDOS</w:t>
            </w:r>
          </w:p>
        </w:tc>
      </w:tr>
      <w:tr w:rsidR="009033A8" w14:paraId="542CA2DB" w14:textId="77777777" w:rsidTr="009033A8">
        <w:trPr>
          <w:trHeight w:val="450"/>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230A83F" w14:textId="77777777" w:rsidR="009033A8" w:rsidRDefault="009033A8">
            <w:pPr>
              <w:jc w:val="center"/>
              <w:rPr>
                <w:sz w:val="16"/>
                <w:szCs w:val="16"/>
                <w:lang w:eastAsia="es-ES"/>
              </w:rPr>
            </w:pPr>
            <w:r>
              <w:rPr>
                <w:sz w:val="16"/>
                <w:szCs w:val="16"/>
                <w:lang w:eastAsia="es-ES"/>
              </w:rPr>
              <w:t>1197</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14:paraId="5FB35C2A" w14:textId="77777777" w:rsidR="009033A8" w:rsidRDefault="009033A8">
            <w:pPr>
              <w:rPr>
                <w:sz w:val="16"/>
                <w:szCs w:val="16"/>
                <w:lang w:eastAsia="es-ES"/>
              </w:rPr>
            </w:pPr>
            <w:r>
              <w:rPr>
                <w:sz w:val="16"/>
                <w:szCs w:val="16"/>
                <w:lang w:eastAsia="es-ES"/>
              </w:rPr>
              <w:t>EXTRACTS, FLAVOURING, LIQUID</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14:paraId="7EE3AAF2" w14:textId="77777777" w:rsidR="009033A8" w:rsidRDefault="009033A8">
            <w:pPr>
              <w:rPr>
                <w:sz w:val="16"/>
                <w:szCs w:val="16"/>
                <w:lang w:eastAsia="es-ES"/>
              </w:rPr>
            </w:pPr>
            <w:r>
              <w:rPr>
                <w:sz w:val="16"/>
                <w:szCs w:val="16"/>
                <w:lang w:eastAsia="es-ES"/>
              </w:rPr>
              <w:t>EXTRAITS LIQUIDES POUR AROMATISER</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7F21F122" w14:textId="77777777" w:rsidR="009033A8" w:rsidRDefault="009033A8">
            <w:pPr>
              <w:rPr>
                <w:sz w:val="16"/>
                <w:szCs w:val="16"/>
                <w:lang w:eastAsia="es-ES"/>
              </w:rPr>
            </w:pPr>
            <w:r>
              <w:rPr>
                <w:sz w:val="16"/>
                <w:szCs w:val="16"/>
                <w:lang w:eastAsia="es-ES"/>
              </w:rPr>
              <w:t>EXTRACTOS LÍQUIDOS PARA AROMATIZAR</w:t>
            </w:r>
          </w:p>
        </w:tc>
      </w:tr>
    </w:tbl>
    <w:p w14:paraId="4F708EFD" w14:textId="77777777" w:rsidR="009033A8" w:rsidRDefault="009033A8" w:rsidP="009033A8">
      <w:pPr>
        <w:pStyle w:val="SingleTxtG"/>
        <w:kinsoku/>
        <w:overflowPunct/>
        <w:autoSpaceDE/>
        <w:adjustRightInd/>
        <w:snapToGrid/>
        <w:rPr>
          <w:rFonts w:eastAsia="Times New Roman"/>
          <w:lang w:eastAsia="en-US"/>
        </w:rPr>
      </w:pPr>
    </w:p>
    <w:p w14:paraId="2C2A5B2D" w14:textId="77777777" w:rsidR="009033A8" w:rsidRDefault="00E97518" w:rsidP="0079428F">
      <w:pPr>
        <w:pStyle w:val="SingleTxtG"/>
        <w:kinsoku/>
        <w:overflowPunct/>
        <w:autoSpaceDE/>
        <w:adjustRightInd/>
        <w:snapToGrid/>
        <w:rPr>
          <w:rFonts w:eastAsia="Times New Roman"/>
          <w:lang w:eastAsia="en-US"/>
        </w:rPr>
      </w:pPr>
      <w:r>
        <w:rPr>
          <w:rFonts w:eastAsia="Times New Roman"/>
          <w:lang w:eastAsia="en-US"/>
        </w:rPr>
        <w:lastRenderedPageBreak/>
        <w:t>4.</w:t>
      </w:r>
      <w:r>
        <w:rPr>
          <w:rFonts w:eastAsia="Times New Roman"/>
          <w:lang w:eastAsia="en-US"/>
        </w:rPr>
        <w:tab/>
      </w:r>
      <w:r w:rsidR="009033A8">
        <w:rPr>
          <w:rFonts w:eastAsia="Times New Roman"/>
          <w:lang w:eastAsia="en-US"/>
        </w:rPr>
        <w:t>With the current name no differentiation in between those two UN numbers is possible. Nevertheless, with the English names the differentiation is possible, and as two different UN numbers were created, it should be reasonable to distinguish them.</w:t>
      </w:r>
    </w:p>
    <w:p w14:paraId="6FF889F6" w14:textId="098269B4" w:rsidR="009033A8" w:rsidRDefault="00E97518" w:rsidP="0079428F">
      <w:pPr>
        <w:pStyle w:val="SingleTxtG"/>
        <w:kinsoku/>
        <w:overflowPunct/>
        <w:autoSpaceDE/>
        <w:adjustRightInd/>
        <w:snapToGrid/>
        <w:rPr>
          <w:rFonts w:eastAsia="Times New Roman"/>
          <w:lang w:eastAsia="en-US"/>
        </w:rPr>
      </w:pPr>
      <w:r>
        <w:rPr>
          <w:rFonts w:eastAsia="Times New Roman"/>
          <w:lang w:eastAsia="en-US"/>
        </w:rPr>
        <w:t>5.</w:t>
      </w:r>
      <w:r>
        <w:rPr>
          <w:rFonts w:eastAsia="Times New Roman"/>
          <w:lang w:eastAsia="en-US"/>
        </w:rPr>
        <w:tab/>
      </w:r>
      <w:r w:rsidR="009033A8">
        <w:rPr>
          <w:rFonts w:eastAsia="Times New Roman"/>
          <w:lang w:eastAsia="en-US"/>
        </w:rPr>
        <w:t xml:space="preserve">For the Spanish language version this is a new problem starting from the </w:t>
      </w:r>
      <w:r w:rsidR="00C3449C">
        <w:rPr>
          <w:lang w:eastAsia="en-US"/>
        </w:rPr>
        <w:t xml:space="preserve">twenty-first </w:t>
      </w:r>
      <w:r w:rsidR="009033A8">
        <w:rPr>
          <w:rFonts w:eastAsia="Times New Roman"/>
          <w:lang w:eastAsia="en-US"/>
        </w:rPr>
        <w:t>edition, but for the French language version this is already an existing problem. Spain has consulted the French speaking delegations about how they differentiate these two UN numbers currently, if they think it would be reasonable to amend the French (and also Spanish) name for UN 1197</w:t>
      </w:r>
      <w:r w:rsidR="002233F4">
        <w:rPr>
          <w:rFonts w:eastAsia="Times New Roman"/>
          <w:lang w:eastAsia="en-US"/>
        </w:rPr>
        <w:t>,</w:t>
      </w:r>
      <w:r w:rsidR="009033A8">
        <w:rPr>
          <w:rFonts w:eastAsia="Times New Roman"/>
          <w:lang w:eastAsia="en-US"/>
        </w:rPr>
        <w:t xml:space="preserve"> and if </w:t>
      </w:r>
      <w:r w:rsidR="002233F4">
        <w:rPr>
          <w:rFonts w:eastAsia="Times New Roman"/>
          <w:lang w:eastAsia="en-US"/>
        </w:rPr>
        <w:t xml:space="preserve">this </w:t>
      </w:r>
      <w:r w:rsidR="009033A8">
        <w:rPr>
          <w:rFonts w:eastAsia="Times New Roman"/>
          <w:lang w:eastAsia="en-US"/>
        </w:rPr>
        <w:t>is not possible, maintaining the current names, what we could do to differentiate them.</w:t>
      </w:r>
    </w:p>
    <w:p w14:paraId="406944D3" w14:textId="61C7DEA5" w:rsidR="00EE20F5" w:rsidRDefault="007173E6" w:rsidP="0079428F">
      <w:pPr>
        <w:pStyle w:val="SingleTxtG"/>
        <w:kinsoku/>
        <w:overflowPunct/>
        <w:autoSpaceDE/>
        <w:adjustRightInd/>
        <w:snapToGrid/>
        <w:rPr>
          <w:rFonts w:eastAsia="Times New Roman"/>
          <w:lang w:eastAsia="en-US"/>
        </w:rPr>
      </w:pPr>
      <w:r>
        <w:rPr>
          <w:rFonts w:eastAsia="Times New Roman"/>
          <w:lang w:eastAsia="en-US"/>
        </w:rPr>
        <w:t>6</w:t>
      </w:r>
      <w:r w:rsidR="00EE20F5">
        <w:rPr>
          <w:rFonts w:eastAsia="Times New Roman"/>
          <w:lang w:eastAsia="en-US"/>
        </w:rPr>
        <w:t>.</w:t>
      </w:r>
      <w:r w:rsidR="00EE20F5">
        <w:rPr>
          <w:rFonts w:eastAsia="Times New Roman"/>
          <w:lang w:eastAsia="en-US"/>
        </w:rPr>
        <w:tab/>
      </w:r>
      <w:r w:rsidR="00E74AA0">
        <w:rPr>
          <w:rFonts w:eastAsia="Times New Roman"/>
          <w:lang w:eastAsia="en-US"/>
        </w:rPr>
        <w:t>It was seen that t</w:t>
      </w:r>
      <w:r w:rsidR="00EE20F5">
        <w:rPr>
          <w:rFonts w:eastAsia="Times New Roman"/>
          <w:lang w:eastAsia="en-US"/>
        </w:rPr>
        <w:t>here is a need to clarify the difference between both proper shipping names for UN 1169 and UN 1197 in the French and Spanish versions of the UN Recommendations, or alternatively decide if only one UN number should be retained.</w:t>
      </w:r>
    </w:p>
    <w:p w14:paraId="4FC343CD" w14:textId="6485E685" w:rsidR="00173068" w:rsidRDefault="00173068" w:rsidP="0079428F">
      <w:pPr>
        <w:pStyle w:val="SingleTxtG"/>
        <w:kinsoku/>
        <w:overflowPunct/>
        <w:autoSpaceDE/>
        <w:adjustRightInd/>
        <w:snapToGrid/>
        <w:rPr>
          <w:rFonts w:eastAsia="Times New Roman"/>
          <w:lang w:eastAsia="en-US"/>
        </w:rPr>
      </w:pPr>
      <w:r>
        <w:rPr>
          <w:rFonts w:eastAsia="Times New Roman"/>
          <w:lang w:eastAsia="en-US"/>
        </w:rPr>
        <w:t>7.</w:t>
      </w:r>
      <w:r>
        <w:rPr>
          <w:rFonts w:eastAsia="Times New Roman"/>
          <w:lang w:eastAsia="en-US"/>
        </w:rPr>
        <w:tab/>
      </w:r>
      <w:r w:rsidR="00EE20F5">
        <w:rPr>
          <w:rFonts w:eastAsia="Times New Roman"/>
          <w:lang w:eastAsia="en-US"/>
        </w:rPr>
        <w:t>Document ST/SG/AC.10/C.3/2020/38 presented by Spain received</w:t>
      </w:r>
      <w:r>
        <w:rPr>
          <w:rFonts w:eastAsia="Times New Roman"/>
          <w:lang w:eastAsia="en-US"/>
        </w:rPr>
        <w:t xml:space="preserve"> written comments of several delegations</w:t>
      </w:r>
      <w:r w:rsidR="00C3449C" w:rsidRPr="00C3449C">
        <w:rPr>
          <w:rFonts w:eastAsia="Times New Roman"/>
          <w:lang w:eastAsia="en-US"/>
        </w:rPr>
        <w:t xml:space="preserve"> </w:t>
      </w:r>
      <w:r w:rsidR="00C3449C">
        <w:rPr>
          <w:rFonts w:eastAsia="Times New Roman"/>
          <w:lang w:eastAsia="en-US"/>
        </w:rPr>
        <w:t>during the informal discussions in June/July 2020</w:t>
      </w:r>
      <w:r>
        <w:rPr>
          <w:rFonts w:eastAsia="Times New Roman"/>
          <w:lang w:eastAsia="en-US"/>
        </w:rPr>
        <w:t xml:space="preserve">, </w:t>
      </w:r>
      <w:r w:rsidR="00EE20F5">
        <w:rPr>
          <w:rFonts w:eastAsia="Times New Roman"/>
          <w:lang w:eastAsia="en-US"/>
        </w:rPr>
        <w:t xml:space="preserve">and </w:t>
      </w:r>
      <w:r>
        <w:rPr>
          <w:rFonts w:eastAsia="Times New Roman"/>
          <w:lang w:eastAsia="en-US"/>
        </w:rPr>
        <w:t xml:space="preserve">Spain </w:t>
      </w:r>
      <w:r w:rsidR="00B43079">
        <w:rPr>
          <w:rFonts w:eastAsia="Times New Roman"/>
          <w:lang w:eastAsia="en-US"/>
        </w:rPr>
        <w:t xml:space="preserve">together with </w:t>
      </w:r>
      <w:r>
        <w:rPr>
          <w:rFonts w:eastAsia="Times New Roman"/>
          <w:lang w:eastAsia="en-US"/>
        </w:rPr>
        <w:t xml:space="preserve">CEFIC have included theses into this </w:t>
      </w:r>
      <w:r w:rsidR="00B43079">
        <w:rPr>
          <w:rFonts w:eastAsia="Times New Roman"/>
          <w:lang w:eastAsia="en-US"/>
        </w:rPr>
        <w:t xml:space="preserve">revised </w:t>
      </w:r>
      <w:r>
        <w:rPr>
          <w:rFonts w:eastAsia="Times New Roman"/>
          <w:lang w:eastAsia="en-US"/>
        </w:rPr>
        <w:t>version of the document.</w:t>
      </w:r>
    </w:p>
    <w:p w14:paraId="0F24606C" w14:textId="5CE1F157" w:rsidR="009033A8" w:rsidRDefault="009033A8" w:rsidP="007173E6">
      <w:pPr>
        <w:pStyle w:val="HChG"/>
        <w:ind w:firstLine="0"/>
        <w:rPr>
          <w:lang w:eastAsia="en-US"/>
        </w:rPr>
      </w:pPr>
      <w:r>
        <w:rPr>
          <w:rFonts w:eastAsia="Times New Roman"/>
          <w:lang w:eastAsia="en-US"/>
        </w:rPr>
        <w:tab/>
      </w:r>
      <w:r>
        <w:rPr>
          <w:lang w:eastAsia="en-US"/>
        </w:rPr>
        <w:t xml:space="preserve">Historical background to these UN </w:t>
      </w:r>
      <w:r w:rsidR="001A2DF2">
        <w:rPr>
          <w:lang w:eastAsia="en-US"/>
        </w:rPr>
        <w:t>n</w:t>
      </w:r>
      <w:r>
        <w:rPr>
          <w:lang w:eastAsia="en-US"/>
        </w:rPr>
        <w:t>umbers in the Model Regulations</w:t>
      </w:r>
    </w:p>
    <w:p w14:paraId="0193C650" w14:textId="35491894" w:rsidR="009033A8" w:rsidRDefault="008B3A10" w:rsidP="0079428F">
      <w:pPr>
        <w:pStyle w:val="SingleTxtG"/>
        <w:kinsoku/>
        <w:overflowPunct/>
        <w:autoSpaceDE/>
        <w:adjustRightInd/>
        <w:snapToGrid/>
        <w:rPr>
          <w:rFonts w:eastAsia="Times New Roman"/>
          <w:lang w:eastAsia="en-US"/>
        </w:rPr>
      </w:pPr>
      <w:r>
        <w:rPr>
          <w:rFonts w:eastAsia="Times New Roman"/>
          <w:lang w:eastAsia="en-US"/>
        </w:rPr>
        <w:t>8</w:t>
      </w:r>
      <w:r w:rsidR="001A2DF2">
        <w:rPr>
          <w:rFonts w:eastAsia="Times New Roman"/>
          <w:lang w:eastAsia="en-US"/>
        </w:rPr>
        <w:t>.</w:t>
      </w:r>
      <w:r w:rsidR="001A2DF2">
        <w:rPr>
          <w:rFonts w:eastAsia="Times New Roman"/>
          <w:lang w:eastAsia="en-US"/>
        </w:rPr>
        <w:tab/>
      </w:r>
      <w:r w:rsidR="009033A8">
        <w:rPr>
          <w:rFonts w:eastAsia="Times New Roman"/>
          <w:lang w:eastAsia="en-US"/>
        </w:rPr>
        <w:t xml:space="preserve">Spain has also consulted UNECE to know the origin of these UN </w:t>
      </w:r>
      <w:r w:rsidR="001A2DF2">
        <w:rPr>
          <w:rFonts w:eastAsia="Times New Roman"/>
          <w:lang w:eastAsia="en-US"/>
        </w:rPr>
        <w:t>n</w:t>
      </w:r>
      <w:r w:rsidR="009033A8">
        <w:rPr>
          <w:rFonts w:eastAsia="Times New Roman"/>
          <w:lang w:eastAsia="en-US"/>
        </w:rPr>
        <w:t xml:space="preserve">umbers. The original specific proposal relating to the introduction of these UN numbers could not been found; nevertheless, these UN numbers have been in the Model Regulations since 1956. At that time, they were listed by class in the English alphabetical order within each class, i.e. without a UN </w:t>
      </w:r>
      <w:r w:rsidR="001A2DF2">
        <w:rPr>
          <w:rFonts w:eastAsia="Times New Roman"/>
          <w:lang w:eastAsia="en-US"/>
        </w:rPr>
        <w:t>n</w:t>
      </w:r>
      <w:r w:rsidR="009033A8">
        <w:rPr>
          <w:rFonts w:eastAsia="Times New Roman"/>
          <w:lang w:eastAsia="en-US"/>
        </w:rPr>
        <w:t>umber. The entries corresponding to the current UN Nos. 1169 and 1197 were as follows:</w:t>
      </w:r>
    </w:p>
    <w:p w14:paraId="1D2B8B95" w14:textId="77777777" w:rsidR="009033A8" w:rsidRPr="00CF4A45" w:rsidRDefault="009033A8" w:rsidP="000307FB">
      <w:pPr>
        <w:pStyle w:val="SingleTxtG"/>
        <w:ind w:left="1701"/>
        <w:rPr>
          <w:lang w:val="fr-FR" w:eastAsia="en-US"/>
        </w:rPr>
      </w:pPr>
      <w:r>
        <w:rPr>
          <w:lang w:eastAsia="en-US"/>
        </w:rPr>
        <w:t>UN 1169: Essences, having a flash point below 150</w:t>
      </w:r>
      <w:r w:rsidR="001A2DF2">
        <w:rPr>
          <w:lang w:eastAsia="en-US"/>
        </w:rPr>
        <w:t> </w:t>
      </w:r>
      <w:r>
        <w:rPr>
          <w:lang w:eastAsia="en-US"/>
        </w:rPr>
        <w:t>°F (65.6</w:t>
      </w:r>
      <w:r w:rsidR="001A2DF2">
        <w:rPr>
          <w:lang w:eastAsia="en-US"/>
        </w:rPr>
        <w:t> </w:t>
      </w:r>
      <w:r>
        <w:rPr>
          <w:lang w:eastAsia="en-US"/>
        </w:rPr>
        <w:t xml:space="preserve">°C). </w:t>
      </w:r>
      <w:r w:rsidRPr="00CF4A45">
        <w:rPr>
          <w:lang w:val="fr-FR" w:eastAsia="en-US"/>
        </w:rPr>
        <w:t>Essences, de point d’éclair inférieur à 65.6</w:t>
      </w:r>
      <w:r w:rsidR="001A2DF2" w:rsidRPr="00CF4A45">
        <w:rPr>
          <w:lang w:val="fr-FR" w:eastAsia="en-US"/>
        </w:rPr>
        <w:t> </w:t>
      </w:r>
      <w:r w:rsidRPr="00CF4A45">
        <w:rPr>
          <w:lang w:val="fr-FR" w:eastAsia="en-US"/>
        </w:rPr>
        <w:t>°C (150</w:t>
      </w:r>
      <w:r w:rsidR="001A2DF2" w:rsidRPr="00CF4A45">
        <w:rPr>
          <w:lang w:val="fr-FR" w:eastAsia="en-US"/>
        </w:rPr>
        <w:t> </w:t>
      </w:r>
      <w:r w:rsidRPr="00CF4A45">
        <w:rPr>
          <w:lang w:val="fr-FR" w:eastAsia="en-US"/>
        </w:rPr>
        <w:t xml:space="preserve">°F). </w:t>
      </w:r>
    </w:p>
    <w:p w14:paraId="2A96A687" w14:textId="77777777" w:rsidR="009033A8" w:rsidRPr="00CF4A45" w:rsidRDefault="009033A8" w:rsidP="000307FB">
      <w:pPr>
        <w:pStyle w:val="SingleTxtG"/>
        <w:ind w:left="1701"/>
        <w:rPr>
          <w:lang w:val="fr-FR" w:eastAsia="en-US"/>
        </w:rPr>
      </w:pPr>
      <w:r>
        <w:rPr>
          <w:lang w:eastAsia="en-US"/>
        </w:rPr>
        <w:t>UN 1197: Extracts, Flavouring, liquid having a flash point below 150</w:t>
      </w:r>
      <w:r w:rsidR="001A2DF2">
        <w:rPr>
          <w:lang w:eastAsia="en-US"/>
        </w:rPr>
        <w:t> </w:t>
      </w:r>
      <w:r>
        <w:rPr>
          <w:lang w:eastAsia="en-US"/>
        </w:rPr>
        <w:t>°F (65.6</w:t>
      </w:r>
      <w:r w:rsidR="001A2DF2">
        <w:rPr>
          <w:lang w:eastAsia="en-US"/>
        </w:rPr>
        <w:t> </w:t>
      </w:r>
      <w:r>
        <w:rPr>
          <w:lang w:eastAsia="en-US"/>
        </w:rPr>
        <w:t xml:space="preserve">°C). </w:t>
      </w:r>
      <w:r w:rsidRPr="00CF4A45">
        <w:rPr>
          <w:lang w:val="fr-FR" w:eastAsia="en-US"/>
        </w:rPr>
        <w:t>Extraits aromatiques liquides, de point d’éclair inférieur à 65.6</w:t>
      </w:r>
      <w:r w:rsidR="001A2DF2" w:rsidRPr="00CF4A45">
        <w:rPr>
          <w:lang w:val="fr-FR" w:eastAsia="en-US"/>
        </w:rPr>
        <w:t> </w:t>
      </w:r>
      <w:r w:rsidRPr="00CF4A45">
        <w:rPr>
          <w:lang w:val="fr-FR" w:eastAsia="en-US"/>
        </w:rPr>
        <w:t>°C (150 °F)</w:t>
      </w:r>
    </w:p>
    <w:p w14:paraId="707F4E63" w14:textId="2DC7BDDD" w:rsidR="009033A8" w:rsidRDefault="008B3A10" w:rsidP="0079428F">
      <w:pPr>
        <w:pStyle w:val="SingleTxtG"/>
        <w:kinsoku/>
        <w:overflowPunct/>
        <w:autoSpaceDE/>
        <w:adjustRightInd/>
        <w:snapToGrid/>
        <w:rPr>
          <w:rFonts w:eastAsia="Times New Roman"/>
          <w:lang w:eastAsia="en-US"/>
        </w:rPr>
      </w:pPr>
      <w:r>
        <w:rPr>
          <w:rFonts w:eastAsia="Times New Roman"/>
          <w:lang w:eastAsia="en-US"/>
        </w:rPr>
        <w:t>9</w:t>
      </w:r>
      <w:r w:rsidR="00FA0AF4">
        <w:rPr>
          <w:rFonts w:eastAsia="Times New Roman"/>
          <w:lang w:eastAsia="en-US"/>
        </w:rPr>
        <w:t>.</w:t>
      </w:r>
      <w:r w:rsidR="00FA0AF4">
        <w:rPr>
          <w:rFonts w:eastAsia="Times New Roman"/>
          <w:lang w:eastAsia="en-US"/>
        </w:rPr>
        <w:tab/>
      </w:r>
      <w:r w:rsidR="009033A8">
        <w:rPr>
          <w:rFonts w:eastAsia="Times New Roman"/>
          <w:lang w:eastAsia="en-US"/>
        </w:rPr>
        <w:t xml:space="preserve">In a document dated in 1959, these entries are already assigned to UN </w:t>
      </w:r>
      <w:r w:rsidR="001A2DF2">
        <w:rPr>
          <w:rFonts w:eastAsia="Times New Roman"/>
          <w:lang w:eastAsia="en-US"/>
        </w:rPr>
        <w:t>n</w:t>
      </w:r>
      <w:r w:rsidR="009033A8">
        <w:rPr>
          <w:rFonts w:eastAsia="Times New Roman"/>
          <w:lang w:eastAsia="en-US"/>
        </w:rPr>
        <w:t>umbers with a slightly modified name, as follows:</w:t>
      </w:r>
    </w:p>
    <w:p w14:paraId="5EEF1D24" w14:textId="77777777" w:rsidR="009033A8" w:rsidRPr="00CF4A45" w:rsidRDefault="009033A8" w:rsidP="000307FB">
      <w:pPr>
        <w:pStyle w:val="SingleTxtG"/>
        <w:ind w:left="1701"/>
        <w:rPr>
          <w:lang w:val="fr-FR" w:eastAsia="en-US"/>
        </w:rPr>
      </w:pPr>
      <w:r>
        <w:rPr>
          <w:lang w:eastAsia="en-US"/>
        </w:rPr>
        <w:t>UN 1169: Essences, having a flash point below 150</w:t>
      </w:r>
      <w:r w:rsidR="001A2DF2">
        <w:rPr>
          <w:lang w:eastAsia="en-US"/>
        </w:rPr>
        <w:t> </w:t>
      </w:r>
      <w:r>
        <w:rPr>
          <w:lang w:eastAsia="en-US"/>
        </w:rPr>
        <w:t>°F (65.6</w:t>
      </w:r>
      <w:r w:rsidR="001A2DF2">
        <w:rPr>
          <w:lang w:eastAsia="en-US"/>
        </w:rPr>
        <w:t> </w:t>
      </w:r>
      <w:r>
        <w:rPr>
          <w:lang w:eastAsia="en-US"/>
        </w:rPr>
        <w:t xml:space="preserve">°C). </w:t>
      </w:r>
      <w:r w:rsidRPr="00CF4A45">
        <w:rPr>
          <w:lang w:val="fr-FR" w:eastAsia="en-US"/>
        </w:rPr>
        <w:t>Essence de point d’éclair inférieur à 65.6</w:t>
      </w:r>
      <w:r w:rsidR="001A2DF2" w:rsidRPr="00CF4A45">
        <w:rPr>
          <w:lang w:val="fr-FR" w:eastAsia="en-US"/>
        </w:rPr>
        <w:t> </w:t>
      </w:r>
      <w:r w:rsidRPr="00CF4A45">
        <w:rPr>
          <w:lang w:val="fr-FR" w:eastAsia="en-US"/>
        </w:rPr>
        <w:t>°C (150</w:t>
      </w:r>
      <w:r w:rsidR="001A2DF2" w:rsidRPr="00CF4A45">
        <w:rPr>
          <w:lang w:val="fr-FR" w:eastAsia="en-US"/>
        </w:rPr>
        <w:t> </w:t>
      </w:r>
      <w:r w:rsidRPr="00CF4A45">
        <w:rPr>
          <w:lang w:val="fr-FR" w:eastAsia="en-US"/>
        </w:rPr>
        <w:t>°F).</w:t>
      </w:r>
    </w:p>
    <w:p w14:paraId="163DE957" w14:textId="77777777" w:rsidR="009033A8" w:rsidRPr="00CF4A45" w:rsidRDefault="009033A8" w:rsidP="000307FB">
      <w:pPr>
        <w:pStyle w:val="SingleTxtG"/>
        <w:ind w:left="1701"/>
        <w:rPr>
          <w:lang w:val="fr-FR" w:eastAsia="en-US"/>
        </w:rPr>
      </w:pPr>
      <w:r>
        <w:rPr>
          <w:lang w:eastAsia="en-US"/>
        </w:rPr>
        <w:t>UN 1197: Extracts, Flavouring, liquid having a flash point below 150</w:t>
      </w:r>
      <w:r w:rsidR="001A2DF2">
        <w:rPr>
          <w:lang w:eastAsia="en-US"/>
        </w:rPr>
        <w:t> </w:t>
      </w:r>
      <w:r>
        <w:rPr>
          <w:lang w:eastAsia="en-US"/>
        </w:rPr>
        <w:t>°F (65.6</w:t>
      </w:r>
      <w:r w:rsidR="001A2DF2">
        <w:rPr>
          <w:lang w:eastAsia="en-US"/>
        </w:rPr>
        <w:t> </w:t>
      </w:r>
      <w:r>
        <w:rPr>
          <w:lang w:eastAsia="en-US"/>
        </w:rPr>
        <w:t xml:space="preserve">°C). </w:t>
      </w:r>
      <w:r w:rsidRPr="00CF4A45">
        <w:rPr>
          <w:lang w:val="fr-FR" w:eastAsia="en-US"/>
        </w:rPr>
        <w:t>Extraits liquides pour aromatiser ayant un point d’éclair inférieur à 65.6</w:t>
      </w:r>
      <w:r w:rsidR="001A2DF2" w:rsidRPr="00CF4A45">
        <w:rPr>
          <w:lang w:val="fr-FR" w:eastAsia="en-US"/>
        </w:rPr>
        <w:t> </w:t>
      </w:r>
      <w:r w:rsidRPr="00CF4A45">
        <w:rPr>
          <w:lang w:val="fr-FR" w:eastAsia="en-US"/>
        </w:rPr>
        <w:t>°C (150 °F).</w:t>
      </w:r>
    </w:p>
    <w:p w14:paraId="602D5A5D" w14:textId="73E27604" w:rsidR="009033A8" w:rsidRDefault="008B3A10" w:rsidP="0079428F">
      <w:pPr>
        <w:pStyle w:val="SingleTxtG"/>
        <w:kinsoku/>
        <w:overflowPunct/>
        <w:autoSpaceDE/>
        <w:adjustRightInd/>
        <w:snapToGrid/>
        <w:rPr>
          <w:rFonts w:eastAsia="Times New Roman"/>
          <w:lang w:eastAsia="en-US"/>
        </w:rPr>
      </w:pPr>
      <w:r>
        <w:rPr>
          <w:rFonts w:eastAsia="Times New Roman"/>
          <w:lang w:eastAsia="en-US"/>
        </w:rPr>
        <w:t>10</w:t>
      </w:r>
      <w:r w:rsidR="00FA0AF4">
        <w:rPr>
          <w:rFonts w:eastAsia="Times New Roman"/>
          <w:lang w:eastAsia="en-US"/>
        </w:rPr>
        <w:t>.</w:t>
      </w:r>
      <w:r w:rsidR="00FA0AF4">
        <w:rPr>
          <w:rFonts w:eastAsia="Times New Roman"/>
          <w:lang w:eastAsia="en-US"/>
        </w:rPr>
        <w:tab/>
      </w:r>
      <w:r w:rsidR="009033A8">
        <w:rPr>
          <w:rFonts w:eastAsia="Times New Roman"/>
          <w:lang w:eastAsia="en-US"/>
        </w:rPr>
        <w:t>The same names appear in the 1964 edition of the Recommendations, except for the fact that the temperature in °F does not appear in the French version:</w:t>
      </w:r>
    </w:p>
    <w:p w14:paraId="46F07E9F" w14:textId="77777777" w:rsidR="009033A8" w:rsidRPr="00CF4A45" w:rsidRDefault="009033A8" w:rsidP="000307FB">
      <w:pPr>
        <w:pStyle w:val="SingleTxtG"/>
        <w:ind w:left="1701"/>
        <w:rPr>
          <w:lang w:val="fr-FR" w:eastAsia="en-US"/>
        </w:rPr>
      </w:pPr>
      <w:r>
        <w:rPr>
          <w:lang w:eastAsia="en-US"/>
        </w:rPr>
        <w:t>UN 1169:  Essences, having a flash point below 150</w:t>
      </w:r>
      <w:r w:rsidR="00FA0AF4">
        <w:rPr>
          <w:lang w:eastAsia="en-US"/>
        </w:rPr>
        <w:t> </w:t>
      </w:r>
      <w:r>
        <w:rPr>
          <w:lang w:eastAsia="en-US"/>
        </w:rPr>
        <w:t>°F (65.6</w:t>
      </w:r>
      <w:r w:rsidR="00FA0AF4">
        <w:rPr>
          <w:lang w:eastAsia="en-US"/>
        </w:rPr>
        <w:t> </w:t>
      </w:r>
      <w:r>
        <w:rPr>
          <w:lang w:eastAsia="en-US"/>
        </w:rPr>
        <w:t xml:space="preserve">°C). </w:t>
      </w:r>
      <w:r w:rsidRPr="00CF4A45">
        <w:rPr>
          <w:lang w:val="fr-FR" w:eastAsia="en-US"/>
        </w:rPr>
        <w:t>Essence de point d’éclair inférieur à 65.6</w:t>
      </w:r>
      <w:r w:rsidR="00FA0AF4" w:rsidRPr="00CF4A45">
        <w:rPr>
          <w:lang w:val="fr-FR" w:eastAsia="en-US"/>
        </w:rPr>
        <w:t> </w:t>
      </w:r>
      <w:r w:rsidRPr="00CF4A45">
        <w:rPr>
          <w:lang w:val="fr-FR" w:eastAsia="en-US"/>
        </w:rPr>
        <w:t>°C.</w:t>
      </w:r>
    </w:p>
    <w:p w14:paraId="133675A0" w14:textId="77777777" w:rsidR="009033A8" w:rsidRPr="00CF4A45" w:rsidRDefault="009033A8" w:rsidP="000307FB">
      <w:pPr>
        <w:pStyle w:val="SingleTxtG"/>
        <w:ind w:left="1701"/>
        <w:rPr>
          <w:lang w:val="fr-FR" w:eastAsia="en-US"/>
        </w:rPr>
      </w:pPr>
      <w:r w:rsidRPr="00CF4A45">
        <w:rPr>
          <w:lang w:val="fr-FR" w:eastAsia="en-US"/>
        </w:rPr>
        <w:t>UN 1197: Extracts, Flavouring, liquid having a flash point below 150</w:t>
      </w:r>
      <w:r w:rsidR="00FA0AF4" w:rsidRPr="00CF4A45">
        <w:rPr>
          <w:lang w:val="fr-FR" w:eastAsia="en-US"/>
        </w:rPr>
        <w:t> </w:t>
      </w:r>
      <w:r w:rsidRPr="00CF4A45">
        <w:rPr>
          <w:lang w:val="fr-FR" w:eastAsia="en-US"/>
        </w:rPr>
        <w:t>°F (65.6</w:t>
      </w:r>
      <w:r w:rsidR="00FA0AF4" w:rsidRPr="00CF4A45">
        <w:rPr>
          <w:lang w:val="fr-FR" w:eastAsia="en-US"/>
        </w:rPr>
        <w:t> </w:t>
      </w:r>
      <w:r w:rsidRPr="00CF4A45">
        <w:rPr>
          <w:lang w:val="fr-FR" w:eastAsia="en-US"/>
        </w:rPr>
        <w:t>°C). Extraits liquides pour aromatiser ayant un point d’éclair inférieur à 65.6</w:t>
      </w:r>
      <w:r w:rsidR="00FA0AF4" w:rsidRPr="00CF4A45">
        <w:rPr>
          <w:lang w:val="fr-FR" w:eastAsia="en-US"/>
        </w:rPr>
        <w:t> </w:t>
      </w:r>
      <w:r w:rsidRPr="00CF4A45">
        <w:rPr>
          <w:lang w:val="fr-FR" w:eastAsia="en-US"/>
        </w:rPr>
        <w:t>°C (150 °F).</w:t>
      </w:r>
    </w:p>
    <w:p w14:paraId="2B4B4920" w14:textId="50079A0D" w:rsidR="009033A8" w:rsidRDefault="00FA0AF4" w:rsidP="0079428F">
      <w:pPr>
        <w:pStyle w:val="SingleTxtG"/>
        <w:kinsoku/>
        <w:overflowPunct/>
        <w:autoSpaceDE/>
        <w:adjustRightInd/>
        <w:snapToGrid/>
        <w:rPr>
          <w:rFonts w:eastAsia="Times New Roman"/>
          <w:lang w:eastAsia="en-US"/>
        </w:rPr>
      </w:pPr>
      <w:r>
        <w:rPr>
          <w:rFonts w:eastAsia="Times New Roman"/>
          <w:lang w:eastAsia="en-US"/>
        </w:rPr>
        <w:t>1</w:t>
      </w:r>
      <w:r w:rsidR="008B3A10">
        <w:rPr>
          <w:rFonts w:eastAsia="Times New Roman"/>
          <w:lang w:eastAsia="en-US"/>
        </w:rPr>
        <w:t>1</w:t>
      </w:r>
      <w:r>
        <w:rPr>
          <w:rFonts w:eastAsia="Times New Roman"/>
          <w:lang w:eastAsia="en-US"/>
        </w:rPr>
        <w:t>.</w:t>
      </w:r>
      <w:r>
        <w:rPr>
          <w:rFonts w:eastAsia="Times New Roman"/>
          <w:lang w:eastAsia="en-US"/>
        </w:rPr>
        <w:tab/>
      </w:r>
      <w:r w:rsidR="009033A8">
        <w:rPr>
          <w:rFonts w:eastAsia="Times New Roman"/>
          <w:lang w:eastAsia="en-US"/>
        </w:rPr>
        <w:t>In the 1966 edition of the Recommendations, the names of both entries lose the reference to the temperatures, as follows:</w:t>
      </w:r>
    </w:p>
    <w:p w14:paraId="02412DD7" w14:textId="77777777" w:rsidR="009033A8" w:rsidRPr="00CF4A45" w:rsidRDefault="009033A8" w:rsidP="000307FB">
      <w:pPr>
        <w:pStyle w:val="SingleTxtG"/>
        <w:ind w:left="1701"/>
        <w:rPr>
          <w:lang w:val="fr-FR" w:eastAsia="en-US"/>
        </w:rPr>
      </w:pPr>
      <w:r w:rsidRPr="00CF4A45">
        <w:rPr>
          <w:lang w:val="fr-FR" w:eastAsia="en-US"/>
        </w:rPr>
        <w:t xml:space="preserve">1169: Essences. Essences. </w:t>
      </w:r>
    </w:p>
    <w:p w14:paraId="19884316" w14:textId="77777777" w:rsidR="009033A8" w:rsidRDefault="009033A8" w:rsidP="000307FB">
      <w:pPr>
        <w:pStyle w:val="SingleTxtG"/>
        <w:ind w:left="1701"/>
        <w:rPr>
          <w:lang w:eastAsia="en-US"/>
        </w:rPr>
      </w:pPr>
      <w:r w:rsidRPr="00CF4A45">
        <w:rPr>
          <w:lang w:val="fr-FR" w:eastAsia="en-US"/>
        </w:rPr>
        <w:t>1197: Extracts, Flavouring, liquid</w:t>
      </w:r>
      <w:r w:rsidRPr="00CF4A45">
        <w:rPr>
          <w:strike/>
          <w:lang w:val="fr-FR" w:eastAsia="en-US"/>
        </w:rPr>
        <w:t xml:space="preserve">. </w:t>
      </w:r>
      <w:r>
        <w:rPr>
          <w:lang w:eastAsia="en-US"/>
        </w:rPr>
        <w:t>Extraits liquides pour aromatiser.</w:t>
      </w:r>
    </w:p>
    <w:p w14:paraId="1B825C64" w14:textId="449240FF" w:rsidR="009033A8" w:rsidRDefault="00FA0AF4" w:rsidP="0079428F">
      <w:pPr>
        <w:pStyle w:val="SingleTxtG"/>
        <w:kinsoku/>
        <w:overflowPunct/>
        <w:autoSpaceDE/>
        <w:adjustRightInd/>
        <w:snapToGrid/>
        <w:rPr>
          <w:rFonts w:eastAsia="Times New Roman"/>
          <w:lang w:eastAsia="en-US"/>
        </w:rPr>
      </w:pPr>
      <w:r>
        <w:rPr>
          <w:rFonts w:eastAsia="Times New Roman"/>
          <w:lang w:eastAsia="en-US"/>
        </w:rPr>
        <w:t>1</w:t>
      </w:r>
      <w:r w:rsidR="008B3A10">
        <w:rPr>
          <w:rFonts w:eastAsia="Times New Roman"/>
          <w:lang w:eastAsia="en-US"/>
        </w:rPr>
        <w:t>2</w:t>
      </w:r>
      <w:r>
        <w:rPr>
          <w:rFonts w:eastAsia="Times New Roman"/>
          <w:lang w:eastAsia="en-US"/>
        </w:rPr>
        <w:t>.</w:t>
      </w:r>
      <w:r>
        <w:rPr>
          <w:rFonts w:eastAsia="Times New Roman"/>
          <w:lang w:eastAsia="en-US"/>
        </w:rPr>
        <w:tab/>
      </w:r>
      <w:r w:rsidR="009033A8">
        <w:rPr>
          <w:rFonts w:eastAsia="Times New Roman"/>
          <w:lang w:eastAsia="en-US"/>
        </w:rPr>
        <w:t>In a document submitted by OCTI (Central Office for International Carriage by Rail) in 1968, containing comments on the 1966 edition of the Recommendations, there is a comment indicating that UN 1169 should read: “Essences, natural or essential”/ “Essences, naturelles ou parfumées”.</w:t>
      </w:r>
    </w:p>
    <w:p w14:paraId="731F380D" w14:textId="48721CF6" w:rsidR="009033A8" w:rsidRDefault="008B3A10" w:rsidP="0079428F">
      <w:pPr>
        <w:pStyle w:val="SingleTxtG"/>
        <w:kinsoku/>
        <w:overflowPunct/>
        <w:autoSpaceDE/>
        <w:adjustRightInd/>
        <w:snapToGrid/>
        <w:rPr>
          <w:rFonts w:eastAsia="Times New Roman"/>
          <w:lang w:eastAsia="en-US"/>
        </w:rPr>
      </w:pPr>
      <w:r>
        <w:rPr>
          <w:rFonts w:eastAsia="Times New Roman"/>
          <w:lang w:eastAsia="en-US"/>
        </w:rPr>
        <w:lastRenderedPageBreak/>
        <w:t>13.</w:t>
      </w:r>
      <w:r w:rsidR="00FA0AF4">
        <w:rPr>
          <w:rFonts w:eastAsia="Times New Roman"/>
          <w:lang w:eastAsia="en-US"/>
        </w:rPr>
        <w:tab/>
      </w:r>
      <w:r w:rsidR="009033A8">
        <w:rPr>
          <w:rFonts w:eastAsia="Times New Roman"/>
          <w:lang w:eastAsia="en-US"/>
        </w:rPr>
        <w:t xml:space="preserve">In 1969, the Report of the Committee on the Transport of Dangerous Goods on its 6th session, (Annex 2 on "Proposals for amendments to the annexes to the Recommendations" (ST/ECA/81/Rev.1-E/CN.2/CONF.5/10/Rev.1)), includes the following amendment to UN 1169: </w:t>
      </w:r>
    </w:p>
    <w:p w14:paraId="0FB62EC1" w14:textId="77777777" w:rsidR="009033A8" w:rsidRDefault="009033A8" w:rsidP="000307FB">
      <w:pPr>
        <w:pStyle w:val="SingleTxtG"/>
        <w:ind w:firstLine="567"/>
        <w:rPr>
          <w:lang w:eastAsia="en-US"/>
        </w:rPr>
      </w:pPr>
      <w:r>
        <w:rPr>
          <w:lang w:eastAsia="en-US"/>
        </w:rPr>
        <w:t>(English) Should read: "Extracts".</w:t>
      </w:r>
    </w:p>
    <w:p w14:paraId="5B2C6878" w14:textId="77777777" w:rsidR="009033A8" w:rsidRDefault="009033A8" w:rsidP="000307FB">
      <w:pPr>
        <w:pStyle w:val="SingleTxtG"/>
        <w:ind w:firstLine="567"/>
        <w:rPr>
          <w:lang w:eastAsia="en-US"/>
        </w:rPr>
      </w:pPr>
      <w:r>
        <w:rPr>
          <w:lang w:eastAsia="en-US"/>
        </w:rPr>
        <w:t>(French)</w:t>
      </w:r>
      <w:r w:rsidR="00FA0AF4">
        <w:rPr>
          <w:lang w:eastAsia="en-US"/>
        </w:rPr>
        <w:t xml:space="preserve"> </w:t>
      </w:r>
      <w:r>
        <w:rPr>
          <w:lang w:eastAsia="en-US"/>
        </w:rPr>
        <w:t>Lire: "Extraits aromatiques liquides".</w:t>
      </w:r>
    </w:p>
    <w:p w14:paraId="51B0B2F0" w14:textId="0AE66450" w:rsidR="009033A8" w:rsidRDefault="00FA0AF4" w:rsidP="0079428F">
      <w:pPr>
        <w:pStyle w:val="SingleTxtG"/>
        <w:kinsoku/>
        <w:overflowPunct/>
        <w:autoSpaceDE/>
        <w:adjustRightInd/>
        <w:snapToGrid/>
        <w:rPr>
          <w:rFonts w:eastAsia="Times New Roman"/>
          <w:lang w:eastAsia="en-US"/>
        </w:rPr>
      </w:pPr>
      <w:r>
        <w:rPr>
          <w:rFonts w:eastAsia="Times New Roman"/>
          <w:lang w:eastAsia="en-US"/>
        </w:rPr>
        <w:t>1</w:t>
      </w:r>
      <w:r w:rsidR="008B3A10">
        <w:rPr>
          <w:rFonts w:eastAsia="Times New Roman"/>
          <w:lang w:eastAsia="en-US"/>
        </w:rPr>
        <w:t>4</w:t>
      </w:r>
      <w:r>
        <w:rPr>
          <w:rFonts w:eastAsia="Times New Roman"/>
          <w:lang w:eastAsia="en-US"/>
        </w:rPr>
        <w:t>.</w:t>
      </w:r>
      <w:r>
        <w:rPr>
          <w:rFonts w:eastAsia="Times New Roman"/>
          <w:lang w:eastAsia="en-US"/>
        </w:rPr>
        <w:tab/>
      </w:r>
      <w:r w:rsidR="009033A8">
        <w:rPr>
          <w:rFonts w:eastAsia="Times New Roman"/>
          <w:lang w:eastAsia="en-US"/>
        </w:rPr>
        <w:t>This is the name that appears afterwards in the 1970 edition of the Recommendations.</w:t>
      </w:r>
    </w:p>
    <w:p w14:paraId="02CD77E2" w14:textId="50D698CF" w:rsidR="009033A8" w:rsidRDefault="00FA0AF4" w:rsidP="0079428F">
      <w:pPr>
        <w:pStyle w:val="SingleTxtG"/>
        <w:kinsoku/>
        <w:overflowPunct/>
        <w:autoSpaceDE/>
        <w:adjustRightInd/>
        <w:snapToGrid/>
        <w:rPr>
          <w:rFonts w:eastAsia="Times New Roman"/>
          <w:lang w:eastAsia="en-US"/>
        </w:rPr>
      </w:pPr>
      <w:r>
        <w:rPr>
          <w:rFonts w:eastAsia="Times New Roman"/>
          <w:lang w:eastAsia="en-US"/>
        </w:rPr>
        <w:t>1</w:t>
      </w:r>
      <w:r w:rsidR="008B3A10">
        <w:rPr>
          <w:rFonts w:eastAsia="Times New Roman"/>
          <w:lang w:eastAsia="en-US"/>
        </w:rPr>
        <w:t>5</w:t>
      </w:r>
      <w:r>
        <w:rPr>
          <w:rFonts w:eastAsia="Times New Roman"/>
          <w:lang w:eastAsia="en-US"/>
        </w:rPr>
        <w:t>.</w:t>
      </w:r>
      <w:r>
        <w:rPr>
          <w:rFonts w:eastAsia="Times New Roman"/>
          <w:lang w:eastAsia="en-US"/>
        </w:rPr>
        <w:tab/>
      </w:r>
      <w:r w:rsidR="009033A8">
        <w:rPr>
          <w:rFonts w:eastAsia="Times New Roman"/>
          <w:lang w:eastAsia="en-US"/>
        </w:rPr>
        <w:t xml:space="preserve">Summing up, it seems that the change from “essences” to “extracts” happened in 1969, but the specific proposal related to the modification of these entries could not been found. And since they exist already in the first edition of the Recommendations, they could have been taken from other regulations (e.g. those applicable to maritime or rail transport). </w:t>
      </w:r>
    </w:p>
    <w:p w14:paraId="1F7CD2A6" w14:textId="1C5851F4" w:rsidR="009033A8" w:rsidRDefault="008B3A10" w:rsidP="00971A8E">
      <w:pPr>
        <w:pStyle w:val="SingleTxtG"/>
        <w:kinsoku/>
        <w:overflowPunct/>
        <w:autoSpaceDE/>
        <w:adjustRightInd/>
        <w:snapToGrid/>
        <w:rPr>
          <w:rFonts w:eastAsia="Times New Roman"/>
          <w:lang w:eastAsia="en-US"/>
        </w:rPr>
      </w:pPr>
      <w:r>
        <w:rPr>
          <w:rFonts w:eastAsia="Times New Roman"/>
          <w:lang w:eastAsia="en-US"/>
        </w:rPr>
        <w:t>16</w:t>
      </w:r>
      <w:r w:rsidR="00FA0AF4">
        <w:rPr>
          <w:rFonts w:eastAsia="Times New Roman"/>
          <w:lang w:eastAsia="en-US"/>
        </w:rPr>
        <w:t>.</w:t>
      </w:r>
      <w:r w:rsidR="00FA0AF4">
        <w:rPr>
          <w:rFonts w:eastAsia="Times New Roman"/>
          <w:lang w:eastAsia="en-US"/>
        </w:rPr>
        <w:tab/>
      </w:r>
      <w:r w:rsidR="009033A8">
        <w:rPr>
          <w:rFonts w:eastAsia="Times New Roman"/>
          <w:lang w:eastAsia="en-US"/>
        </w:rPr>
        <w:t>Another conclusion that can be drawn is that, given the names that were assigned initially to these UN numbers, it seems clear that none of these entries is referring to the chemical family of "aromatic "cyclic substances.</w:t>
      </w:r>
    </w:p>
    <w:p w14:paraId="62DF728B" w14:textId="50578688" w:rsidR="009033A8" w:rsidRDefault="009033A8" w:rsidP="00EE20F5">
      <w:pPr>
        <w:pStyle w:val="HChG"/>
        <w:ind w:left="0" w:firstLine="0"/>
        <w:rPr>
          <w:rFonts w:eastAsia="Times New Roman"/>
          <w:lang w:val="en-US" w:eastAsia="en-US"/>
        </w:rPr>
      </w:pPr>
      <w:r w:rsidRPr="00E74AA0">
        <w:rPr>
          <w:rFonts w:eastAsia="Times New Roman"/>
          <w:lang w:val="en-US" w:eastAsia="en-US"/>
        </w:rPr>
        <w:tab/>
      </w:r>
      <w:r w:rsidRPr="00E74AA0">
        <w:rPr>
          <w:rFonts w:eastAsia="Times New Roman"/>
          <w:lang w:val="en-US" w:eastAsia="en-US"/>
        </w:rPr>
        <w:tab/>
      </w:r>
      <w:r>
        <w:rPr>
          <w:rFonts w:eastAsia="Times New Roman"/>
          <w:lang w:val="en-US" w:eastAsia="en-US"/>
        </w:rPr>
        <w:t>Use of these UN numbers in modal regulations</w:t>
      </w:r>
    </w:p>
    <w:p w14:paraId="313A2AD9" w14:textId="7FE95AA6" w:rsidR="009033A8" w:rsidRDefault="008B3A10" w:rsidP="0079428F">
      <w:pPr>
        <w:pStyle w:val="SingleTxtG"/>
        <w:kinsoku/>
        <w:overflowPunct/>
        <w:autoSpaceDE/>
        <w:adjustRightInd/>
        <w:snapToGrid/>
        <w:rPr>
          <w:rFonts w:eastAsia="Times New Roman"/>
          <w:lang w:eastAsia="en-US"/>
        </w:rPr>
      </w:pPr>
      <w:r>
        <w:rPr>
          <w:rFonts w:eastAsia="Times New Roman"/>
          <w:lang w:eastAsia="en-US"/>
        </w:rPr>
        <w:t>17</w:t>
      </w:r>
      <w:r w:rsidR="00FA0AF4">
        <w:rPr>
          <w:rFonts w:eastAsia="Times New Roman"/>
          <w:lang w:eastAsia="en-US"/>
        </w:rPr>
        <w:t>.</w:t>
      </w:r>
      <w:r w:rsidR="00FA0AF4">
        <w:rPr>
          <w:rFonts w:eastAsia="Times New Roman"/>
          <w:lang w:eastAsia="en-US"/>
        </w:rPr>
        <w:tab/>
      </w:r>
      <w:r w:rsidR="009033A8">
        <w:rPr>
          <w:rFonts w:eastAsia="Times New Roman"/>
          <w:lang w:eastAsia="en-US"/>
        </w:rPr>
        <w:t xml:space="preserve">After checking the different modal regulations (RID, ADR, IMDG and Technical Instructions), the names for UN 1169 and UN 1197 in the French and English versions are the same than in the Model Regulations. For IMDG Code and Technical Instructions, also the names in the Spanish version are the same as in the Model Regulations, </w:t>
      </w:r>
      <w:r w:rsidR="00B43079">
        <w:rPr>
          <w:lang w:eastAsia="en-US"/>
        </w:rPr>
        <w:t>twentieth e</w:t>
      </w:r>
      <w:r w:rsidR="009033A8">
        <w:rPr>
          <w:rFonts w:eastAsia="Times New Roman"/>
          <w:lang w:eastAsia="en-US"/>
        </w:rPr>
        <w:t>dition (before modification of the name in the Spanish version of the Model Regulations, see paragraph 2).</w:t>
      </w:r>
    </w:p>
    <w:p w14:paraId="1F8A83FA" w14:textId="634E5A55" w:rsidR="009033A8" w:rsidRDefault="008B3A10" w:rsidP="0079428F">
      <w:pPr>
        <w:pStyle w:val="SingleTxtG"/>
        <w:kinsoku/>
        <w:overflowPunct/>
        <w:autoSpaceDE/>
        <w:adjustRightInd/>
        <w:snapToGrid/>
        <w:rPr>
          <w:rFonts w:eastAsia="Times New Roman"/>
          <w:lang w:eastAsia="en-US"/>
        </w:rPr>
      </w:pPr>
      <w:r>
        <w:rPr>
          <w:rFonts w:eastAsia="Times New Roman"/>
          <w:lang w:eastAsia="en-US"/>
        </w:rPr>
        <w:t>18</w:t>
      </w:r>
      <w:r w:rsidR="00FA0AF4">
        <w:rPr>
          <w:rFonts w:eastAsia="Times New Roman"/>
          <w:lang w:eastAsia="en-US"/>
        </w:rPr>
        <w:t>.</w:t>
      </w:r>
      <w:r w:rsidR="00FA0AF4">
        <w:rPr>
          <w:rFonts w:eastAsia="Times New Roman"/>
          <w:lang w:eastAsia="en-US"/>
        </w:rPr>
        <w:tab/>
      </w:r>
      <w:r w:rsidR="009033A8">
        <w:rPr>
          <w:rFonts w:eastAsia="Times New Roman"/>
          <w:lang w:eastAsia="en-US"/>
        </w:rPr>
        <w:t xml:space="preserve">For all modal regulations the transport conditions for UN 1169 and 1197 </w:t>
      </w:r>
      <w:r w:rsidR="003D40BA">
        <w:rPr>
          <w:rFonts w:eastAsia="Times New Roman"/>
          <w:lang w:eastAsia="en-US"/>
        </w:rPr>
        <w:t xml:space="preserve">indicated in the different dangerous goods lists </w:t>
      </w:r>
      <w:r w:rsidR="009033A8">
        <w:rPr>
          <w:rFonts w:eastAsia="Times New Roman"/>
          <w:lang w:eastAsia="en-US"/>
        </w:rPr>
        <w:t>are exactly the same in between them.</w:t>
      </w:r>
    </w:p>
    <w:p w14:paraId="1FF5C9B1" w14:textId="650CF114" w:rsidR="009033A8" w:rsidRDefault="008B3A10" w:rsidP="0079428F">
      <w:pPr>
        <w:pStyle w:val="SingleTxtG"/>
        <w:kinsoku/>
        <w:overflowPunct/>
        <w:autoSpaceDE/>
        <w:adjustRightInd/>
        <w:snapToGrid/>
        <w:rPr>
          <w:rFonts w:eastAsia="Times New Roman"/>
          <w:lang w:eastAsia="en-US"/>
        </w:rPr>
      </w:pPr>
      <w:r>
        <w:rPr>
          <w:rFonts w:eastAsia="Times New Roman"/>
          <w:lang w:eastAsia="en-US"/>
        </w:rPr>
        <w:t>19</w:t>
      </w:r>
      <w:r w:rsidR="00FA0AF4">
        <w:rPr>
          <w:rFonts w:eastAsia="Times New Roman"/>
          <w:lang w:eastAsia="en-US"/>
        </w:rPr>
        <w:t>.</w:t>
      </w:r>
      <w:r w:rsidR="00FA0AF4">
        <w:rPr>
          <w:rFonts w:eastAsia="Times New Roman"/>
          <w:lang w:eastAsia="en-US"/>
        </w:rPr>
        <w:tab/>
      </w:r>
      <w:r w:rsidR="009033A8">
        <w:rPr>
          <w:rFonts w:eastAsia="Times New Roman"/>
          <w:lang w:eastAsia="en-US"/>
        </w:rPr>
        <w:t>Additionally, in the ICAO Technical Instructions for the Safe Transport of Dangerous Goods by Air, 2019-2020 Edition</w:t>
      </w:r>
      <w:r w:rsidR="007173E6">
        <w:rPr>
          <w:rFonts w:eastAsia="Times New Roman"/>
          <w:lang w:eastAsia="en-US"/>
        </w:rPr>
        <w:t>,</w:t>
      </w:r>
      <w:r w:rsidR="009033A8">
        <w:rPr>
          <w:rFonts w:eastAsia="Times New Roman"/>
          <w:lang w:eastAsia="en-US"/>
        </w:rPr>
        <w:t xml:space="preserve"> the following definition, applicable for both UN 1169 and 1197 together, can be found in the Glossary (of informative nature only):</w:t>
      </w:r>
    </w:p>
    <w:p w14:paraId="334743CC" w14:textId="77777777" w:rsidR="009033A8" w:rsidRDefault="009033A8" w:rsidP="0079428F">
      <w:pPr>
        <w:pStyle w:val="SingleTxtG"/>
        <w:kinsoku/>
        <w:overflowPunct/>
        <w:autoSpaceDE/>
        <w:adjustRightInd/>
        <w:snapToGrid/>
        <w:ind w:left="1494"/>
        <w:rPr>
          <w:lang w:eastAsia="en-US"/>
        </w:rPr>
      </w:pPr>
      <w:r>
        <w:rPr>
          <w:lang w:eastAsia="en-US"/>
        </w:rPr>
        <w:t>EXTRACTS, AROMATIC OR EXTRACTS, FLAVOURING. Substances used for fragrances or for flavouring foods or beverages. Where they contain a solvent or other liquid with a sufficiently low flash point they are classified as flammable liquids. However, where they contain a liquid which has corrosive or toxic properties they must be classified according to that criteria. They may have obnoxious properties such that in the event of a leakage from the package they may cause extreme discomfort to the crew or passengers.</w:t>
      </w:r>
    </w:p>
    <w:p w14:paraId="480478CB" w14:textId="6781D75D" w:rsidR="009033A8" w:rsidRDefault="008B3A10" w:rsidP="0079428F">
      <w:pPr>
        <w:pStyle w:val="SingleTxtG"/>
        <w:kinsoku/>
        <w:overflowPunct/>
        <w:autoSpaceDE/>
        <w:adjustRightInd/>
        <w:snapToGrid/>
        <w:rPr>
          <w:rFonts w:eastAsia="Times New Roman"/>
          <w:lang w:eastAsia="en-US"/>
        </w:rPr>
      </w:pPr>
      <w:r>
        <w:rPr>
          <w:rFonts w:eastAsia="Times New Roman"/>
          <w:lang w:eastAsia="en-US"/>
        </w:rPr>
        <w:t>20</w:t>
      </w:r>
      <w:r w:rsidR="00FA0AF4">
        <w:rPr>
          <w:rFonts w:eastAsia="Times New Roman"/>
          <w:lang w:eastAsia="en-US"/>
        </w:rPr>
        <w:t>.</w:t>
      </w:r>
      <w:r w:rsidR="00FA0AF4">
        <w:rPr>
          <w:rFonts w:eastAsia="Times New Roman"/>
          <w:lang w:eastAsia="en-US"/>
        </w:rPr>
        <w:tab/>
      </w:r>
      <w:r w:rsidR="009033A8">
        <w:rPr>
          <w:rFonts w:eastAsia="Times New Roman"/>
          <w:lang w:eastAsia="en-US"/>
        </w:rPr>
        <w:t>No distinction can be found in the transport conditions of any of the modal regulations for UN 1169 and 1197.</w:t>
      </w:r>
    </w:p>
    <w:p w14:paraId="2E01558A" w14:textId="77777777" w:rsidR="00EE20F5" w:rsidRDefault="009033A8" w:rsidP="00EE20F5">
      <w:pPr>
        <w:pStyle w:val="HChG"/>
        <w:ind w:left="0" w:firstLine="0"/>
        <w:rPr>
          <w:rFonts w:eastAsia="Times New Roman"/>
          <w:lang w:eastAsia="en-US"/>
        </w:rPr>
      </w:pPr>
      <w:r>
        <w:rPr>
          <w:rFonts w:eastAsia="Times New Roman"/>
          <w:lang w:eastAsia="en-US"/>
        </w:rPr>
        <w:tab/>
      </w:r>
      <w:r>
        <w:rPr>
          <w:rFonts w:eastAsia="Times New Roman"/>
          <w:lang w:eastAsia="en-US"/>
        </w:rPr>
        <w:tab/>
      </w:r>
      <w:r w:rsidR="00EE20F5">
        <w:rPr>
          <w:rFonts w:eastAsia="Times New Roman"/>
          <w:lang w:eastAsia="en-US"/>
        </w:rPr>
        <w:t>Use in Industry</w:t>
      </w:r>
    </w:p>
    <w:p w14:paraId="043B5917" w14:textId="36478672" w:rsidR="00EE20F5" w:rsidRDefault="00EE20F5" w:rsidP="00EE20F5">
      <w:pPr>
        <w:pStyle w:val="SingleTxtG"/>
        <w:kinsoku/>
        <w:overflowPunct/>
        <w:autoSpaceDE/>
        <w:adjustRightInd/>
        <w:snapToGrid/>
        <w:rPr>
          <w:rFonts w:eastAsia="Times New Roman"/>
          <w:lang w:eastAsia="en-US"/>
        </w:rPr>
      </w:pPr>
      <w:r>
        <w:rPr>
          <w:rFonts w:eastAsia="Times New Roman"/>
          <w:lang w:eastAsia="en-US"/>
        </w:rPr>
        <w:t>2</w:t>
      </w:r>
      <w:r w:rsidR="008B3A10">
        <w:rPr>
          <w:rFonts w:eastAsia="Times New Roman"/>
          <w:lang w:eastAsia="en-US"/>
        </w:rPr>
        <w:t>1</w:t>
      </w:r>
      <w:r>
        <w:rPr>
          <w:rFonts w:eastAsia="Times New Roman"/>
          <w:lang w:eastAsia="en-US"/>
        </w:rPr>
        <w:t>.</w:t>
      </w:r>
      <w:r>
        <w:rPr>
          <w:rFonts w:eastAsia="Times New Roman"/>
          <w:lang w:eastAsia="en-US"/>
        </w:rPr>
        <w:tab/>
        <w:t>Several countries have informed that their industry is using both UN numbers indistinctly</w:t>
      </w:r>
      <w:r w:rsidR="00FF7E9E">
        <w:rPr>
          <w:rFonts w:eastAsia="Times New Roman"/>
          <w:lang w:eastAsia="en-US"/>
        </w:rPr>
        <w:t xml:space="preserve"> and suggested that one of these U</w:t>
      </w:r>
      <w:r w:rsidR="00E74AA0">
        <w:rPr>
          <w:rFonts w:eastAsia="Times New Roman"/>
          <w:lang w:eastAsia="en-US"/>
        </w:rPr>
        <w:t>N</w:t>
      </w:r>
      <w:r w:rsidR="00FF7E9E">
        <w:rPr>
          <w:rFonts w:eastAsia="Times New Roman"/>
          <w:lang w:eastAsia="en-US"/>
        </w:rPr>
        <w:t xml:space="preserve"> number</w:t>
      </w:r>
      <w:r w:rsidR="00E74AA0">
        <w:rPr>
          <w:rFonts w:eastAsia="Times New Roman"/>
          <w:lang w:eastAsia="en-US"/>
        </w:rPr>
        <w:t>s</w:t>
      </w:r>
      <w:r w:rsidR="00FF7E9E">
        <w:rPr>
          <w:rFonts w:eastAsia="Times New Roman"/>
          <w:lang w:eastAsia="en-US"/>
        </w:rPr>
        <w:t xml:space="preserve"> could be deleted</w:t>
      </w:r>
      <w:r>
        <w:rPr>
          <w:rFonts w:eastAsia="Times New Roman"/>
          <w:lang w:eastAsia="en-US"/>
        </w:rPr>
        <w:t xml:space="preserve">. </w:t>
      </w:r>
    </w:p>
    <w:p w14:paraId="26F27FF7" w14:textId="596C2691" w:rsidR="00FF7E9E" w:rsidRDefault="00FF7E9E" w:rsidP="00EE20F5">
      <w:pPr>
        <w:pStyle w:val="SingleTxtG"/>
        <w:kinsoku/>
        <w:overflowPunct/>
        <w:autoSpaceDE/>
        <w:adjustRightInd/>
        <w:snapToGrid/>
        <w:rPr>
          <w:rFonts w:eastAsia="Times New Roman"/>
          <w:lang w:eastAsia="en-US"/>
        </w:rPr>
      </w:pPr>
      <w:r w:rsidRPr="00014A3A">
        <w:rPr>
          <w:rFonts w:eastAsia="Times New Roman"/>
          <w:lang w:eastAsia="en-US"/>
        </w:rPr>
        <w:t>2</w:t>
      </w:r>
      <w:r w:rsidR="008B3A10" w:rsidRPr="00014A3A">
        <w:rPr>
          <w:rFonts w:eastAsia="Times New Roman"/>
          <w:lang w:eastAsia="en-US"/>
        </w:rPr>
        <w:t>2</w:t>
      </w:r>
      <w:r w:rsidRPr="00014A3A">
        <w:rPr>
          <w:rFonts w:eastAsia="Times New Roman"/>
          <w:lang w:eastAsia="en-US"/>
        </w:rPr>
        <w:t>.</w:t>
      </w:r>
      <w:r w:rsidRPr="00014A3A">
        <w:rPr>
          <w:rFonts w:eastAsia="Times New Roman"/>
          <w:lang w:eastAsia="en-US"/>
        </w:rPr>
        <w:tab/>
        <w:t>CEFIC has found that, according to their members, having two separated UN numbers does not provide any added value and</w:t>
      </w:r>
      <w:r w:rsidR="00B43079">
        <w:rPr>
          <w:rFonts w:eastAsia="Times New Roman"/>
          <w:lang w:eastAsia="en-US"/>
        </w:rPr>
        <w:t>,</w:t>
      </w:r>
      <w:r w:rsidRPr="00014A3A">
        <w:rPr>
          <w:rFonts w:eastAsia="Times New Roman"/>
          <w:lang w:eastAsia="en-US"/>
        </w:rPr>
        <w:t xml:space="preserve"> </w:t>
      </w:r>
      <w:r w:rsidR="00B43079" w:rsidRPr="00014A3A">
        <w:rPr>
          <w:rFonts w:eastAsia="Times New Roman"/>
          <w:lang w:eastAsia="en-US"/>
        </w:rPr>
        <w:t>therefore</w:t>
      </w:r>
      <w:r w:rsidR="00B43079">
        <w:rPr>
          <w:rFonts w:eastAsia="Times New Roman"/>
          <w:lang w:eastAsia="en-US"/>
        </w:rPr>
        <w:t>,</w:t>
      </w:r>
      <w:r w:rsidR="00B43079" w:rsidRPr="00014A3A">
        <w:rPr>
          <w:rFonts w:eastAsia="Times New Roman"/>
          <w:lang w:eastAsia="en-US"/>
        </w:rPr>
        <w:t xml:space="preserve"> </w:t>
      </w:r>
      <w:r w:rsidRPr="00014A3A">
        <w:rPr>
          <w:rFonts w:eastAsia="Times New Roman"/>
          <w:lang w:eastAsia="en-US"/>
        </w:rPr>
        <w:t>propose to delete UN 1169 and to retain UN</w:t>
      </w:r>
      <w:r w:rsidR="00B43079">
        <w:rPr>
          <w:rFonts w:eastAsia="Times New Roman"/>
          <w:lang w:eastAsia="en-US"/>
        </w:rPr>
        <w:t> </w:t>
      </w:r>
      <w:r w:rsidRPr="00014A3A">
        <w:rPr>
          <w:rFonts w:eastAsia="Times New Roman"/>
          <w:lang w:eastAsia="en-US"/>
        </w:rPr>
        <w:t>1197.</w:t>
      </w:r>
    </w:p>
    <w:p w14:paraId="6E9AEB12" w14:textId="25107E17" w:rsidR="009033A8" w:rsidRDefault="00FF7E9E" w:rsidP="0079428F">
      <w:pPr>
        <w:pStyle w:val="HChG"/>
        <w:ind w:left="0" w:firstLine="0"/>
        <w:rPr>
          <w:rFonts w:eastAsia="Times New Roman"/>
          <w:lang w:eastAsia="en-US"/>
        </w:rPr>
      </w:pPr>
      <w:r>
        <w:rPr>
          <w:rFonts w:eastAsia="Times New Roman"/>
          <w:lang w:eastAsia="en-US"/>
        </w:rPr>
        <w:tab/>
      </w:r>
      <w:r>
        <w:rPr>
          <w:rFonts w:eastAsia="Times New Roman"/>
          <w:lang w:eastAsia="en-US"/>
        </w:rPr>
        <w:tab/>
      </w:r>
      <w:r w:rsidR="009033A8">
        <w:rPr>
          <w:rFonts w:eastAsia="Times New Roman"/>
          <w:lang w:eastAsia="en-US"/>
        </w:rPr>
        <w:t>Conclusions</w:t>
      </w:r>
    </w:p>
    <w:p w14:paraId="42FE26A0" w14:textId="1F048446" w:rsidR="00FF7E9E" w:rsidRDefault="00FF7E9E" w:rsidP="00FF7E9E">
      <w:pPr>
        <w:pStyle w:val="SingleTxtG"/>
        <w:kinsoku/>
        <w:overflowPunct/>
        <w:autoSpaceDE/>
        <w:adjustRightInd/>
        <w:snapToGrid/>
        <w:rPr>
          <w:rFonts w:eastAsia="Times New Roman"/>
          <w:lang w:eastAsia="en-US"/>
        </w:rPr>
      </w:pPr>
      <w:r>
        <w:rPr>
          <w:rFonts w:eastAsia="Times New Roman"/>
          <w:lang w:eastAsia="en-US"/>
        </w:rPr>
        <w:t>2</w:t>
      </w:r>
      <w:r w:rsidR="008B3A10">
        <w:rPr>
          <w:rFonts w:eastAsia="Times New Roman"/>
          <w:lang w:eastAsia="en-US"/>
        </w:rPr>
        <w:t>3</w:t>
      </w:r>
      <w:r>
        <w:rPr>
          <w:rFonts w:eastAsia="Times New Roman"/>
          <w:lang w:eastAsia="en-US"/>
        </w:rPr>
        <w:t>.</w:t>
      </w:r>
      <w:r>
        <w:rPr>
          <w:rFonts w:eastAsia="Times New Roman"/>
          <w:lang w:eastAsia="en-US"/>
        </w:rPr>
        <w:tab/>
        <w:t xml:space="preserve">Maintaining both UN numbers, and defining criteria to clearly separate one from another, could indeed be complicated and not justified, as the transport conditions are the same for both cases. </w:t>
      </w:r>
    </w:p>
    <w:p w14:paraId="4838FDE3" w14:textId="1D2A3D84" w:rsidR="009033A8" w:rsidRDefault="00FA0AF4" w:rsidP="0079428F">
      <w:pPr>
        <w:pStyle w:val="SingleTxtG"/>
        <w:kinsoku/>
        <w:overflowPunct/>
        <w:autoSpaceDE/>
        <w:adjustRightInd/>
        <w:snapToGrid/>
        <w:rPr>
          <w:rFonts w:eastAsia="Times New Roman"/>
          <w:lang w:eastAsia="en-US"/>
        </w:rPr>
      </w:pPr>
      <w:r>
        <w:rPr>
          <w:rFonts w:eastAsia="Times New Roman"/>
          <w:lang w:eastAsia="en-US"/>
        </w:rPr>
        <w:lastRenderedPageBreak/>
        <w:t>2</w:t>
      </w:r>
      <w:r w:rsidR="008B3A10">
        <w:rPr>
          <w:rFonts w:eastAsia="Times New Roman"/>
          <w:lang w:eastAsia="en-US"/>
        </w:rPr>
        <w:t>4</w:t>
      </w:r>
      <w:r>
        <w:rPr>
          <w:rFonts w:eastAsia="Times New Roman"/>
          <w:lang w:eastAsia="en-US"/>
        </w:rPr>
        <w:t>.</w:t>
      </w:r>
      <w:r>
        <w:rPr>
          <w:rFonts w:eastAsia="Times New Roman"/>
          <w:lang w:eastAsia="en-US"/>
        </w:rPr>
        <w:tab/>
      </w:r>
      <w:r w:rsidR="009033A8">
        <w:rPr>
          <w:rFonts w:eastAsia="Times New Roman"/>
          <w:lang w:eastAsia="en-US"/>
        </w:rPr>
        <w:t>It seems that both entries are covering the same reality, as the definitions for both substances overlap. Transport conditions for both UN numbers are the same</w:t>
      </w:r>
      <w:r>
        <w:rPr>
          <w:rFonts w:eastAsia="Times New Roman"/>
          <w:lang w:eastAsia="en-US"/>
        </w:rPr>
        <w:t xml:space="preserve"> </w:t>
      </w:r>
      <w:r w:rsidR="009033A8">
        <w:rPr>
          <w:rFonts w:eastAsia="Times New Roman"/>
          <w:lang w:eastAsia="en-US"/>
        </w:rPr>
        <w:t>in all modal regulations</w:t>
      </w:r>
      <w:r>
        <w:rPr>
          <w:rFonts w:eastAsia="Times New Roman"/>
          <w:lang w:eastAsia="en-US"/>
        </w:rPr>
        <w:t>, too</w:t>
      </w:r>
      <w:r w:rsidR="009033A8">
        <w:rPr>
          <w:rFonts w:eastAsia="Times New Roman"/>
          <w:lang w:eastAsia="en-US"/>
        </w:rPr>
        <w:t>.</w:t>
      </w:r>
    </w:p>
    <w:p w14:paraId="4F4ED25C" w14:textId="04C20409" w:rsidR="009033A8" w:rsidRDefault="00FA0AF4" w:rsidP="00FF7E9E">
      <w:pPr>
        <w:pStyle w:val="SingleTxtG"/>
        <w:kinsoku/>
        <w:overflowPunct/>
        <w:autoSpaceDE/>
        <w:adjustRightInd/>
        <w:snapToGrid/>
        <w:rPr>
          <w:rFonts w:eastAsia="Times New Roman"/>
          <w:lang w:eastAsia="en-US"/>
        </w:rPr>
      </w:pPr>
      <w:r>
        <w:rPr>
          <w:rFonts w:eastAsia="Times New Roman"/>
          <w:lang w:eastAsia="en-US"/>
        </w:rPr>
        <w:t>2</w:t>
      </w:r>
      <w:r w:rsidR="008B3A10">
        <w:rPr>
          <w:rFonts w:eastAsia="Times New Roman"/>
          <w:lang w:eastAsia="en-US"/>
        </w:rPr>
        <w:t>5</w:t>
      </w:r>
      <w:r>
        <w:rPr>
          <w:rFonts w:eastAsia="Times New Roman"/>
          <w:lang w:eastAsia="en-US"/>
        </w:rPr>
        <w:t>.</w:t>
      </w:r>
      <w:r>
        <w:rPr>
          <w:rFonts w:eastAsia="Times New Roman"/>
          <w:lang w:eastAsia="en-US"/>
        </w:rPr>
        <w:tab/>
      </w:r>
      <w:r w:rsidR="00FF7E9E">
        <w:rPr>
          <w:rFonts w:eastAsia="Times New Roman"/>
          <w:lang w:eastAsia="en-US"/>
        </w:rPr>
        <w:t>Therefore</w:t>
      </w:r>
      <w:r w:rsidR="00B43079">
        <w:rPr>
          <w:rFonts w:eastAsia="Times New Roman"/>
          <w:lang w:eastAsia="en-US"/>
        </w:rPr>
        <w:t>,</w:t>
      </w:r>
      <w:r w:rsidR="00FF7E9E">
        <w:rPr>
          <w:rFonts w:eastAsia="Times New Roman"/>
          <w:lang w:eastAsia="en-US"/>
        </w:rPr>
        <w:t xml:space="preserve"> the experts from Spain and CEFIC propose to eliminate the entry for UN</w:t>
      </w:r>
      <w:r w:rsidR="00B43079">
        <w:rPr>
          <w:rFonts w:eastAsia="Times New Roman"/>
          <w:lang w:eastAsia="en-US"/>
        </w:rPr>
        <w:t> </w:t>
      </w:r>
      <w:r w:rsidR="00FF7E9E">
        <w:rPr>
          <w:rFonts w:eastAsia="Times New Roman"/>
          <w:lang w:eastAsia="en-US"/>
        </w:rPr>
        <w:t xml:space="preserve">1169 and </w:t>
      </w:r>
      <w:r w:rsidR="00E74AA0">
        <w:rPr>
          <w:rFonts w:eastAsia="Times New Roman"/>
          <w:lang w:eastAsia="en-US"/>
        </w:rPr>
        <w:t xml:space="preserve">to </w:t>
      </w:r>
      <w:r w:rsidR="00FF7E9E">
        <w:rPr>
          <w:rFonts w:eastAsia="Times New Roman"/>
          <w:lang w:eastAsia="en-US"/>
        </w:rPr>
        <w:t>maintain only the entry for UN 1197, adapting the name of UN 1197 to clearly cover both flavouring and aromatic substances.</w:t>
      </w:r>
    </w:p>
    <w:p w14:paraId="6F5CFE24" w14:textId="78622724" w:rsidR="00FF7E9E" w:rsidRDefault="00FF7E9E" w:rsidP="00C242DB">
      <w:pPr>
        <w:pStyle w:val="HChG"/>
        <w:ind w:firstLine="0"/>
        <w:rPr>
          <w:rFonts w:eastAsia="Times New Roman"/>
          <w:lang w:eastAsia="en-US"/>
        </w:rPr>
      </w:pPr>
      <w:r>
        <w:rPr>
          <w:rFonts w:eastAsia="Times New Roman"/>
          <w:lang w:eastAsia="en-US"/>
        </w:rPr>
        <w:t>Proposal</w:t>
      </w:r>
    </w:p>
    <w:p w14:paraId="68849586" w14:textId="740D7040" w:rsidR="00C242DB" w:rsidRDefault="00C242DB" w:rsidP="00FF7E9E">
      <w:pPr>
        <w:pStyle w:val="SingleTxtG"/>
        <w:kinsoku/>
        <w:overflowPunct/>
        <w:autoSpaceDE/>
        <w:adjustRightInd/>
        <w:snapToGrid/>
        <w:rPr>
          <w:rFonts w:eastAsia="Times New Roman"/>
          <w:lang w:eastAsia="en-US"/>
        </w:rPr>
      </w:pPr>
      <w:r>
        <w:rPr>
          <w:rFonts w:eastAsia="Times New Roman"/>
          <w:lang w:eastAsia="en-US"/>
        </w:rPr>
        <w:t>2</w:t>
      </w:r>
      <w:r w:rsidR="008B3A10">
        <w:rPr>
          <w:rFonts w:eastAsia="Times New Roman"/>
          <w:lang w:eastAsia="en-US"/>
        </w:rPr>
        <w:t>6</w:t>
      </w:r>
      <w:r>
        <w:rPr>
          <w:rFonts w:eastAsia="Times New Roman"/>
          <w:lang w:eastAsia="en-US"/>
        </w:rPr>
        <w:t>.</w:t>
      </w:r>
      <w:r>
        <w:rPr>
          <w:rFonts w:eastAsia="Times New Roman"/>
          <w:lang w:eastAsia="en-US"/>
        </w:rPr>
        <w:tab/>
        <w:t>The experts from Spain and CEFIC propose to amend</w:t>
      </w:r>
      <w:r w:rsidR="006676CF">
        <w:rPr>
          <w:rFonts w:eastAsia="Times New Roman"/>
          <w:lang w:eastAsia="en-US"/>
        </w:rPr>
        <w:t xml:space="preserve"> the Model Regulations</w:t>
      </w:r>
      <w:r w:rsidR="00476E9D">
        <w:rPr>
          <w:rFonts w:eastAsia="Times New Roman"/>
          <w:lang w:eastAsia="en-US"/>
        </w:rPr>
        <w:t xml:space="preserve"> as follows</w:t>
      </w:r>
      <w:r w:rsidR="006676CF">
        <w:rPr>
          <w:rFonts w:eastAsia="Times New Roman"/>
          <w:lang w:eastAsia="en-US"/>
        </w:rPr>
        <w:t>:</w:t>
      </w:r>
    </w:p>
    <w:p w14:paraId="1976CCCC" w14:textId="2CEAD4D2" w:rsidR="00C242DB" w:rsidRDefault="00C242DB" w:rsidP="000307FB">
      <w:pPr>
        <w:pStyle w:val="Bullet1G"/>
        <w:rPr>
          <w:rFonts w:eastAsia="Times New Roman"/>
          <w:lang w:eastAsia="en-US"/>
        </w:rPr>
      </w:pPr>
      <w:r>
        <w:rPr>
          <w:rFonts w:eastAsia="Times New Roman"/>
          <w:lang w:eastAsia="en-US"/>
        </w:rPr>
        <w:t xml:space="preserve">Deleting UN 1169 from the </w:t>
      </w:r>
      <w:r w:rsidR="006676CF">
        <w:t>Dangerous Goods List of Chapter 3.2</w:t>
      </w:r>
      <w:r w:rsidR="00C338D1">
        <w:t xml:space="preserve"> and in the alphabetical index</w:t>
      </w:r>
      <w:r w:rsidR="006676CF">
        <w:t>.</w:t>
      </w:r>
    </w:p>
    <w:p w14:paraId="3CE291AB" w14:textId="660B5354" w:rsidR="00C242DB" w:rsidRDefault="006676CF" w:rsidP="000307FB">
      <w:pPr>
        <w:pStyle w:val="Bullet1G"/>
        <w:rPr>
          <w:rFonts w:eastAsia="Times New Roman"/>
          <w:lang w:eastAsia="en-US"/>
        </w:rPr>
      </w:pPr>
      <w:r>
        <w:t>Amend the name and description in the Dangerous Goods List of Chapter 3.2</w:t>
      </w:r>
      <w:r w:rsidR="00C338D1">
        <w:t xml:space="preserve"> and the alphabetical index</w:t>
      </w:r>
      <w:r>
        <w:t xml:space="preserve"> for </w:t>
      </w:r>
      <w:r w:rsidR="00C242DB">
        <w:rPr>
          <w:rFonts w:eastAsia="Times New Roman"/>
          <w:lang w:eastAsia="en-US"/>
        </w:rPr>
        <w:t xml:space="preserve">UN 1197 </w:t>
      </w:r>
      <w:r>
        <w:rPr>
          <w:rFonts w:eastAsia="Times New Roman"/>
          <w:lang w:eastAsia="en-US"/>
        </w:rPr>
        <w:t>to read</w:t>
      </w:r>
      <w:r w:rsidR="00C242DB">
        <w:rPr>
          <w:rFonts w:eastAsia="Times New Roman"/>
          <w:lang w:eastAsia="en-US"/>
        </w:rPr>
        <w:t xml:space="preserve"> as follows (</w:t>
      </w:r>
      <w:r w:rsidR="00476E9D">
        <w:rPr>
          <w:rFonts w:eastAsia="Times New Roman"/>
          <w:lang w:eastAsia="en-US"/>
        </w:rPr>
        <w:t xml:space="preserve">for the </w:t>
      </w:r>
      <w:r w:rsidR="00C242DB">
        <w:rPr>
          <w:rFonts w:eastAsia="Times New Roman"/>
          <w:lang w:eastAsia="en-US"/>
        </w:rPr>
        <w:t xml:space="preserve">English, French and Spanish language versions, changes only </w:t>
      </w:r>
      <w:r w:rsidR="00476E9D">
        <w:rPr>
          <w:rFonts w:eastAsia="Times New Roman"/>
          <w:lang w:eastAsia="en-US"/>
        </w:rPr>
        <w:t xml:space="preserve">necessary </w:t>
      </w:r>
      <w:r w:rsidR="00C242DB">
        <w:rPr>
          <w:rFonts w:eastAsia="Times New Roman"/>
          <w:lang w:eastAsia="en-US"/>
        </w:rPr>
        <w:t>to the English version):</w:t>
      </w:r>
    </w:p>
    <w:tbl>
      <w:tblPr>
        <w:tblW w:w="7230" w:type="dxa"/>
        <w:tblInd w:w="1124" w:type="dxa"/>
        <w:tblCellMar>
          <w:left w:w="0" w:type="dxa"/>
          <w:right w:w="0" w:type="dxa"/>
        </w:tblCellMar>
        <w:tblLook w:val="04A0" w:firstRow="1" w:lastRow="0" w:firstColumn="1" w:lastColumn="0" w:noHBand="0" w:noVBand="1"/>
      </w:tblPr>
      <w:tblGrid>
        <w:gridCol w:w="851"/>
        <w:gridCol w:w="1701"/>
        <w:gridCol w:w="2268"/>
        <w:gridCol w:w="2410"/>
      </w:tblGrid>
      <w:tr w:rsidR="00C242DB" w14:paraId="233998C9" w14:textId="77777777" w:rsidTr="00C242DB">
        <w:trPr>
          <w:trHeight w:val="675"/>
        </w:trPr>
        <w:tc>
          <w:tcPr>
            <w:tcW w:w="8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B4A2B6C" w14:textId="4069E788" w:rsidR="00C242DB" w:rsidRDefault="00C242DB" w:rsidP="006A6736">
            <w:pPr>
              <w:jc w:val="center"/>
              <w:rPr>
                <w:sz w:val="16"/>
                <w:szCs w:val="16"/>
                <w:lang w:val="es-ES" w:eastAsia="es-ES"/>
              </w:rPr>
            </w:pPr>
            <w:r>
              <w:rPr>
                <w:sz w:val="16"/>
                <w:szCs w:val="16"/>
                <w:lang w:eastAsia="es-ES"/>
              </w:rPr>
              <w:t>Nº</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770B8A1" w14:textId="48B83F4F" w:rsidR="00C242DB" w:rsidRDefault="00C242DB" w:rsidP="006A6736">
            <w:pPr>
              <w:rPr>
                <w:sz w:val="16"/>
                <w:szCs w:val="16"/>
                <w:lang w:eastAsia="es-ES"/>
              </w:rPr>
            </w:pPr>
            <w:r>
              <w:rPr>
                <w:sz w:val="16"/>
                <w:szCs w:val="16"/>
                <w:lang w:eastAsia="es-ES"/>
              </w:rPr>
              <w:t>English</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A67F5FE" w14:textId="1B248FDA" w:rsidR="00C242DB" w:rsidRDefault="00C242DB" w:rsidP="006A6736">
            <w:pPr>
              <w:rPr>
                <w:sz w:val="16"/>
                <w:szCs w:val="16"/>
                <w:lang w:eastAsia="es-ES"/>
              </w:rPr>
            </w:pPr>
            <w:r>
              <w:rPr>
                <w:sz w:val="16"/>
                <w:szCs w:val="16"/>
                <w:lang w:eastAsia="es-ES"/>
              </w:rPr>
              <w:t>French</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154F4A1" w14:textId="3C44FC21" w:rsidR="00C242DB" w:rsidRDefault="00C242DB" w:rsidP="006A6736">
            <w:pPr>
              <w:rPr>
                <w:sz w:val="16"/>
                <w:szCs w:val="16"/>
                <w:lang w:eastAsia="es-ES"/>
              </w:rPr>
            </w:pPr>
            <w:r>
              <w:rPr>
                <w:sz w:val="16"/>
                <w:szCs w:val="16"/>
                <w:lang w:eastAsia="es-ES"/>
              </w:rPr>
              <w:t>Spanish</w:t>
            </w:r>
          </w:p>
        </w:tc>
      </w:tr>
      <w:tr w:rsidR="00C242DB" w14:paraId="3BCB2B75" w14:textId="77777777" w:rsidTr="006A6736">
        <w:trPr>
          <w:trHeight w:val="450"/>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3A717C1" w14:textId="77777777" w:rsidR="00C242DB" w:rsidRDefault="00C242DB" w:rsidP="006A6736">
            <w:pPr>
              <w:jc w:val="center"/>
              <w:rPr>
                <w:sz w:val="16"/>
                <w:szCs w:val="16"/>
                <w:lang w:eastAsia="es-ES"/>
              </w:rPr>
            </w:pPr>
            <w:r>
              <w:rPr>
                <w:sz w:val="16"/>
                <w:szCs w:val="16"/>
                <w:lang w:eastAsia="es-ES"/>
              </w:rPr>
              <w:t>1197</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14:paraId="6C4744EA" w14:textId="457EC030" w:rsidR="00C242DB" w:rsidRDefault="00C242DB">
            <w:pPr>
              <w:rPr>
                <w:sz w:val="16"/>
                <w:szCs w:val="16"/>
                <w:lang w:eastAsia="es-ES"/>
              </w:rPr>
            </w:pPr>
            <w:r>
              <w:rPr>
                <w:sz w:val="16"/>
                <w:szCs w:val="16"/>
                <w:lang w:eastAsia="es-ES"/>
              </w:rPr>
              <w:t xml:space="preserve">EXTRACTS, </w:t>
            </w:r>
            <w:r w:rsidRPr="00C242DB">
              <w:rPr>
                <w:sz w:val="16"/>
                <w:szCs w:val="16"/>
                <w:u w:val="single"/>
                <w:lang w:eastAsia="es-ES"/>
              </w:rPr>
              <w:t xml:space="preserve">AROMATIC </w:t>
            </w:r>
            <w:r w:rsidR="00810BFD">
              <w:rPr>
                <w:sz w:val="16"/>
                <w:szCs w:val="16"/>
                <w:u w:val="single"/>
                <w:lang w:eastAsia="es-ES"/>
              </w:rPr>
              <w:t>OR</w:t>
            </w:r>
            <w:r>
              <w:rPr>
                <w:sz w:val="16"/>
                <w:szCs w:val="16"/>
                <w:lang w:eastAsia="es-ES"/>
              </w:rPr>
              <w:t xml:space="preserve"> FLAVOURING, LIQUID</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14:paraId="052BC451" w14:textId="77777777" w:rsidR="00C242DB" w:rsidRDefault="00C242DB" w:rsidP="006A6736">
            <w:pPr>
              <w:rPr>
                <w:sz w:val="16"/>
                <w:szCs w:val="16"/>
                <w:lang w:eastAsia="es-ES"/>
              </w:rPr>
            </w:pPr>
            <w:r>
              <w:rPr>
                <w:sz w:val="16"/>
                <w:szCs w:val="16"/>
                <w:lang w:eastAsia="es-ES"/>
              </w:rPr>
              <w:t>EXTRAITS LIQUIDES POUR AROMATISER</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7B16FBEA" w14:textId="77777777" w:rsidR="00C242DB" w:rsidRDefault="00C242DB" w:rsidP="006A6736">
            <w:pPr>
              <w:rPr>
                <w:sz w:val="16"/>
                <w:szCs w:val="16"/>
                <w:lang w:eastAsia="es-ES"/>
              </w:rPr>
            </w:pPr>
            <w:r>
              <w:rPr>
                <w:sz w:val="16"/>
                <w:szCs w:val="16"/>
                <w:lang w:eastAsia="es-ES"/>
              </w:rPr>
              <w:t>EXTRACTOS LÍQUIDOS PARA AROMATIZAR</w:t>
            </w:r>
          </w:p>
        </w:tc>
      </w:tr>
    </w:tbl>
    <w:p w14:paraId="4D45A7AC" w14:textId="67D04E26" w:rsidR="00C242DB" w:rsidRPr="00E424C0" w:rsidRDefault="008B3A10" w:rsidP="000307FB">
      <w:pPr>
        <w:pStyle w:val="SingleTxtG"/>
        <w:kinsoku/>
        <w:overflowPunct/>
        <w:autoSpaceDE/>
        <w:adjustRightInd/>
        <w:snapToGrid/>
        <w:spacing w:before="240"/>
        <w:rPr>
          <w:rFonts w:eastAsia="Times New Roman"/>
          <w:lang w:val="en-US" w:eastAsia="en-US"/>
        </w:rPr>
      </w:pPr>
      <w:r>
        <w:rPr>
          <w:rFonts w:eastAsia="Times New Roman"/>
          <w:lang w:eastAsia="en-US"/>
        </w:rPr>
        <w:t>27</w:t>
      </w:r>
      <w:r w:rsidR="00E424C0">
        <w:rPr>
          <w:rFonts w:eastAsia="Times New Roman"/>
          <w:lang w:eastAsia="en-US"/>
        </w:rPr>
        <w:t>.</w:t>
      </w:r>
      <w:r w:rsidR="00E424C0">
        <w:rPr>
          <w:rFonts w:eastAsia="Times New Roman"/>
          <w:lang w:eastAsia="en-US"/>
        </w:rPr>
        <w:tab/>
        <w:t>No other consequential amendments are necessary</w:t>
      </w:r>
      <w:r w:rsidR="00C242DB" w:rsidRPr="00E424C0">
        <w:rPr>
          <w:rFonts w:eastAsia="Times New Roman"/>
          <w:lang w:val="en-US" w:eastAsia="en-US"/>
        </w:rPr>
        <w:t>.</w:t>
      </w:r>
    </w:p>
    <w:p w14:paraId="1DE8EC84" w14:textId="77777777" w:rsidR="009033A8" w:rsidRPr="00E424C0" w:rsidRDefault="009033A8" w:rsidP="009033A8">
      <w:pPr>
        <w:kinsoku/>
        <w:overflowPunct/>
        <w:autoSpaceDE/>
        <w:adjustRightInd/>
        <w:snapToGrid/>
        <w:spacing w:before="240"/>
        <w:jc w:val="center"/>
        <w:rPr>
          <w:lang w:val="en-US"/>
        </w:rPr>
      </w:pPr>
      <w:r w:rsidRPr="00E424C0">
        <w:rPr>
          <w:rFonts w:eastAsia="Times New Roman"/>
          <w:u w:val="single"/>
          <w:lang w:val="en-US" w:eastAsia="en-US"/>
        </w:rPr>
        <w:tab/>
      </w:r>
      <w:r w:rsidRPr="00E424C0">
        <w:rPr>
          <w:rFonts w:eastAsia="Times New Roman"/>
          <w:u w:val="single"/>
          <w:lang w:val="en-US" w:eastAsia="en-US"/>
        </w:rPr>
        <w:tab/>
      </w:r>
      <w:r w:rsidRPr="00E424C0">
        <w:rPr>
          <w:rFonts w:eastAsia="Times New Roman"/>
          <w:u w:val="single"/>
          <w:lang w:val="en-US" w:eastAsia="en-US"/>
        </w:rPr>
        <w:tab/>
      </w:r>
    </w:p>
    <w:p w14:paraId="0BC6364F" w14:textId="77777777" w:rsidR="009033A8" w:rsidRPr="00E424C0" w:rsidRDefault="009033A8" w:rsidP="004858F5">
      <w:pPr>
        <w:rPr>
          <w:lang w:val="en-US"/>
        </w:rPr>
      </w:pPr>
    </w:p>
    <w:sectPr w:rsidR="009033A8" w:rsidRPr="00E424C0" w:rsidSect="008C378F">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60B18" w16cex:dateUtc="2020-06-18T13:47:00Z"/>
  <w16cex:commentExtensible w16cex:durableId="22960BA8" w16cex:dateUtc="2020-06-18T13:50:00Z"/>
  <w16cex:commentExtensible w16cex:durableId="22960A47" w16cex:dateUtc="2020-06-18T13: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6E287" w14:textId="77777777" w:rsidR="00F045D2" w:rsidRPr="00C47B2E" w:rsidRDefault="00F045D2" w:rsidP="00C47B2E">
      <w:pPr>
        <w:pStyle w:val="Footer"/>
      </w:pPr>
    </w:p>
  </w:endnote>
  <w:endnote w:type="continuationSeparator" w:id="0">
    <w:p w14:paraId="31CEF086" w14:textId="77777777" w:rsidR="00F045D2" w:rsidRPr="00C47B2E" w:rsidRDefault="00F045D2" w:rsidP="00C47B2E">
      <w:pPr>
        <w:pStyle w:val="Footer"/>
      </w:pPr>
    </w:p>
  </w:endnote>
  <w:endnote w:type="continuationNotice" w:id="1">
    <w:p w14:paraId="4C88A0D1" w14:textId="77777777" w:rsidR="00F045D2" w:rsidRPr="00C47B2E" w:rsidRDefault="00F045D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D879" w14:textId="7819D5AC" w:rsidR="00D94B05" w:rsidRPr="008C378F" w:rsidRDefault="008C378F" w:rsidP="008C378F">
    <w:pPr>
      <w:pStyle w:val="Footer"/>
      <w:tabs>
        <w:tab w:val="right" w:pos="9598"/>
        <w:tab w:val="right" w:pos="9638"/>
      </w:tabs>
      <w:rPr>
        <w:sz w:val="18"/>
      </w:rPr>
    </w:pPr>
    <w:r w:rsidRPr="008C378F">
      <w:rPr>
        <w:b/>
        <w:sz w:val="18"/>
      </w:rPr>
      <w:fldChar w:fldCharType="begin"/>
    </w:r>
    <w:r w:rsidRPr="008C378F">
      <w:rPr>
        <w:b/>
        <w:sz w:val="18"/>
      </w:rPr>
      <w:instrText xml:space="preserve"> PAGE  \* MERGEFORMAT </w:instrText>
    </w:r>
    <w:r w:rsidRPr="008C378F">
      <w:rPr>
        <w:b/>
        <w:sz w:val="18"/>
      </w:rPr>
      <w:fldChar w:fldCharType="separate"/>
    </w:r>
    <w:r w:rsidR="00E74AA0">
      <w:rPr>
        <w:b/>
        <w:noProof/>
        <w:sz w:val="18"/>
      </w:rPr>
      <w:t>4</w:t>
    </w:r>
    <w:r w:rsidRPr="008C378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60A3" w14:textId="07E8F0D7" w:rsidR="00D94B05" w:rsidRPr="00FB1293" w:rsidRDefault="008C378F" w:rsidP="00FB1293">
    <w:pPr>
      <w:pStyle w:val="Footer"/>
      <w:tabs>
        <w:tab w:val="left" w:pos="5775"/>
        <w:tab w:val="right" w:pos="9598"/>
        <w:tab w:val="right" w:pos="9638"/>
      </w:tabs>
      <w:jc w:val="right"/>
      <w:rPr>
        <w:b/>
        <w:bCs/>
        <w:sz w:val="18"/>
      </w:rPr>
    </w:pPr>
    <w:r w:rsidRPr="00FB1293">
      <w:rPr>
        <w:b/>
        <w:bCs/>
        <w:sz w:val="18"/>
      </w:rPr>
      <w:tab/>
    </w:r>
    <w:r w:rsidRPr="00FB1293">
      <w:rPr>
        <w:b/>
        <w:bCs/>
        <w:sz w:val="18"/>
      </w:rPr>
      <w:fldChar w:fldCharType="begin"/>
    </w:r>
    <w:r w:rsidRPr="00FB1293">
      <w:rPr>
        <w:b/>
        <w:bCs/>
        <w:sz w:val="18"/>
      </w:rPr>
      <w:instrText xml:space="preserve"> PAGE  \* MERGEFORMAT </w:instrText>
    </w:r>
    <w:r w:rsidRPr="00FB1293">
      <w:rPr>
        <w:b/>
        <w:bCs/>
        <w:sz w:val="18"/>
      </w:rPr>
      <w:fldChar w:fldCharType="separate"/>
    </w:r>
    <w:r w:rsidR="00E74AA0">
      <w:rPr>
        <w:b/>
        <w:bCs/>
        <w:noProof/>
        <w:sz w:val="18"/>
      </w:rPr>
      <w:t>3</w:t>
    </w:r>
    <w:r w:rsidRPr="00FB129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EC52" w14:textId="77777777" w:rsidR="00D94B05" w:rsidRPr="008C378F" w:rsidRDefault="00E52109" w:rsidP="00764440">
    <w:pPr>
      <w:pStyle w:val="Footer"/>
      <w:rPr>
        <w:rFonts w:asciiTheme="majorBidi" w:hAnsiTheme="majorBidi" w:cstheme="majorBidi"/>
        <w:sz w:val="20"/>
      </w:rPr>
    </w:pPr>
    <w:r>
      <w:rPr>
        <w:noProof/>
        <w:lang w:val="es-ES" w:eastAsia="es-ES"/>
      </w:rPr>
      <w:drawing>
        <wp:anchor distT="0" distB="0" distL="114300" distR="114300" simplePos="0" relativeHeight="251659264" behindDoc="0" locked="1" layoutInCell="1" allowOverlap="1" wp14:anchorId="0B78A6F5" wp14:editId="2EA9C957">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79277" w14:textId="77777777" w:rsidR="00F045D2" w:rsidRPr="00C47B2E" w:rsidRDefault="00F045D2" w:rsidP="00C47B2E">
      <w:pPr>
        <w:tabs>
          <w:tab w:val="right" w:pos="2155"/>
        </w:tabs>
        <w:spacing w:after="80" w:line="240" w:lineRule="auto"/>
        <w:ind w:left="680"/>
      </w:pPr>
      <w:r>
        <w:rPr>
          <w:u w:val="single"/>
        </w:rPr>
        <w:tab/>
      </w:r>
    </w:p>
  </w:footnote>
  <w:footnote w:type="continuationSeparator" w:id="0">
    <w:p w14:paraId="2788D21A" w14:textId="77777777" w:rsidR="00F045D2" w:rsidRPr="00C47B2E" w:rsidRDefault="00F045D2" w:rsidP="005E716E">
      <w:pPr>
        <w:tabs>
          <w:tab w:val="right" w:pos="2155"/>
        </w:tabs>
        <w:spacing w:after="80" w:line="240" w:lineRule="auto"/>
        <w:ind w:left="680"/>
      </w:pPr>
      <w:r>
        <w:rPr>
          <w:u w:val="single"/>
        </w:rPr>
        <w:tab/>
      </w:r>
    </w:p>
  </w:footnote>
  <w:footnote w:type="continuationNotice" w:id="1">
    <w:p w14:paraId="22B4241B" w14:textId="77777777" w:rsidR="00F045D2" w:rsidRPr="00C47B2E" w:rsidRDefault="00F045D2" w:rsidP="00C47B2E">
      <w:pPr>
        <w:pStyle w:val="Footer"/>
      </w:pPr>
    </w:p>
  </w:footnote>
  <w:footnote w:id="2">
    <w:p w14:paraId="429DDB42" w14:textId="77777777" w:rsidR="009033A8" w:rsidRPr="00CF4A45" w:rsidRDefault="009033A8" w:rsidP="009033A8">
      <w:pPr>
        <w:pStyle w:val="FootnoteText"/>
        <w:tabs>
          <w:tab w:val="left" w:pos="1418"/>
        </w:tabs>
        <w:ind w:firstLine="0"/>
      </w:pPr>
      <w:r>
        <w:rPr>
          <w:rStyle w:val="FootnoteReference"/>
        </w:rPr>
        <w:footnoteRef/>
      </w:r>
      <w:r>
        <w:t xml:space="preserve"> </w:t>
      </w:r>
      <w:r>
        <w:tab/>
      </w:r>
      <w:r>
        <w:rPr>
          <w:lang w:val="en-US"/>
        </w:rPr>
        <w:t>2020 (A/74/6 (Sect.20) and Supplementary, Subprogramme 2</w:t>
      </w:r>
      <w:r w:rsidR="00567AF7">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DDAA" w14:textId="429846DA" w:rsidR="008C378F" w:rsidRPr="008C378F" w:rsidRDefault="00D34D16">
    <w:pPr>
      <w:pStyle w:val="Header"/>
    </w:pPr>
    <w:r>
      <w:t>ST/SG/AC.10/C.3/2020/38</w:t>
    </w:r>
    <w:r w:rsidR="000307FB">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28FB" w14:textId="2519B162" w:rsidR="00D94B05" w:rsidRPr="008C378F" w:rsidRDefault="00F03C76" w:rsidP="008C378F">
    <w:pPr>
      <w:pStyle w:val="Header"/>
      <w:jc w:val="right"/>
    </w:pPr>
    <w:fldSimple w:instr=" TITLE  \* MERGEFORMAT ">
      <w:r w:rsidR="008A4742">
        <w:t>ST/SG/AC.10/C.3/2020/38</w:t>
      </w:r>
    </w:fldSimple>
    <w:r w:rsidR="000307FB">
      <w:t>/</w:t>
    </w:r>
    <w:r w:rsidR="00476E9D">
      <w:t>R</w:t>
    </w:r>
    <w:r w:rsidR="000307FB">
      <w:t>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A4AE9"/>
    <w:multiLevelType w:val="hybridMultilevel"/>
    <w:tmpl w:val="A5DEE274"/>
    <w:lvl w:ilvl="0" w:tplc="1E642B54">
      <w:start w:val="1"/>
      <w:numFmt w:val="decimal"/>
      <w:lvlText w:val="%1."/>
      <w:lvlJc w:val="left"/>
      <w:pPr>
        <w:ind w:left="1494" w:hanging="360"/>
      </w:pPr>
    </w:lvl>
    <w:lvl w:ilvl="1" w:tplc="0C0A0019">
      <w:start w:val="1"/>
      <w:numFmt w:val="lowerLetter"/>
      <w:lvlText w:val="%2."/>
      <w:lvlJc w:val="left"/>
      <w:pPr>
        <w:ind w:left="2214" w:hanging="360"/>
      </w:pPr>
    </w:lvl>
    <w:lvl w:ilvl="2" w:tplc="0C0A001B">
      <w:start w:val="1"/>
      <w:numFmt w:val="lowerRoman"/>
      <w:lvlText w:val="%3."/>
      <w:lvlJc w:val="right"/>
      <w:pPr>
        <w:ind w:left="2934" w:hanging="180"/>
      </w:pPr>
    </w:lvl>
    <w:lvl w:ilvl="3" w:tplc="0C0A000F">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start w:val="1"/>
      <w:numFmt w:val="decimal"/>
      <w:lvlText w:val="%7."/>
      <w:lvlJc w:val="left"/>
      <w:pPr>
        <w:ind w:left="5814" w:hanging="360"/>
      </w:pPr>
    </w:lvl>
    <w:lvl w:ilvl="7" w:tplc="0C0A0019">
      <w:start w:val="1"/>
      <w:numFmt w:val="lowerLetter"/>
      <w:lvlText w:val="%8."/>
      <w:lvlJc w:val="left"/>
      <w:pPr>
        <w:ind w:left="6534" w:hanging="360"/>
      </w:pPr>
    </w:lvl>
    <w:lvl w:ilvl="8" w:tplc="0C0A001B">
      <w:start w:val="1"/>
      <w:numFmt w:val="lowerRoman"/>
      <w:lvlText w:val="%9."/>
      <w:lvlJc w:val="right"/>
      <w:pPr>
        <w:ind w:left="7254"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EF5771C"/>
    <w:multiLevelType w:val="hybridMultilevel"/>
    <w:tmpl w:val="6EA664C8"/>
    <w:lvl w:ilvl="0" w:tplc="0C0A0001">
      <w:start w:val="1"/>
      <w:numFmt w:val="bullet"/>
      <w:lvlText w:val=""/>
      <w:lvlJc w:val="left"/>
      <w:pPr>
        <w:ind w:left="1919" w:hanging="360"/>
      </w:pPr>
      <w:rPr>
        <w:rFonts w:ascii="Symbol" w:hAnsi="Symbol" w:hint="default"/>
      </w:rPr>
    </w:lvl>
    <w:lvl w:ilvl="1" w:tplc="0C0A0003">
      <w:start w:val="1"/>
      <w:numFmt w:val="bullet"/>
      <w:lvlText w:val="o"/>
      <w:lvlJc w:val="left"/>
      <w:pPr>
        <w:ind w:left="2639" w:hanging="360"/>
      </w:pPr>
      <w:rPr>
        <w:rFonts w:ascii="Courier New" w:hAnsi="Courier New" w:cs="Courier New" w:hint="default"/>
      </w:rPr>
    </w:lvl>
    <w:lvl w:ilvl="2" w:tplc="0C0A0005">
      <w:start w:val="1"/>
      <w:numFmt w:val="bullet"/>
      <w:lvlText w:val=""/>
      <w:lvlJc w:val="left"/>
      <w:pPr>
        <w:ind w:left="3359" w:hanging="360"/>
      </w:pPr>
      <w:rPr>
        <w:rFonts w:ascii="Wingdings" w:hAnsi="Wingdings" w:hint="default"/>
      </w:rPr>
    </w:lvl>
    <w:lvl w:ilvl="3" w:tplc="0C0A0001">
      <w:start w:val="1"/>
      <w:numFmt w:val="bullet"/>
      <w:lvlText w:val=""/>
      <w:lvlJc w:val="left"/>
      <w:pPr>
        <w:ind w:left="4079" w:hanging="360"/>
      </w:pPr>
      <w:rPr>
        <w:rFonts w:ascii="Symbol" w:hAnsi="Symbol" w:hint="default"/>
      </w:rPr>
    </w:lvl>
    <w:lvl w:ilvl="4" w:tplc="0C0A0003">
      <w:start w:val="1"/>
      <w:numFmt w:val="bullet"/>
      <w:lvlText w:val="o"/>
      <w:lvlJc w:val="left"/>
      <w:pPr>
        <w:ind w:left="4799" w:hanging="360"/>
      </w:pPr>
      <w:rPr>
        <w:rFonts w:ascii="Courier New" w:hAnsi="Courier New" w:cs="Courier New" w:hint="default"/>
      </w:rPr>
    </w:lvl>
    <w:lvl w:ilvl="5" w:tplc="0C0A0005">
      <w:start w:val="1"/>
      <w:numFmt w:val="bullet"/>
      <w:lvlText w:val=""/>
      <w:lvlJc w:val="left"/>
      <w:pPr>
        <w:ind w:left="5519" w:hanging="360"/>
      </w:pPr>
      <w:rPr>
        <w:rFonts w:ascii="Wingdings" w:hAnsi="Wingdings" w:hint="default"/>
      </w:rPr>
    </w:lvl>
    <w:lvl w:ilvl="6" w:tplc="0C0A0001">
      <w:start w:val="1"/>
      <w:numFmt w:val="bullet"/>
      <w:lvlText w:val=""/>
      <w:lvlJc w:val="left"/>
      <w:pPr>
        <w:ind w:left="6239" w:hanging="360"/>
      </w:pPr>
      <w:rPr>
        <w:rFonts w:ascii="Symbol" w:hAnsi="Symbol" w:hint="default"/>
      </w:rPr>
    </w:lvl>
    <w:lvl w:ilvl="7" w:tplc="0C0A0003">
      <w:start w:val="1"/>
      <w:numFmt w:val="bullet"/>
      <w:lvlText w:val="o"/>
      <w:lvlJc w:val="left"/>
      <w:pPr>
        <w:ind w:left="6959" w:hanging="360"/>
      </w:pPr>
      <w:rPr>
        <w:rFonts w:ascii="Courier New" w:hAnsi="Courier New" w:cs="Courier New" w:hint="default"/>
      </w:rPr>
    </w:lvl>
    <w:lvl w:ilvl="8" w:tplc="0C0A0005">
      <w:start w:val="1"/>
      <w:numFmt w:val="bullet"/>
      <w:lvlText w:val=""/>
      <w:lvlJc w:val="left"/>
      <w:pPr>
        <w:ind w:left="7679" w:hanging="360"/>
      </w:pPr>
      <w:rPr>
        <w:rFonts w:ascii="Wingdings" w:hAnsi="Wingdings" w:hint="default"/>
      </w:rPr>
    </w:lvl>
  </w:abstractNum>
  <w:abstractNum w:abstractNumId="5" w15:restartNumberingAfterBreak="0">
    <w:nsid w:val="11756C34"/>
    <w:multiLevelType w:val="hybridMultilevel"/>
    <w:tmpl w:val="785843C0"/>
    <w:lvl w:ilvl="0" w:tplc="0C0A0001">
      <w:start w:val="1"/>
      <w:numFmt w:val="bullet"/>
      <w:lvlText w:val=""/>
      <w:lvlJc w:val="left"/>
      <w:pPr>
        <w:ind w:left="1919" w:hanging="360"/>
      </w:pPr>
      <w:rPr>
        <w:rFonts w:ascii="Symbol" w:hAnsi="Symbol" w:hint="default"/>
      </w:rPr>
    </w:lvl>
    <w:lvl w:ilvl="1" w:tplc="0C0A0003">
      <w:start w:val="1"/>
      <w:numFmt w:val="bullet"/>
      <w:lvlText w:val="o"/>
      <w:lvlJc w:val="left"/>
      <w:pPr>
        <w:ind w:left="2639" w:hanging="360"/>
      </w:pPr>
      <w:rPr>
        <w:rFonts w:ascii="Courier New" w:hAnsi="Courier New" w:cs="Courier New" w:hint="default"/>
      </w:rPr>
    </w:lvl>
    <w:lvl w:ilvl="2" w:tplc="0C0A0005">
      <w:start w:val="1"/>
      <w:numFmt w:val="bullet"/>
      <w:lvlText w:val=""/>
      <w:lvlJc w:val="left"/>
      <w:pPr>
        <w:ind w:left="3359" w:hanging="360"/>
      </w:pPr>
      <w:rPr>
        <w:rFonts w:ascii="Wingdings" w:hAnsi="Wingdings" w:hint="default"/>
      </w:rPr>
    </w:lvl>
    <w:lvl w:ilvl="3" w:tplc="0C0A0001">
      <w:start w:val="1"/>
      <w:numFmt w:val="bullet"/>
      <w:lvlText w:val=""/>
      <w:lvlJc w:val="left"/>
      <w:pPr>
        <w:ind w:left="4079" w:hanging="360"/>
      </w:pPr>
      <w:rPr>
        <w:rFonts w:ascii="Symbol" w:hAnsi="Symbol" w:hint="default"/>
      </w:rPr>
    </w:lvl>
    <w:lvl w:ilvl="4" w:tplc="0C0A0003">
      <w:start w:val="1"/>
      <w:numFmt w:val="bullet"/>
      <w:lvlText w:val="o"/>
      <w:lvlJc w:val="left"/>
      <w:pPr>
        <w:ind w:left="4799" w:hanging="360"/>
      </w:pPr>
      <w:rPr>
        <w:rFonts w:ascii="Courier New" w:hAnsi="Courier New" w:cs="Courier New" w:hint="default"/>
      </w:rPr>
    </w:lvl>
    <w:lvl w:ilvl="5" w:tplc="0C0A0005">
      <w:start w:val="1"/>
      <w:numFmt w:val="bullet"/>
      <w:lvlText w:val=""/>
      <w:lvlJc w:val="left"/>
      <w:pPr>
        <w:ind w:left="5519" w:hanging="360"/>
      </w:pPr>
      <w:rPr>
        <w:rFonts w:ascii="Wingdings" w:hAnsi="Wingdings" w:hint="default"/>
      </w:rPr>
    </w:lvl>
    <w:lvl w:ilvl="6" w:tplc="0C0A0001">
      <w:start w:val="1"/>
      <w:numFmt w:val="bullet"/>
      <w:lvlText w:val=""/>
      <w:lvlJc w:val="left"/>
      <w:pPr>
        <w:ind w:left="6239" w:hanging="360"/>
      </w:pPr>
      <w:rPr>
        <w:rFonts w:ascii="Symbol" w:hAnsi="Symbol" w:hint="default"/>
      </w:rPr>
    </w:lvl>
    <w:lvl w:ilvl="7" w:tplc="0C0A0003">
      <w:start w:val="1"/>
      <w:numFmt w:val="bullet"/>
      <w:lvlText w:val="o"/>
      <w:lvlJc w:val="left"/>
      <w:pPr>
        <w:ind w:left="6959" w:hanging="360"/>
      </w:pPr>
      <w:rPr>
        <w:rFonts w:ascii="Courier New" w:hAnsi="Courier New" w:cs="Courier New" w:hint="default"/>
      </w:rPr>
    </w:lvl>
    <w:lvl w:ilvl="8" w:tplc="0C0A0005">
      <w:start w:val="1"/>
      <w:numFmt w:val="bullet"/>
      <w:lvlText w:val=""/>
      <w:lvlJc w:val="left"/>
      <w:pPr>
        <w:ind w:left="7679" w:hanging="360"/>
      </w:pPr>
      <w:rPr>
        <w:rFonts w:ascii="Wingdings" w:hAnsi="Wingdings" w:hint="default"/>
      </w:rPr>
    </w:lvl>
  </w:abstractNum>
  <w:abstractNum w:abstractNumId="6" w15:restartNumberingAfterBreak="0">
    <w:nsid w:val="12D95173"/>
    <w:multiLevelType w:val="hybridMultilevel"/>
    <w:tmpl w:val="D4266B4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5A331CC"/>
    <w:multiLevelType w:val="hybridMultilevel"/>
    <w:tmpl w:val="1D38661C"/>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F27F52"/>
    <w:multiLevelType w:val="multilevel"/>
    <w:tmpl w:val="DD409504"/>
    <w:lvl w:ilvl="0">
      <w:start w:val="1"/>
      <w:numFmt w:val="decimal"/>
      <w:lvlText w:val="%1."/>
      <w:lvlJc w:val="left"/>
      <w:pPr>
        <w:tabs>
          <w:tab w:val="num" w:pos="360"/>
        </w:tabs>
        <w:ind w:left="360" w:hanging="360"/>
      </w:pPr>
      <w:rPr>
        <w:sz w:val="22"/>
        <w:szCs w:val="22"/>
        <w:lang w:val="en-US"/>
      </w:rPr>
    </w:lvl>
    <w:lvl w:ilvl="1">
      <w:numFmt w:val="decimal"/>
      <w:lvlText w:val="o"/>
      <w:lvlJc w:val="left"/>
      <w:pPr>
        <w:tabs>
          <w:tab w:val="num" w:pos="1080"/>
        </w:tabs>
        <w:ind w:left="1080" w:hanging="360"/>
      </w:pPr>
      <w:rPr>
        <w:rFonts w:ascii="Courier New" w:hAnsi="Courier New" w:cs="Times New Roman" w:hint="default"/>
        <w:sz w:val="20"/>
      </w:rPr>
    </w:lvl>
    <w:lvl w:ilvl="2">
      <w:numFmt w:val="decimal"/>
      <w:lvlText w:val=""/>
      <w:lvlJc w:val="left"/>
      <w:pPr>
        <w:tabs>
          <w:tab w:val="num" w:pos="1800"/>
        </w:tabs>
        <w:ind w:left="1800" w:hanging="360"/>
      </w:pPr>
      <w:rPr>
        <w:rFonts w:ascii="Wingdings" w:hAnsi="Wingdings" w:hint="default"/>
        <w:sz w:val="20"/>
      </w:rPr>
    </w:lvl>
    <w:lvl w:ilvl="3">
      <w:numFmt w:val="decimal"/>
      <w:lvlText w:val=""/>
      <w:lvlJc w:val="left"/>
      <w:pPr>
        <w:tabs>
          <w:tab w:val="num" w:pos="2520"/>
        </w:tabs>
        <w:ind w:left="2520" w:hanging="360"/>
      </w:pPr>
      <w:rPr>
        <w:rFonts w:ascii="Wingdings" w:hAnsi="Wingdings" w:hint="default"/>
        <w:sz w:val="20"/>
      </w:rPr>
    </w:lvl>
    <w:lvl w:ilvl="4">
      <w:numFmt w:val="decimal"/>
      <w:lvlText w:val=""/>
      <w:lvlJc w:val="left"/>
      <w:pPr>
        <w:tabs>
          <w:tab w:val="num" w:pos="3240"/>
        </w:tabs>
        <w:ind w:left="3240" w:hanging="360"/>
      </w:pPr>
      <w:rPr>
        <w:rFonts w:ascii="Wingdings" w:hAnsi="Wingdings" w:hint="default"/>
        <w:sz w:val="20"/>
      </w:rPr>
    </w:lvl>
    <w:lvl w:ilvl="5">
      <w:numFmt w:val="decimal"/>
      <w:lvlText w:val=""/>
      <w:lvlJc w:val="left"/>
      <w:pPr>
        <w:tabs>
          <w:tab w:val="num" w:pos="3960"/>
        </w:tabs>
        <w:ind w:left="3960" w:hanging="360"/>
      </w:pPr>
      <w:rPr>
        <w:rFonts w:ascii="Wingdings" w:hAnsi="Wingdings" w:hint="default"/>
        <w:sz w:val="20"/>
      </w:rPr>
    </w:lvl>
    <w:lvl w:ilvl="6">
      <w:numFmt w:val="decimal"/>
      <w:lvlText w:val=""/>
      <w:lvlJc w:val="left"/>
      <w:pPr>
        <w:tabs>
          <w:tab w:val="num" w:pos="4680"/>
        </w:tabs>
        <w:ind w:left="4680" w:hanging="360"/>
      </w:pPr>
      <w:rPr>
        <w:rFonts w:ascii="Wingdings" w:hAnsi="Wingdings" w:hint="default"/>
        <w:sz w:val="20"/>
      </w:rPr>
    </w:lvl>
    <w:lvl w:ilvl="7">
      <w:numFmt w:val="decimal"/>
      <w:lvlText w:val=""/>
      <w:lvlJc w:val="left"/>
      <w:pPr>
        <w:tabs>
          <w:tab w:val="num" w:pos="5400"/>
        </w:tabs>
        <w:ind w:left="5400" w:hanging="360"/>
      </w:pPr>
      <w:rPr>
        <w:rFonts w:ascii="Wingdings" w:hAnsi="Wingdings" w:hint="default"/>
        <w:sz w:val="20"/>
      </w:rPr>
    </w:lvl>
    <w:lvl w:ilvl="8">
      <w:numFmt w:val="decimal"/>
      <w:lvlText w:val=""/>
      <w:lvlJc w:val="left"/>
      <w:pPr>
        <w:tabs>
          <w:tab w:val="num" w:pos="6120"/>
        </w:tabs>
        <w:ind w:left="6120" w:hanging="360"/>
      </w:pPr>
      <w:rPr>
        <w:rFonts w:ascii="Wingdings" w:hAnsi="Wingdings" w:hint="default"/>
        <w:sz w:val="20"/>
      </w:rPr>
    </w:lvl>
  </w:abstractNum>
  <w:abstractNum w:abstractNumId="1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93DE3"/>
    <w:multiLevelType w:val="hybridMultilevel"/>
    <w:tmpl w:val="FB36E5FE"/>
    <w:lvl w:ilvl="0" w:tplc="0C0A0001">
      <w:start w:val="1"/>
      <w:numFmt w:val="bullet"/>
      <w:lvlText w:val=""/>
      <w:lvlJc w:val="left"/>
      <w:pPr>
        <w:ind w:left="1919" w:hanging="360"/>
      </w:pPr>
      <w:rPr>
        <w:rFonts w:ascii="Symbol" w:hAnsi="Symbol" w:hint="default"/>
      </w:rPr>
    </w:lvl>
    <w:lvl w:ilvl="1" w:tplc="0C0A0003">
      <w:start w:val="1"/>
      <w:numFmt w:val="bullet"/>
      <w:lvlText w:val="o"/>
      <w:lvlJc w:val="left"/>
      <w:pPr>
        <w:ind w:left="2639" w:hanging="360"/>
      </w:pPr>
      <w:rPr>
        <w:rFonts w:ascii="Courier New" w:hAnsi="Courier New" w:cs="Courier New" w:hint="default"/>
      </w:rPr>
    </w:lvl>
    <w:lvl w:ilvl="2" w:tplc="0C0A0005">
      <w:start w:val="1"/>
      <w:numFmt w:val="bullet"/>
      <w:lvlText w:val=""/>
      <w:lvlJc w:val="left"/>
      <w:pPr>
        <w:ind w:left="3359" w:hanging="360"/>
      </w:pPr>
      <w:rPr>
        <w:rFonts w:ascii="Wingdings" w:hAnsi="Wingdings" w:hint="default"/>
      </w:rPr>
    </w:lvl>
    <w:lvl w:ilvl="3" w:tplc="0C0A0001">
      <w:start w:val="1"/>
      <w:numFmt w:val="bullet"/>
      <w:lvlText w:val=""/>
      <w:lvlJc w:val="left"/>
      <w:pPr>
        <w:ind w:left="4079" w:hanging="360"/>
      </w:pPr>
      <w:rPr>
        <w:rFonts w:ascii="Symbol" w:hAnsi="Symbol" w:hint="default"/>
      </w:rPr>
    </w:lvl>
    <w:lvl w:ilvl="4" w:tplc="0C0A0003">
      <w:start w:val="1"/>
      <w:numFmt w:val="bullet"/>
      <w:lvlText w:val="o"/>
      <w:lvlJc w:val="left"/>
      <w:pPr>
        <w:ind w:left="4799" w:hanging="360"/>
      </w:pPr>
      <w:rPr>
        <w:rFonts w:ascii="Courier New" w:hAnsi="Courier New" w:cs="Courier New" w:hint="default"/>
      </w:rPr>
    </w:lvl>
    <w:lvl w:ilvl="5" w:tplc="0C0A0005">
      <w:start w:val="1"/>
      <w:numFmt w:val="bullet"/>
      <w:lvlText w:val=""/>
      <w:lvlJc w:val="left"/>
      <w:pPr>
        <w:ind w:left="5519" w:hanging="360"/>
      </w:pPr>
      <w:rPr>
        <w:rFonts w:ascii="Wingdings" w:hAnsi="Wingdings" w:hint="default"/>
      </w:rPr>
    </w:lvl>
    <w:lvl w:ilvl="6" w:tplc="0C0A0001">
      <w:start w:val="1"/>
      <w:numFmt w:val="bullet"/>
      <w:lvlText w:val=""/>
      <w:lvlJc w:val="left"/>
      <w:pPr>
        <w:ind w:left="6239" w:hanging="360"/>
      </w:pPr>
      <w:rPr>
        <w:rFonts w:ascii="Symbol" w:hAnsi="Symbol" w:hint="default"/>
      </w:rPr>
    </w:lvl>
    <w:lvl w:ilvl="7" w:tplc="0C0A0003">
      <w:start w:val="1"/>
      <w:numFmt w:val="bullet"/>
      <w:lvlText w:val="o"/>
      <w:lvlJc w:val="left"/>
      <w:pPr>
        <w:ind w:left="6959" w:hanging="360"/>
      </w:pPr>
      <w:rPr>
        <w:rFonts w:ascii="Courier New" w:hAnsi="Courier New" w:cs="Courier New" w:hint="default"/>
      </w:rPr>
    </w:lvl>
    <w:lvl w:ilvl="8" w:tplc="0C0A0005">
      <w:start w:val="1"/>
      <w:numFmt w:val="bullet"/>
      <w:lvlText w:val=""/>
      <w:lvlJc w:val="left"/>
      <w:pPr>
        <w:ind w:left="7679" w:hanging="360"/>
      </w:pPr>
      <w:rPr>
        <w:rFonts w:ascii="Wingdings" w:hAnsi="Wingdings" w:hint="default"/>
      </w:rPr>
    </w:lvl>
  </w:abstractNum>
  <w:abstractNum w:abstractNumId="12" w15:restartNumberingAfterBreak="0">
    <w:nsid w:val="2EEF34E8"/>
    <w:multiLevelType w:val="hybridMultilevel"/>
    <w:tmpl w:val="69F69148"/>
    <w:lvl w:ilvl="0" w:tplc="0C0A0001">
      <w:start w:val="1"/>
      <w:numFmt w:val="bullet"/>
      <w:lvlText w:val=""/>
      <w:lvlJc w:val="left"/>
      <w:pPr>
        <w:ind w:left="1919" w:hanging="360"/>
      </w:pPr>
      <w:rPr>
        <w:rFonts w:ascii="Symbol" w:hAnsi="Symbol" w:hint="default"/>
      </w:rPr>
    </w:lvl>
    <w:lvl w:ilvl="1" w:tplc="0C0A0003">
      <w:start w:val="1"/>
      <w:numFmt w:val="bullet"/>
      <w:lvlText w:val="o"/>
      <w:lvlJc w:val="left"/>
      <w:pPr>
        <w:ind w:left="2639" w:hanging="360"/>
      </w:pPr>
      <w:rPr>
        <w:rFonts w:ascii="Courier New" w:hAnsi="Courier New" w:cs="Courier New" w:hint="default"/>
      </w:rPr>
    </w:lvl>
    <w:lvl w:ilvl="2" w:tplc="0C0A0005">
      <w:start w:val="1"/>
      <w:numFmt w:val="bullet"/>
      <w:lvlText w:val=""/>
      <w:lvlJc w:val="left"/>
      <w:pPr>
        <w:ind w:left="3359" w:hanging="360"/>
      </w:pPr>
      <w:rPr>
        <w:rFonts w:ascii="Wingdings" w:hAnsi="Wingdings" w:hint="default"/>
      </w:rPr>
    </w:lvl>
    <w:lvl w:ilvl="3" w:tplc="0C0A0001">
      <w:start w:val="1"/>
      <w:numFmt w:val="bullet"/>
      <w:lvlText w:val=""/>
      <w:lvlJc w:val="left"/>
      <w:pPr>
        <w:ind w:left="4079" w:hanging="360"/>
      </w:pPr>
      <w:rPr>
        <w:rFonts w:ascii="Symbol" w:hAnsi="Symbol" w:hint="default"/>
      </w:rPr>
    </w:lvl>
    <w:lvl w:ilvl="4" w:tplc="0C0A0003">
      <w:start w:val="1"/>
      <w:numFmt w:val="bullet"/>
      <w:lvlText w:val="o"/>
      <w:lvlJc w:val="left"/>
      <w:pPr>
        <w:ind w:left="4799" w:hanging="360"/>
      </w:pPr>
      <w:rPr>
        <w:rFonts w:ascii="Courier New" w:hAnsi="Courier New" w:cs="Courier New" w:hint="default"/>
      </w:rPr>
    </w:lvl>
    <w:lvl w:ilvl="5" w:tplc="0C0A0005">
      <w:start w:val="1"/>
      <w:numFmt w:val="bullet"/>
      <w:lvlText w:val=""/>
      <w:lvlJc w:val="left"/>
      <w:pPr>
        <w:ind w:left="5519" w:hanging="360"/>
      </w:pPr>
      <w:rPr>
        <w:rFonts w:ascii="Wingdings" w:hAnsi="Wingdings" w:hint="default"/>
      </w:rPr>
    </w:lvl>
    <w:lvl w:ilvl="6" w:tplc="0C0A0001">
      <w:start w:val="1"/>
      <w:numFmt w:val="bullet"/>
      <w:lvlText w:val=""/>
      <w:lvlJc w:val="left"/>
      <w:pPr>
        <w:ind w:left="6239" w:hanging="360"/>
      </w:pPr>
      <w:rPr>
        <w:rFonts w:ascii="Symbol" w:hAnsi="Symbol" w:hint="default"/>
      </w:rPr>
    </w:lvl>
    <w:lvl w:ilvl="7" w:tplc="0C0A0003">
      <w:start w:val="1"/>
      <w:numFmt w:val="bullet"/>
      <w:lvlText w:val="o"/>
      <w:lvlJc w:val="left"/>
      <w:pPr>
        <w:ind w:left="6959" w:hanging="360"/>
      </w:pPr>
      <w:rPr>
        <w:rFonts w:ascii="Courier New" w:hAnsi="Courier New" w:cs="Courier New" w:hint="default"/>
      </w:rPr>
    </w:lvl>
    <w:lvl w:ilvl="8" w:tplc="0C0A0005">
      <w:start w:val="1"/>
      <w:numFmt w:val="bullet"/>
      <w:lvlText w:val=""/>
      <w:lvlJc w:val="left"/>
      <w:pPr>
        <w:ind w:left="7679"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8214D3"/>
    <w:multiLevelType w:val="multilevel"/>
    <w:tmpl w:val="3C3E6808"/>
    <w:lvl w:ilvl="0">
      <w:start w:val="1"/>
      <w:numFmt w:val="decimal"/>
      <w:lvlText w:val="%1."/>
      <w:lvlJc w:val="left"/>
      <w:pPr>
        <w:tabs>
          <w:tab w:val="num" w:pos="360"/>
        </w:tabs>
        <w:ind w:left="360" w:hanging="360"/>
      </w:pPr>
      <w:rPr>
        <w:sz w:val="22"/>
        <w:szCs w:val="22"/>
      </w:rPr>
    </w:lvl>
    <w:lvl w:ilvl="1">
      <w:numFmt w:val="decimal"/>
      <w:lvlText w:val="o"/>
      <w:lvlJc w:val="left"/>
      <w:pPr>
        <w:tabs>
          <w:tab w:val="num" w:pos="1080"/>
        </w:tabs>
        <w:ind w:left="1080" w:hanging="360"/>
      </w:pPr>
      <w:rPr>
        <w:rFonts w:ascii="Courier New" w:hAnsi="Courier New" w:cs="Times New Roman" w:hint="default"/>
        <w:sz w:val="20"/>
      </w:rPr>
    </w:lvl>
    <w:lvl w:ilvl="2">
      <w:numFmt w:val="decimal"/>
      <w:lvlText w:val=""/>
      <w:lvlJc w:val="left"/>
      <w:pPr>
        <w:tabs>
          <w:tab w:val="num" w:pos="1800"/>
        </w:tabs>
        <w:ind w:left="1800" w:hanging="360"/>
      </w:pPr>
      <w:rPr>
        <w:rFonts w:ascii="Wingdings" w:hAnsi="Wingdings" w:hint="default"/>
        <w:sz w:val="20"/>
      </w:rPr>
    </w:lvl>
    <w:lvl w:ilvl="3">
      <w:numFmt w:val="decimal"/>
      <w:lvlText w:val=""/>
      <w:lvlJc w:val="left"/>
      <w:pPr>
        <w:tabs>
          <w:tab w:val="num" w:pos="2520"/>
        </w:tabs>
        <w:ind w:left="2520" w:hanging="360"/>
      </w:pPr>
      <w:rPr>
        <w:rFonts w:ascii="Wingdings" w:hAnsi="Wingdings" w:hint="default"/>
        <w:sz w:val="20"/>
      </w:rPr>
    </w:lvl>
    <w:lvl w:ilvl="4">
      <w:numFmt w:val="decimal"/>
      <w:lvlText w:val=""/>
      <w:lvlJc w:val="left"/>
      <w:pPr>
        <w:tabs>
          <w:tab w:val="num" w:pos="3240"/>
        </w:tabs>
        <w:ind w:left="3240" w:hanging="360"/>
      </w:pPr>
      <w:rPr>
        <w:rFonts w:ascii="Wingdings" w:hAnsi="Wingdings" w:hint="default"/>
        <w:sz w:val="20"/>
      </w:rPr>
    </w:lvl>
    <w:lvl w:ilvl="5">
      <w:numFmt w:val="decimal"/>
      <w:lvlText w:val=""/>
      <w:lvlJc w:val="left"/>
      <w:pPr>
        <w:tabs>
          <w:tab w:val="num" w:pos="3960"/>
        </w:tabs>
        <w:ind w:left="3960" w:hanging="360"/>
      </w:pPr>
      <w:rPr>
        <w:rFonts w:ascii="Wingdings" w:hAnsi="Wingdings" w:hint="default"/>
        <w:sz w:val="20"/>
      </w:rPr>
    </w:lvl>
    <w:lvl w:ilvl="6">
      <w:numFmt w:val="decimal"/>
      <w:lvlText w:val=""/>
      <w:lvlJc w:val="left"/>
      <w:pPr>
        <w:tabs>
          <w:tab w:val="num" w:pos="4680"/>
        </w:tabs>
        <w:ind w:left="4680" w:hanging="360"/>
      </w:pPr>
      <w:rPr>
        <w:rFonts w:ascii="Wingdings" w:hAnsi="Wingdings" w:hint="default"/>
        <w:sz w:val="20"/>
      </w:rPr>
    </w:lvl>
    <w:lvl w:ilvl="7">
      <w:numFmt w:val="decimal"/>
      <w:lvlText w:val=""/>
      <w:lvlJc w:val="left"/>
      <w:pPr>
        <w:tabs>
          <w:tab w:val="num" w:pos="5400"/>
        </w:tabs>
        <w:ind w:left="5400" w:hanging="360"/>
      </w:pPr>
      <w:rPr>
        <w:rFonts w:ascii="Wingdings" w:hAnsi="Wingdings" w:hint="default"/>
        <w:sz w:val="20"/>
      </w:rPr>
    </w:lvl>
    <w:lvl w:ilvl="8">
      <w:numFmt w:val="decimal"/>
      <w:lvlText w:val=""/>
      <w:lvlJc w:val="left"/>
      <w:pPr>
        <w:tabs>
          <w:tab w:val="num" w:pos="6120"/>
        </w:tabs>
        <w:ind w:left="6120" w:hanging="360"/>
      </w:pPr>
      <w:rPr>
        <w:rFonts w:ascii="Wingdings" w:hAnsi="Wingdings" w:hint="default"/>
        <w:sz w:val="20"/>
      </w:rPr>
    </w:lvl>
  </w:abstractNum>
  <w:abstractNum w:abstractNumId="15" w15:restartNumberingAfterBreak="0">
    <w:nsid w:val="372E205E"/>
    <w:multiLevelType w:val="hybridMultilevel"/>
    <w:tmpl w:val="A2447C6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6" w15:restartNumberingAfterBreak="0">
    <w:nsid w:val="3D146DD0"/>
    <w:multiLevelType w:val="hybridMultilevel"/>
    <w:tmpl w:val="E3548E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D7F6152"/>
    <w:multiLevelType w:val="hybridMultilevel"/>
    <w:tmpl w:val="7F1606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D627311"/>
    <w:multiLevelType w:val="hybridMultilevel"/>
    <w:tmpl w:val="997CBE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C6E3AB8"/>
    <w:multiLevelType w:val="multilevel"/>
    <w:tmpl w:val="CEEA6782"/>
    <w:lvl w:ilvl="0">
      <w:start w:val="1"/>
      <w:numFmt w:val="decimal"/>
      <w:suff w:val="space"/>
      <w:lvlText w:val="%1."/>
      <w:lvlJc w:val="left"/>
      <w:pPr>
        <w:ind w:left="720" w:hanging="360"/>
      </w:pPr>
      <w:rPr>
        <w:sz w:val="22"/>
        <w:szCs w:val="22"/>
      </w:rPr>
    </w:lvl>
    <w:lvl w:ilvl="1">
      <w:start w:val="1"/>
      <w:numFmt w:val="decimal"/>
      <w:lvlText w:val="%2."/>
      <w:lvlJc w:val="left"/>
      <w:pPr>
        <w:ind w:left="1440" w:hanging="360"/>
      </w:pPr>
    </w:lvl>
    <w:lvl w:ilvl="2">
      <w:numFmt w:val="decimal"/>
      <w:lvlText w:val=""/>
      <w:lvlJc w:val="left"/>
      <w:pPr>
        <w:tabs>
          <w:tab w:val="num" w:pos="2160"/>
        </w:tabs>
        <w:ind w:left="2160" w:hanging="360"/>
      </w:pPr>
      <w:rPr>
        <w:rFonts w:ascii="Wingdings" w:hAnsi="Wingdings" w:hint="default"/>
        <w:sz w:val="20"/>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D27FE5"/>
    <w:multiLevelType w:val="multilevel"/>
    <w:tmpl w:val="4FE67BEA"/>
    <w:lvl w:ilvl="0">
      <w:start w:val="1"/>
      <w:numFmt w:val="decimal"/>
      <w:suff w:val="space"/>
      <w:lvlText w:val="%1."/>
      <w:lvlJc w:val="left"/>
      <w:pPr>
        <w:ind w:left="360" w:hanging="360"/>
      </w:pPr>
      <w:rPr>
        <w:sz w:val="20"/>
      </w:rPr>
    </w:lvl>
    <w:lvl w:ilvl="1">
      <w:start w:val="1"/>
      <w:numFmt w:val="decimal"/>
      <w:lvlText w:val="%2."/>
      <w:lvlJc w:val="left"/>
      <w:pPr>
        <w:ind w:left="1080" w:hanging="360"/>
      </w:pPr>
    </w:lvl>
    <w:lvl w:ilvl="2">
      <w:numFmt w:val="decimal"/>
      <w:lvlText w:val=""/>
      <w:lvlJc w:val="left"/>
      <w:pPr>
        <w:tabs>
          <w:tab w:val="num" w:pos="1800"/>
        </w:tabs>
        <w:ind w:left="1800" w:hanging="360"/>
      </w:pPr>
      <w:rPr>
        <w:rFonts w:ascii="Wingdings" w:hAnsi="Wingdings" w:hint="default"/>
        <w:sz w:val="20"/>
      </w:rPr>
    </w:lvl>
    <w:lvl w:ilvl="3">
      <w:numFmt w:val="decimal"/>
      <w:lvlText w:val=""/>
      <w:lvlJc w:val="left"/>
      <w:pPr>
        <w:tabs>
          <w:tab w:val="num" w:pos="2520"/>
        </w:tabs>
        <w:ind w:left="2520" w:hanging="360"/>
      </w:pPr>
      <w:rPr>
        <w:rFonts w:ascii="Wingdings" w:hAnsi="Wingdings" w:hint="default"/>
        <w:sz w:val="20"/>
      </w:rPr>
    </w:lvl>
    <w:lvl w:ilvl="4">
      <w:numFmt w:val="decimal"/>
      <w:lvlText w:val=""/>
      <w:lvlJc w:val="left"/>
      <w:pPr>
        <w:tabs>
          <w:tab w:val="num" w:pos="3240"/>
        </w:tabs>
        <w:ind w:left="3240" w:hanging="360"/>
      </w:pPr>
      <w:rPr>
        <w:rFonts w:ascii="Wingdings" w:hAnsi="Wingdings" w:hint="default"/>
        <w:sz w:val="20"/>
      </w:rPr>
    </w:lvl>
    <w:lvl w:ilvl="5">
      <w:numFmt w:val="decimal"/>
      <w:lvlText w:val=""/>
      <w:lvlJc w:val="left"/>
      <w:pPr>
        <w:tabs>
          <w:tab w:val="num" w:pos="3960"/>
        </w:tabs>
        <w:ind w:left="3960" w:hanging="360"/>
      </w:pPr>
      <w:rPr>
        <w:rFonts w:ascii="Wingdings" w:hAnsi="Wingdings" w:hint="default"/>
        <w:sz w:val="20"/>
      </w:rPr>
    </w:lvl>
    <w:lvl w:ilvl="6">
      <w:numFmt w:val="decimal"/>
      <w:lvlText w:val=""/>
      <w:lvlJc w:val="left"/>
      <w:pPr>
        <w:tabs>
          <w:tab w:val="num" w:pos="4680"/>
        </w:tabs>
        <w:ind w:left="4680" w:hanging="360"/>
      </w:pPr>
      <w:rPr>
        <w:rFonts w:ascii="Wingdings" w:hAnsi="Wingdings" w:hint="default"/>
        <w:sz w:val="20"/>
      </w:rPr>
    </w:lvl>
    <w:lvl w:ilvl="7">
      <w:numFmt w:val="decimal"/>
      <w:lvlText w:val=""/>
      <w:lvlJc w:val="left"/>
      <w:pPr>
        <w:tabs>
          <w:tab w:val="num" w:pos="5400"/>
        </w:tabs>
        <w:ind w:left="5400" w:hanging="360"/>
      </w:pPr>
      <w:rPr>
        <w:rFonts w:ascii="Wingdings" w:hAnsi="Wingdings" w:hint="default"/>
        <w:sz w:val="20"/>
      </w:rPr>
    </w:lvl>
    <w:lvl w:ilvl="8">
      <w:numFmt w:val="decimal"/>
      <w:lvlText w:val=""/>
      <w:lvlJc w:val="left"/>
      <w:pPr>
        <w:tabs>
          <w:tab w:val="num" w:pos="6120"/>
        </w:tabs>
        <w:ind w:left="6120" w:hanging="360"/>
      </w:pPr>
      <w:rPr>
        <w:rFonts w:ascii="Wingdings" w:hAnsi="Wingdings" w:hint="default"/>
        <w:sz w:val="20"/>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E25FFE"/>
    <w:multiLevelType w:val="multilevel"/>
    <w:tmpl w:val="7D0009F2"/>
    <w:lvl w:ilvl="0">
      <w:start w:val="1"/>
      <w:numFmt w:val="decimal"/>
      <w:suff w:val="space"/>
      <w:lvlText w:val="%1."/>
      <w:lvlJc w:val="left"/>
      <w:pPr>
        <w:ind w:left="360" w:hanging="360"/>
      </w:pPr>
      <w:rPr>
        <w:sz w:val="22"/>
        <w:szCs w:val="22"/>
      </w:rPr>
    </w:lvl>
    <w:lvl w:ilvl="1">
      <w:start w:val="1"/>
      <w:numFmt w:val="decimal"/>
      <w:lvlText w:val="%2."/>
      <w:lvlJc w:val="left"/>
      <w:pPr>
        <w:ind w:left="1080" w:hanging="360"/>
      </w:pPr>
    </w:lvl>
    <w:lvl w:ilvl="2">
      <w:numFmt w:val="decimal"/>
      <w:lvlText w:val=""/>
      <w:lvlJc w:val="left"/>
      <w:pPr>
        <w:tabs>
          <w:tab w:val="num" w:pos="1800"/>
        </w:tabs>
        <w:ind w:left="1800" w:hanging="360"/>
      </w:pPr>
      <w:rPr>
        <w:rFonts w:ascii="Wingdings" w:hAnsi="Wingdings" w:hint="default"/>
        <w:sz w:val="20"/>
      </w:rPr>
    </w:lvl>
    <w:lvl w:ilvl="3">
      <w:numFmt w:val="decimal"/>
      <w:lvlText w:val=""/>
      <w:lvlJc w:val="left"/>
      <w:pPr>
        <w:tabs>
          <w:tab w:val="num" w:pos="2520"/>
        </w:tabs>
        <w:ind w:left="2520" w:hanging="360"/>
      </w:pPr>
      <w:rPr>
        <w:rFonts w:ascii="Wingdings" w:hAnsi="Wingdings" w:hint="default"/>
        <w:sz w:val="20"/>
      </w:rPr>
    </w:lvl>
    <w:lvl w:ilvl="4">
      <w:numFmt w:val="decimal"/>
      <w:lvlText w:val=""/>
      <w:lvlJc w:val="left"/>
      <w:pPr>
        <w:tabs>
          <w:tab w:val="num" w:pos="3240"/>
        </w:tabs>
        <w:ind w:left="3240" w:hanging="360"/>
      </w:pPr>
      <w:rPr>
        <w:rFonts w:ascii="Wingdings" w:hAnsi="Wingdings" w:hint="default"/>
        <w:sz w:val="20"/>
      </w:rPr>
    </w:lvl>
    <w:lvl w:ilvl="5">
      <w:numFmt w:val="decimal"/>
      <w:lvlText w:val=""/>
      <w:lvlJc w:val="left"/>
      <w:pPr>
        <w:tabs>
          <w:tab w:val="num" w:pos="3960"/>
        </w:tabs>
        <w:ind w:left="3960" w:hanging="360"/>
      </w:pPr>
      <w:rPr>
        <w:rFonts w:ascii="Wingdings" w:hAnsi="Wingdings" w:hint="default"/>
        <w:sz w:val="20"/>
      </w:rPr>
    </w:lvl>
    <w:lvl w:ilvl="6">
      <w:numFmt w:val="decimal"/>
      <w:lvlText w:val=""/>
      <w:lvlJc w:val="left"/>
      <w:pPr>
        <w:tabs>
          <w:tab w:val="num" w:pos="4680"/>
        </w:tabs>
        <w:ind w:left="4680" w:hanging="360"/>
      </w:pPr>
      <w:rPr>
        <w:rFonts w:ascii="Wingdings" w:hAnsi="Wingdings" w:hint="default"/>
        <w:sz w:val="20"/>
      </w:rPr>
    </w:lvl>
    <w:lvl w:ilvl="7">
      <w:numFmt w:val="decimal"/>
      <w:lvlText w:val=""/>
      <w:lvlJc w:val="left"/>
      <w:pPr>
        <w:tabs>
          <w:tab w:val="num" w:pos="5400"/>
        </w:tabs>
        <w:ind w:left="5400" w:hanging="360"/>
      </w:pPr>
      <w:rPr>
        <w:rFonts w:ascii="Wingdings" w:hAnsi="Wingdings" w:hint="default"/>
        <w:sz w:val="20"/>
      </w:rPr>
    </w:lvl>
    <w:lvl w:ilvl="8">
      <w:numFmt w:val="decimal"/>
      <w:lvlText w:val=""/>
      <w:lvlJc w:val="left"/>
      <w:pPr>
        <w:tabs>
          <w:tab w:val="num" w:pos="6120"/>
        </w:tabs>
        <w:ind w:left="6120" w:hanging="360"/>
      </w:pPr>
      <w:rPr>
        <w:rFonts w:ascii="Wingdings" w:hAnsi="Wingdings" w:hint="default"/>
        <w:sz w:val="20"/>
      </w:rPr>
    </w:lvl>
  </w:abstractNum>
  <w:abstractNum w:abstractNumId="25" w15:restartNumberingAfterBreak="0">
    <w:nsid w:val="6F376220"/>
    <w:multiLevelType w:val="hybridMultilevel"/>
    <w:tmpl w:val="9A4CBCEE"/>
    <w:lvl w:ilvl="0" w:tplc="EB967684">
      <w:start w:val="1"/>
      <w:numFmt w:val="bullet"/>
      <w:lvlText w:val=""/>
      <w:lvlJc w:val="left"/>
      <w:pPr>
        <w:ind w:left="1919" w:hanging="360"/>
      </w:pPr>
      <w:rPr>
        <w:rFonts w:ascii="Symbol" w:hAnsi="Symbol" w:hint="default"/>
      </w:rPr>
    </w:lvl>
    <w:lvl w:ilvl="1" w:tplc="0C0A0003">
      <w:start w:val="1"/>
      <w:numFmt w:val="bullet"/>
      <w:lvlText w:val="o"/>
      <w:lvlJc w:val="left"/>
      <w:pPr>
        <w:ind w:left="2639" w:hanging="360"/>
      </w:pPr>
      <w:rPr>
        <w:rFonts w:ascii="Courier New" w:hAnsi="Courier New" w:cs="Courier New" w:hint="default"/>
      </w:rPr>
    </w:lvl>
    <w:lvl w:ilvl="2" w:tplc="0C0A0005">
      <w:start w:val="1"/>
      <w:numFmt w:val="bullet"/>
      <w:lvlText w:val=""/>
      <w:lvlJc w:val="left"/>
      <w:pPr>
        <w:ind w:left="3359" w:hanging="360"/>
      </w:pPr>
      <w:rPr>
        <w:rFonts w:ascii="Wingdings" w:hAnsi="Wingdings" w:hint="default"/>
      </w:rPr>
    </w:lvl>
    <w:lvl w:ilvl="3" w:tplc="0C0A0001">
      <w:start w:val="1"/>
      <w:numFmt w:val="bullet"/>
      <w:lvlText w:val=""/>
      <w:lvlJc w:val="left"/>
      <w:pPr>
        <w:ind w:left="4079" w:hanging="360"/>
      </w:pPr>
      <w:rPr>
        <w:rFonts w:ascii="Symbol" w:hAnsi="Symbol" w:hint="default"/>
      </w:rPr>
    </w:lvl>
    <w:lvl w:ilvl="4" w:tplc="0C0A0003">
      <w:start w:val="1"/>
      <w:numFmt w:val="bullet"/>
      <w:lvlText w:val="o"/>
      <w:lvlJc w:val="left"/>
      <w:pPr>
        <w:ind w:left="4799" w:hanging="360"/>
      </w:pPr>
      <w:rPr>
        <w:rFonts w:ascii="Courier New" w:hAnsi="Courier New" w:cs="Courier New" w:hint="default"/>
      </w:rPr>
    </w:lvl>
    <w:lvl w:ilvl="5" w:tplc="0C0A0005">
      <w:start w:val="1"/>
      <w:numFmt w:val="bullet"/>
      <w:lvlText w:val=""/>
      <w:lvlJc w:val="left"/>
      <w:pPr>
        <w:ind w:left="5519" w:hanging="360"/>
      </w:pPr>
      <w:rPr>
        <w:rFonts w:ascii="Wingdings" w:hAnsi="Wingdings" w:hint="default"/>
      </w:rPr>
    </w:lvl>
    <w:lvl w:ilvl="6" w:tplc="0C0A0001">
      <w:start w:val="1"/>
      <w:numFmt w:val="bullet"/>
      <w:lvlText w:val=""/>
      <w:lvlJc w:val="left"/>
      <w:pPr>
        <w:ind w:left="6239" w:hanging="360"/>
      </w:pPr>
      <w:rPr>
        <w:rFonts w:ascii="Symbol" w:hAnsi="Symbol" w:hint="default"/>
      </w:rPr>
    </w:lvl>
    <w:lvl w:ilvl="7" w:tplc="0C0A0003">
      <w:start w:val="1"/>
      <w:numFmt w:val="bullet"/>
      <w:lvlText w:val="o"/>
      <w:lvlJc w:val="left"/>
      <w:pPr>
        <w:ind w:left="6959" w:hanging="360"/>
      </w:pPr>
      <w:rPr>
        <w:rFonts w:ascii="Courier New" w:hAnsi="Courier New" w:cs="Courier New" w:hint="default"/>
      </w:rPr>
    </w:lvl>
    <w:lvl w:ilvl="8" w:tplc="0C0A0005">
      <w:start w:val="1"/>
      <w:numFmt w:val="bullet"/>
      <w:lvlText w:val=""/>
      <w:lvlJc w:val="left"/>
      <w:pPr>
        <w:ind w:left="7679" w:hanging="360"/>
      </w:pPr>
      <w:rPr>
        <w:rFonts w:ascii="Wingdings" w:hAnsi="Wingdings" w:hint="default"/>
      </w:rPr>
    </w:lvl>
  </w:abstractNum>
  <w:abstractNum w:abstractNumId="26" w15:restartNumberingAfterBreak="0">
    <w:nsid w:val="72980464"/>
    <w:multiLevelType w:val="hybridMultilevel"/>
    <w:tmpl w:val="4BBCCF9A"/>
    <w:lvl w:ilvl="0" w:tplc="0C0A0001">
      <w:start w:val="1"/>
      <w:numFmt w:val="bullet"/>
      <w:lvlText w:val=""/>
      <w:lvlJc w:val="left"/>
      <w:pPr>
        <w:ind w:left="1919" w:hanging="360"/>
      </w:pPr>
      <w:rPr>
        <w:rFonts w:ascii="Symbol" w:hAnsi="Symbol" w:hint="default"/>
      </w:rPr>
    </w:lvl>
    <w:lvl w:ilvl="1" w:tplc="0C0A0003">
      <w:start w:val="1"/>
      <w:numFmt w:val="bullet"/>
      <w:lvlText w:val="o"/>
      <w:lvlJc w:val="left"/>
      <w:pPr>
        <w:ind w:left="2639" w:hanging="360"/>
      </w:pPr>
      <w:rPr>
        <w:rFonts w:ascii="Courier New" w:hAnsi="Courier New" w:cs="Courier New" w:hint="default"/>
      </w:rPr>
    </w:lvl>
    <w:lvl w:ilvl="2" w:tplc="0C0A0005">
      <w:start w:val="1"/>
      <w:numFmt w:val="bullet"/>
      <w:lvlText w:val=""/>
      <w:lvlJc w:val="left"/>
      <w:pPr>
        <w:ind w:left="3359" w:hanging="360"/>
      </w:pPr>
      <w:rPr>
        <w:rFonts w:ascii="Wingdings" w:hAnsi="Wingdings" w:hint="default"/>
      </w:rPr>
    </w:lvl>
    <w:lvl w:ilvl="3" w:tplc="0C0A0001">
      <w:start w:val="1"/>
      <w:numFmt w:val="bullet"/>
      <w:lvlText w:val=""/>
      <w:lvlJc w:val="left"/>
      <w:pPr>
        <w:ind w:left="4079" w:hanging="360"/>
      </w:pPr>
      <w:rPr>
        <w:rFonts w:ascii="Symbol" w:hAnsi="Symbol" w:hint="default"/>
      </w:rPr>
    </w:lvl>
    <w:lvl w:ilvl="4" w:tplc="0C0A0003">
      <w:start w:val="1"/>
      <w:numFmt w:val="bullet"/>
      <w:lvlText w:val="o"/>
      <w:lvlJc w:val="left"/>
      <w:pPr>
        <w:ind w:left="4799" w:hanging="360"/>
      </w:pPr>
      <w:rPr>
        <w:rFonts w:ascii="Courier New" w:hAnsi="Courier New" w:cs="Courier New" w:hint="default"/>
      </w:rPr>
    </w:lvl>
    <w:lvl w:ilvl="5" w:tplc="0C0A0005">
      <w:start w:val="1"/>
      <w:numFmt w:val="bullet"/>
      <w:lvlText w:val=""/>
      <w:lvlJc w:val="left"/>
      <w:pPr>
        <w:ind w:left="5519" w:hanging="360"/>
      </w:pPr>
      <w:rPr>
        <w:rFonts w:ascii="Wingdings" w:hAnsi="Wingdings" w:hint="default"/>
      </w:rPr>
    </w:lvl>
    <w:lvl w:ilvl="6" w:tplc="0C0A0001">
      <w:start w:val="1"/>
      <w:numFmt w:val="bullet"/>
      <w:lvlText w:val=""/>
      <w:lvlJc w:val="left"/>
      <w:pPr>
        <w:ind w:left="6239" w:hanging="360"/>
      </w:pPr>
      <w:rPr>
        <w:rFonts w:ascii="Symbol" w:hAnsi="Symbol" w:hint="default"/>
      </w:rPr>
    </w:lvl>
    <w:lvl w:ilvl="7" w:tplc="0C0A0003">
      <w:start w:val="1"/>
      <w:numFmt w:val="bullet"/>
      <w:lvlText w:val="o"/>
      <w:lvlJc w:val="left"/>
      <w:pPr>
        <w:ind w:left="6959" w:hanging="360"/>
      </w:pPr>
      <w:rPr>
        <w:rFonts w:ascii="Courier New" w:hAnsi="Courier New" w:cs="Courier New" w:hint="default"/>
      </w:rPr>
    </w:lvl>
    <w:lvl w:ilvl="8" w:tplc="0C0A0005">
      <w:start w:val="1"/>
      <w:numFmt w:val="bullet"/>
      <w:lvlText w:val=""/>
      <w:lvlJc w:val="left"/>
      <w:pPr>
        <w:ind w:left="7679" w:hanging="360"/>
      </w:pPr>
      <w:rPr>
        <w:rFonts w:ascii="Wingdings" w:hAnsi="Wingdings" w:hint="default"/>
      </w:rPr>
    </w:lvl>
  </w:abstractNum>
  <w:abstractNum w:abstractNumId="27" w15:restartNumberingAfterBreak="0">
    <w:nsid w:val="753E1717"/>
    <w:multiLevelType w:val="hybridMultilevel"/>
    <w:tmpl w:val="83640900"/>
    <w:lvl w:ilvl="0" w:tplc="9FBEA424">
      <w:start w:val="23"/>
      <w:numFmt w:val="bullet"/>
      <w:lvlText w:val="-"/>
      <w:lvlJc w:val="left"/>
      <w:pPr>
        <w:ind w:left="1854" w:hanging="360"/>
      </w:pPr>
      <w:rPr>
        <w:rFonts w:ascii="ArialMT" w:eastAsiaTheme="minorHAnsi" w:hAnsi="ArialMT" w:cs="ArialMT"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start w:val="1"/>
      <w:numFmt w:val="bullet"/>
      <w:lvlText w:val=""/>
      <w:lvlJc w:val="left"/>
      <w:pPr>
        <w:ind w:left="4014" w:hanging="360"/>
      </w:pPr>
      <w:rPr>
        <w:rFonts w:ascii="Symbol" w:hAnsi="Symbol" w:hint="default"/>
      </w:rPr>
    </w:lvl>
    <w:lvl w:ilvl="4" w:tplc="0C0A0003">
      <w:start w:val="1"/>
      <w:numFmt w:val="bullet"/>
      <w:lvlText w:val="o"/>
      <w:lvlJc w:val="left"/>
      <w:pPr>
        <w:ind w:left="4734" w:hanging="360"/>
      </w:pPr>
      <w:rPr>
        <w:rFonts w:ascii="Courier New" w:hAnsi="Courier New" w:cs="Courier New" w:hint="default"/>
      </w:rPr>
    </w:lvl>
    <w:lvl w:ilvl="5" w:tplc="0C0A0005">
      <w:start w:val="1"/>
      <w:numFmt w:val="bullet"/>
      <w:lvlText w:val=""/>
      <w:lvlJc w:val="left"/>
      <w:pPr>
        <w:ind w:left="5454" w:hanging="360"/>
      </w:pPr>
      <w:rPr>
        <w:rFonts w:ascii="Wingdings" w:hAnsi="Wingdings" w:hint="default"/>
      </w:rPr>
    </w:lvl>
    <w:lvl w:ilvl="6" w:tplc="0C0A0001">
      <w:start w:val="1"/>
      <w:numFmt w:val="bullet"/>
      <w:lvlText w:val=""/>
      <w:lvlJc w:val="left"/>
      <w:pPr>
        <w:ind w:left="6174" w:hanging="360"/>
      </w:pPr>
      <w:rPr>
        <w:rFonts w:ascii="Symbol" w:hAnsi="Symbol" w:hint="default"/>
      </w:rPr>
    </w:lvl>
    <w:lvl w:ilvl="7" w:tplc="0C0A0003">
      <w:start w:val="1"/>
      <w:numFmt w:val="bullet"/>
      <w:lvlText w:val="o"/>
      <w:lvlJc w:val="left"/>
      <w:pPr>
        <w:ind w:left="6894" w:hanging="360"/>
      </w:pPr>
      <w:rPr>
        <w:rFonts w:ascii="Courier New" w:hAnsi="Courier New" w:cs="Courier New" w:hint="default"/>
      </w:rPr>
    </w:lvl>
    <w:lvl w:ilvl="8" w:tplc="0C0A0005">
      <w:start w:val="1"/>
      <w:numFmt w:val="bullet"/>
      <w:lvlText w:val=""/>
      <w:lvlJc w:val="left"/>
      <w:pPr>
        <w:ind w:left="7614" w:hanging="360"/>
      </w:pPr>
      <w:rPr>
        <w:rFonts w:ascii="Wingdings" w:hAnsi="Wingdings" w:hint="default"/>
      </w:r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0"/>
  </w:num>
  <w:num w:numId="3">
    <w:abstractNumId w:val="0"/>
  </w:num>
  <w:num w:numId="4">
    <w:abstractNumId w:val="20"/>
  </w:num>
  <w:num w:numId="5">
    <w:abstractNumId w:val="21"/>
  </w:num>
  <w:num w:numId="6">
    <w:abstractNumId w:val="28"/>
  </w:num>
  <w:num w:numId="7">
    <w:abstractNumId w:val="8"/>
  </w:num>
  <w:num w:numId="8">
    <w:abstractNumId w:val="2"/>
  </w:num>
  <w:num w:numId="9">
    <w:abstractNumId w:val="23"/>
  </w:num>
  <w:num w:numId="10">
    <w:abstractNumId w:val="2"/>
  </w:num>
  <w:num w:numId="11">
    <w:abstractNumId w:val="23"/>
  </w:num>
  <w:num w:numId="12">
    <w:abstractNumId w:val="3"/>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9"/>
  </w:num>
  <w:num w:numId="23">
    <w:abstractNumId w:val="22"/>
  </w:num>
  <w:num w:numId="24">
    <w:abstractNumId w:val="11"/>
  </w:num>
  <w:num w:numId="25">
    <w:abstractNumId w:val="12"/>
  </w:num>
  <w:num w:numId="26">
    <w:abstractNumId w:val="5"/>
  </w:num>
  <w:num w:numId="27">
    <w:abstractNumId w:val="26"/>
  </w:num>
  <w:num w:numId="28">
    <w:abstractNumId w:val="4"/>
  </w:num>
  <w:num w:numId="29">
    <w:abstractNumId w:val="25"/>
  </w:num>
  <w:num w:numId="30">
    <w:abstractNumId w:val="27"/>
  </w:num>
  <w:num w:numId="31">
    <w:abstractNumId w:val="1"/>
  </w:num>
  <w:num w:numId="32">
    <w:abstractNumId w:val="1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567"/>
  <w:hyphenationZone w:val="425"/>
  <w:evenAndOddHeaders/>
  <w:characterSpacingControl w:val="doNotCompress"/>
  <w:hdrShapeDefaults>
    <o:shapedefaults v:ext="edit" spidmax="2252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8F"/>
    <w:rsid w:val="00014A3A"/>
    <w:rsid w:val="000307FB"/>
    <w:rsid w:val="00046E92"/>
    <w:rsid w:val="00063C90"/>
    <w:rsid w:val="00101B98"/>
    <w:rsid w:val="001514D1"/>
    <w:rsid w:val="00154DB1"/>
    <w:rsid w:val="00173068"/>
    <w:rsid w:val="001A2DF2"/>
    <w:rsid w:val="001C4591"/>
    <w:rsid w:val="002233F4"/>
    <w:rsid w:val="00247E2C"/>
    <w:rsid w:val="002A32CB"/>
    <w:rsid w:val="002D5B2C"/>
    <w:rsid w:val="002D6C53"/>
    <w:rsid w:val="002F5595"/>
    <w:rsid w:val="00334F6A"/>
    <w:rsid w:val="00342AC8"/>
    <w:rsid w:val="00343302"/>
    <w:rsid w:val="003979DE"/>
    <w:rsid w:val="003B4550"/>
    <w:rsid w:val="003B48A1"/>
    <w:rsid w:val="003D2A18"/>
    <w:rsid w:val="003D40BA"/>
    <w:rsid w:val="00413386"/>
    <w:rsid w:val="00461253"/>
    <w:rsid w:val="00476E9D"/>
    <w:rsid w:val="004858F5"/>
    <w:rsid w:val="004A2814"/>
    <w:rsid w:val="004C0622"/>
    <w:rsid w:val="00501683"/>
    <w:rsid w:val="005042C2"/>
    <w:rsid w:val="00567AF7"/>
    <w:rsid w:val="005E5AFC"/>
    <w:rsid w:val="005E6213"/>
    <w:rsid w:val="005E716E"/>
    <w:rsid w:val="00626510"/>
    <w:rsid w:val="00631884"/>
    <w:rsid w:val="006476E1"/>
    <w:rsid w:val="006604DF"/>
    <w:rsid w:val="006676CF"/>
    <w:rsid w:val="00671529"/>
    <w:rsid w:val="0070489D"/>
    <w:rsid w:val="007173E6"/>
    <w:rsid w:val="007268F9"/>
    <w:rsid w:val="00732AEF"/>
    <w:rsid w:val="0073605C"/>
    <w:rsid w:val="00750282"/>
    <w:rsid w:val="00764440"/>
    <w:rsid w:val="0077101B"/>
    <w:rsid w:val="0079428F"/>
    <w:rsid w:val="007C52B0"/>
    <w:rsid w:val="007C6033"/>
    <w:rsid w:val="00810BFD"/>
    <w:rsid w:val="008147C8"/>
    <w:rsid w:val="0081753A"/>
    <w:rsid w:val="00857D23"/>
    <w:rsid w:val="008A4742"/>
    <w:rsid w:val="008B3A10"/>
    <w:rsid w:val="008C378F"/>
    <w:rsid w:val="009033A8"/>
    <w:rsid w:val="00915483"/>
    <w:rsid w:val="009411B4"/>
    <w:rsid w:val="00946F1D"/>
    <w:rsid w:val="00971A8E"/>
    <w:rsid w:val="009D0139"/>
    <w:rsid w:val="009D717D"/>
    <w:rsid w:val="009F2F22"/>
    <w:rsid w:val="009F5CDC"/>
    <w:rsid w:val="00A072D7"/>
    <w:rsid w:val="00A775CF"/>
    <w:rsid w:val="00AD1A9C"/>
    <w:rsid w:val="00AF5DE1"/>
    <w:rsid w:val="00B06045"/>
    <w:rsid w:val="00B206DD"/>
    <w:rsid w:val="00B43079"/>
    <w:rsid w:val="00B52EF4"/>
    <w:rsid w:val="00B777AD"/>
    <w:rsid w:val="00BE2BF6"/>
    <w:rsid w:val="00C03015"/>
    <w:rsid w:val="00C0358D"/>
    <w:rsid w:val="00C242DB"/>
    <w:rsid w:val="00C338D1"/>
    <w:rsid w:val="00C3449C"/>
    <w:rsid w:val="00C35A27"/>
    <w:rsid w:val="00C47B2E"/>
    <w:rsid w:val="00CF4A45"/>
    <w:rsid w:val="00D34D16"/>
    <w:rsid w:val="00D63CD2"/>
    <w:rsid w:val="00D800E6"/>
    <w:rsid w:val="00D87DC2"/>
    <w:rsid w:val="00D94B05"/>
    <w:rsid w:val="00E02C2B"/>
    <w:rsid w:val="00E21C27"/>
    <w:rsid w:val="00E26BCF"/>
    <w:rsid w:val="00E40FFC"/>
    <w:rsid w:val="00E424C0"/>
    <w:rsid w:val="00E52109"/>
    <w:rsid w:val="00E74AA0"/>
    <w:rsid w:val="00E75317"/>
    <w:rsid w:val="00E97518"/>
    <w:rsid w:val="00EC0CE6"/>
    <w:rsid w:val="00EC7C1D"/>
    <w:rsid w:val="00ED6C48"/>
    <w:rsid w:val="00EE20F5"/>
    <w:rsid w:val="00EE3045"/>
    <w:rsid w:val="00F03C76"/>
    <w:rsid w:val="00F045D2"/>
    <w:rsid w:val="00F65F5D"/>
    <w:rsid w:val="00F86A3A"/>
    <w:rsid w:val="00FA0AF4"/>
    <w:rsid w:val="00FB1293"/>
    <w:rsid w:val="00FF7340"/>
    <w:rsid w:val="00FF7E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31E65E"/>
  <w15:docId w15:val="{9AF6F38A-7DE7-4840-A8E0-FFB0C1AA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9033A8"/>
    <w:pPr>
      <w:ind w:left="720"/>
      <w:contextualSpacing/>
    </w:pPr>
  </w:style>
  <w:style w:type="character" w:customStyle="1" w:styleId="HChGChar">
    <w:name w:val="_ H _Ch_G Char"/>
    <w:link w:val="HChG"/>
    <w:locked/>
    <w:rsid w:val="009033A8"/>
    <w:rPr>
      <w:b/>
      <w:sz w:val="28"/>
    </w:rPr>
  </w:style>
  <w:style w:type="character" w:customStyle="1" w:styleId="SingleTxtGChar">
    <w:name w:val="_ Single Txt_G Char"/>
    <w:link w:val="SingleTxtG"/>
    <w:qFormat/>
    <w:locked/>
    <w:rsid w:val="009033A8"/>
  </w:style>
  <w:style w:type="character" w:styleId="CommentReference">
    <w:name w:val="annotation reference"/>
    <w:basedOn w:val="DefaultParagraphFont"/>
    <w:uiPriority w:val="99"/>
    <w:semiHidden/>
    <w:unhideWhenUsed/>
    <w:rsid w:val="00C242DB"/>
    <w:rPr>
      <w:sz w:val="16"/>
      <w:szCs w:val="16"/>
    </w:rPr>
  </w:style>
  <w:style w:type="paragraph" w:styleId="CommentText">
    <w:name w:val="annotation text"/>
    <w:basedOn w:val="Normal"/>
    <w:link w:val="CommentTextChar"/>
    <w:uiPriority w:val="99"/>
    <w:semiHidden/>
    <w:unhideWhenUsed/>
    <w:rsid w:val="00C242DB"/>
    <w:pPr>
      <w:spacing w:line="240" w:lineRule="auto"/>
    </w:pPr>
  </w:style>
  <w:style w:type="character" w:customStyle="1" w:styleId="CommentTextChar">
    <w:name w:val="Comment Text Char"/>
    <w:basedOn w:val="DefaultParagraphFont"/>
    <w:link w:val="CommentText"/>
    <w:uiPriority w:val="99"/>
    <w:semiHidden/>
    <w:rsid w:val="00C242DB"/>
  </w:style>
  <w:style w:type="paragraph" w:styleId="CommentSubject">
    <w:name w:val="annotation subject"/>
    <w:basedOn w:val="CommentText"/>
    <w:next w:val="CommentText"/>
    <w:link w:val="CommentSubjectChar"/>
    <w:uiPriority w:val="99"/>
    <w:semiHidden/>
    <w:unhideWhenUsed/>
    <w:rsid w:val="00C242DB"/>
    <w:rPr>
      <w:b/>
      <w:bCs/>
    </w:rPr>
  </w:style>
  <w:style w:type="character" w:customStyle="1" w:styleId="CommentSubjectChar">
    <w:name w:val="Comment Subject Char"/>
    <w:basedOn w:val="CommentTextChar"/>
    <w:link w:val="CommentSubject"/>
    <w:uiPriority w:val="99"/>
    <w:semiHidden/>
    <w:rsid w:val="00C24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1253">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8198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0E70A-602D-476D-A20E-91F28EFF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93</TotalTime>
  <Pages>4</Pages>
  <Words>1380</Words>
  <Characters>7867</Characters>
  <Application>Microsoft Office Word</Application>
  <DocSecurity>0</DocSecurity>
  <Lines>65</Lines>
  <Paragraphs>18</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ST/SG/AC.10/C.3/2020/38</vt:lpstr>
      <vt:lpstr>ST/SG/AC.10/C.3/2020/38</vt:lpstr>
      <vt:lpstr>ST/SG/AC.10/C.3/2020/38</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ST/SG/AC.10/C.3/2020/38</dc:title>
  <dc:subject/>
  <dc:creator>Editorial</dc:creator>
  <cp:lastModifiedBy>Laurence Berthet</cp:lastModifiedBy>
  <cp:revision>7</cp:revision>
  <cp:lastPrinted>2020-09-09T08:02:00Z</cp:lastPrinted>
  <dcterms:created xsi:type="dcterms:W3CDTF">2020-09-08T13:38:00Z</dcterms:created>
  <dcterms:modified xsi:type="dcterms:W3CDTF">2020-09-09T08:02:00Z</dcterms:modified>
</cp:coreProperties>
</file>