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DF9F62F" w14:textId="77777777" w:rsidTr="00F01738">
        <w:trPr>
          <w:trHeight w:hRule="exact" w:val="851"/>
        </w:trPr>
        <w:tc>
          <w:tcPr>
            <w:tcW w:w="1276" w:type="dxa"/>
            <w:tcBorders>
              <w:bottom w:val="single" w:sz="4" w:space="0" w:color="auto"/>
            </w:tcBorders>
          </w:tcPr>
          <w:p w14:paraId="20EC6CF7" w14:textId="77777777" w:rsidR="00132EA9" w:rsidRPr="00DB58B5" w:rsidRDefault="00132EA9" w:rsidP="00B250D5">
            <w:bookmarkStart w:id="0" w:name="_GoBack"/>
            <w:bookmarkEnd w:id="0"/>
          </w:p>
        </w:tc>
        <w:tc>
          <w:tcPr>
            <w:tcW w:w="2268" w:type="dxa"/>
            <w:tcBorders>
              <w:bottom w:val="single" w:sz="4" w:space="0" w:color="auto"/>
            </w:tcBorders>
            <w:vAlign w:val="bottom"/>
          </w:tcPr>
          <w:p w14:paraId="291D0C1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655EFD" w14:textId="77777777" w:rsidR="00132EA9" w:rsidRPr="00DB58B5" w:rsidRDefault="00B250D5" w:rsidP="00B250D5">
            <w:pPr>
              <w:jc w:val="right"/>
            </w:pPr>
            <w:r w:rsidRPr="00B250D5">
              <w:rPr>
                <w:sz w:val="40"/>
              </w:rPr>
              <w:t>ST</w:t>
            </w:r>
            <w:r>
              <w:t>/SG/AC.10/C.3/2020/36</w:t>
            </w:r>
          </w:p>
        </w:tc>
      </w:tr>
      <w:tr w:rsidR="00132EA9" w:rsidRPr="00DB58B5" w14:paraId="215D92C3" w14:textId="77777777" w:rsidTr="00F01738">
        <w:trPr>
          <w:trHeight w:hRule="exact" w:val="2835"/>
        </w:trPr>
        <w:tc>
          <w:tcPr>
            <w:tcW w:w="1276" w:type="dxa"/>
            <w:tcBorders>
              <w:top w:val="single" w:sz="4" w:space="0" w:color="auto"/>
              <w:bottom w:val="single" w:sz="12" w:space="0" w:color="auto"/>
            </w:tcBorders>
          </w:tcPr>
          <w:p w14:paraId="796666F3" w14:textId="77777777" w:rsidR="00132EA9" w:rsidRPr="00DB58B5" w:rsidRDefault="00132EA9" w:rsidP="00F01738">
            <w:pPr>
              <w:spacing w:before="120"/>
              <w:jc w:val="center"/>
            </w:pPr>
            <w:r>
              <w:rPr>
                <w:noProof/>
                <w:lang w:eastAsia="fr-CH"/>
              </w:rPr>
              <w:drawing>
                <wp:inline distT="0" distB="0" distL="0" distR="0" wp14:anchorId="7805540D" wp14:editId="7F767B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887E7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768CE15" w14:textId="77777777" w:rsidR="00132EA9" w:rsidRDefault="00B250D5" w:rsidP="00F01738">
            <w:pPr>
              <w:spacing w:before="240"/>
            </w:pPr>
            <w:proofErr w:type="spellStart"/>
            <w:r>
              <w:t>Distr</w:t>
            </w:r>
            <w:proofErr w:type="spellEnd"/>
            <w:r>
              <w:t xml:space="preserve">. </w:t>
            </w:r>
            <w:proofErr w:type="gramStart"/>
            <w:r>
              <w:t>générale</w:t>
            </w:r>
            <w:proofErr w:type="gramEnd"/>
          </w:p>
          <w:p w14:paraId="6AB6EB92" w14:textId="77777777" w:rsidR="00B250D5" w:rsidRDefault="00B250D5" w:rsidP="00B250D5">
            <w:pPr>
              <w:spacing w:line="240" w:lineRule="exact"/>
            </w:pPr>
            <w:r>
              <w:t>8 avril 2020</w:t>
            </w:r>
          </w:p>
          <w:p w14:paraId="0678281E" w14:textId="77777777" w:rsidR="00B250D5" w:rsidRDefault="00B250D5" w:rsidP="00B250D5">
            <w:pPr>
              <w:spacing w:line="240" w:lineRule="exact"/>
            </w:pPr>
            <w:r>
              <w:t>Français</w:t>
            </w:r>
          </w:p>
          <w:p w14:paraId="4AA7C5D6" w14:textId="77777777" w:rsidR="00B250D5" w:rsidRPr="00DB58B5" w:rsidRDefault="00B250D5" w:rsidP="00B250D5">
            <w:pPr>
              <w:spacing w:line="240" w:lineRule="exact"/>
            </w:pPr>
            <w:r>
              <w:t>Original : anglais</w:t>
            </w:r>
          </w:p>
        </w:tc>
      </w:tr>
    </w:tbl>
    <w:p w14:paraId="1DD40B86" w14:textId="77777777" w:rsidR="00B250D5" w:rsidRPr="00CA0680" w:rsidRDefault="00B250D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ACACE7F" w14:textId="77777777" w:rsidR="00B250D5" w:rsidRPr="00CA0680" w:rsidRDefault="00B250D5" w:rsidP="000305D3">
      <w:pPr>
        <w:spacing w:before="120"/>
        <w:rPr>
          <w:b/>
        </w:rPr>
      </w:pPr>
      <w:r w:rsidRPr="00CA0680">
        <w:rPr>
          <w:b/>
        </w:rPr>
        <w:t>Sous</w:t>
      </w:r>
      <w:r>
        <w:rPr>
          <w:b/>
        </w:rPr>
        <w:t>-</w:t>
      </w:r>
      <w:r w:rsidRPr="00CA0680">
        <w:rPr>
          <w:b/>
        </w:rPr>
        <w:t>Comité d’experts du transport des marchandises dangereuses</w:t>
      </w:r>
    </w:p>
    <w:p w14:paraId="0160CE89" w14:textId="77777777" w:rsidR="00F65237" w:rsidRPr="00BA2FBC" w:rsidRDefault="00F65237" w:rsidP="00F65237">
      <w:pPr>
        <w:spacing w:before="120" w:line="240" w:lineRule="auto"/>
        <w:rPr>
          <w:b/>
        </w:rPr>
      </w:pPr>
      <w:r w:rsidRPr="00BA2FBC">
        <w:rPr>
          <w:b/>
          <w:bCs/>
        </w:rPr>
        <w:t>Cinquante-septième session</w:t>
      </w:r>
    </w:p>
    <w:p w14:paraId="79DFFC90" w14:textId="77777777" w:rsidR="00F65237" w:rsidRPr="00BA2FBC" w:rsidRDefault="00F65237" w:rsidP="00F65237">
      <w:pPr>
        <w:spacing w:line="240" w:lineRule="auto"/>
      </w:pPr>
      <w:r w:rsidRPr="00BA2FBC">
        <w:t>Genève, 29 juin-8 juillet 2020</w:t>
      </w:r>
    </w:p>
    <w:p w14:paraId="20E91342" w14:textId="77777777" w:rsidR="00F65237" w:rsidRPr="00BA2FBC" w:rsidRDefault="00F65237" w:rsidP="00F65237">
      <w:pPr>
        <w:spacing w:line="240" w:lineRule="auto"/>
      </w:pPr>
      <w:r w:rsidRPr="00BA2FBC">
        <w:t>Point 6 b) de l’ordre du jour provisoire</w:t>
      </w:r>
    </w:p>
    <w:p w14:paraId="28947C0E" w14:textId="77777777" w:rsidR="00F65237" w:rsidRPr="00BA2FBC" w:rsidRDefault="00F65237" w:rsidP="00F65237">
      <w:pPr>
        <w:spacing w:line="240" w:lineRule="auto"/>
        <w:rPr>
          <w:b/>
          <w:bCs/>
        </w:rPr>
      </w:pPr>
      <w:r w:rsidRPr="00BA2FBC">
        <w:rPr>
          <w:b/>
          <w:bCs/>
        </w:rPr>
        <w:t xml:space="preserve">Propositions diverses d’amendements au Règlement type pour le transport </w:t>
      </w:r>
      <w:r>
        <w:rPr>
          <w:b/>
          <w:bCs/>
        </w:rPr>
        <w:br/>
      </w:r>
      <w:r w:rsidRPr="00BA2FBC">
        <w:rPr>
          <w:b/>
          <w:bCs/>
        </w:rPr>
        <w:t>des marchandises dangereuses</w:t>
      </w:r>
      <w:r>
        <w:rPr>
          <w:b/>
          <w:bCs/>
        </w:rPr>
        <w:t> </w:t>
      </w:r>
      <w:r w:rsidRPr="00BA2FBC">
        <w:rPr>
          <w:b/>
          <w:bCs/>
        </w:rPr>
        <w:t xml:space="preserve">: </w:t>
      </w:r>
      <w:r>
        <w:rPr>
          <w:b/>
          <w:bCs/>
        </w:rPr>
        <w:t>e</w:t>
      </w:r>
      <w:r w:rsidRPr="00BA2FBC">
        <w:rPr>
          <w:b/>
          <w:bCs/>
        </w:rPr>
        <w:t>mballages</w:t>
      </w:r>
    </w:p>
    <w:p w14:paraId="6367FDF3" w14:textId="77777777" w:rsidR="00F65237" w:rsidRPr="00BA2FBC" w:rsidRDefault="00F65237" w:rsidP="00F65237">
      <w:pPr>
        <w:pStyle w:val="HChG"/>
      </w:pPr>
      <w:r w:rsidRPr="00BA2FBC">
        <w:tab/>
      </w:r>
      <w:r>
        <w:tab/>
      </w:r>
      <w:r w:rsidRPr="00BA2FBC">
        <w:t xml:space="preserve">Proposition d’amendement relative à l’orientation </w:t>
      </w:r>
      <w:r>
        <w:br/>
      </w:r>
      <w:r w:rsidRPr="00BA2FBC">
        <w:t>des échantillons pour l’épreuve de chute des caisses</w:t>
      </w:r>
    </w:p>
    <w:p w14:paraId="27863D74" w14:textId="77777777" w:rsidR="00F65237" w:rsidRPr="00BA2FBC" w:rsidRDefault="00F65237" w:rsidP="005F195D">
      <w:pPr>
        <w:pStyle w:val="H1G"/>
      </w:pPr>
      <w:r w:rsidRPr="00BA2FBC">
        <w:tab/>
      </w:r>
      <w:r w:rsidRPr="00BA2FBC">
        <w:tab/>
        <w:t>Communication de l’expert de la Chine</w:t>
      </w:r>
      <w:r w:rsidR="005F195D" w:rsidRPr="005F195D">
        <w:rPr>
          <w:rStyle w:val="FootnoteReference"/>
          <w:b w:val="0"/>
          <w:sz w:val="20"/>
          <w:vertAlign w:val="baseline"/>
        </w:rPr>
        <w:footnoteReference w:customMarkFollows="1" w:id="2"/>
        <w:t>*</w:t>
      </w:r>
    </w:p>
    <w:p w14:paraId="63F04D60" w14:textId="77777777" w:rsidR="00F65237" w:rsidRPr="00BA2FBC" w:rsidRDefault="00F65237" w:rsidP="005F195D">
      <w:pPr>
        <w:pStyle w:val="HChG"/>
      </w:pPr>
      <w:r w:rsidRPr="00BA2FBC">
        <w:tab/>
      </w:r>
      <w:r w:rsidRPr="00BA2FBC">
        <w:tab/>
        <w:t>Introduction</w:t>
      </w:r>
    </w:p>
    <w:p w14:paraId="14D54B99" w14:textId="77777777" w:rsidR="00F65237" w:rsidRPr="00BA2FBC" w:rsidRDefault="00F65237" w:rsidP="005F195D">
      <w:pPr>
        <w:pStyle w:val="SingleTxtG"/>
      </w:pPr>
      <w:r w:rsidRPr="00BA2FBC">
        <w:t>1.</w:t>
      </w:r>
      <w:r w:rsidRPr="00BA2FBC">
        <w:tab/>
        <w:t>En effectuant des épreuves de chute, la Chine s’est aperçue que le joint d’assemblage était l’une des parties les plus fragiles de l’emballage, qui se cassait facilement et à laquelle il fallait accorder une attention particulière pendant l’épreuve. La</w:t>
      </w:r>
      <w:r w:rsidR="006C41AA">
        <w:t> </w:t>
      </w:r>
      <w:r w:rsidRPr="00BA2FBC">
        <w:t>plupart des emballages de type caisse ont six surfaces et huit coins. Lorsque la série d’épreuves de chute a été exécutée, il est apparu que si le coin ou le côté de la caisse exposé à la chute était celui sur lequel était fixé le joint d’assemblage, celui-ci aurait davantage tendance à être endommagé pendant la chute.</w:t>
      </w:r>
    </w:p>
    <w:p w14:paraId="55C1D963" w14:textId="77777777" w:rsidR="00F65237" w:rsidRPr="00BA2FBC" w:rsidRDefault="00F65237" w:rsidP="005F195D">
      <w:pPr>
        <w:pStyle w:val="HChG"/>
      </w:pPr>
      <w:r w:rsidRPr="00BA2FBC">
        <w:tab/>
      </w:r>
      <w:r w:rsidRPr="00BA2FBC">
        <w:tab/>
        <w:t>Nécessité d’une révision</w:t>
      </w:r>
    </w:p>
    <w:p w14:paraId="08BD9CA2" w14:textId="77777777" w:rsidR="00F65237" w:rsidRPr="00BA2FBC" w:rsidRDefault="00F65237" w:rsidP="005F195D">
      <w:pPr>
        <w:pStyle w:val="SingleTxtG"/>
      </w:pPr>
      <w:r w:rsidRPr="00BA2FBC">
        <w:t>2.</w:t>
      </w:r>
      <w:r w:rsidRPr="00BA2FBC">
        <w:tab/>
        <w:t xml:space="preserve">Pendant les inspections, il a été constaté que le joint d’assemblage était l’une des parties les plus fragiles de l’emballage et qu’il avait tendance à se briser. Lors des épreuves de chute que nous faisons subir aux caisses, nous sélectionnons les coins et les côtés reliés à un joint d’assemblage, ce qui augmente le risque d’échec de l’épreuve. Dans le 6.1.5.3.1 des Recommandations relatives au transport des marchandises dangereuses (Règlement type), il n’est pas indiqué que l’échantillon doit être orienté </w:t>
      </w:r>
      <w:proofErr w:type="gramStart"/>
      <w:r w:rsidRPr="00BA2FBC">
        <w:t>de façon à ce</w:t>
      </w:r>
      <w:proofErr w:type="gramEnd"/>
      <w:r w:rsidRPr="00BA2FBC">
        <w:t xml:space="preserve"> que l’impact ait lieu sur une partie contenant un joint d’assemblage. Il est recommandé de préciser dans </w:t>
      </w:r>
      <w:r w:rsidR="00F1248F">
        <w:t xml:space="preserve">le </w:t>
      </w:r>
      <w:r w:rsidRPr="00BA2FBC">
        <w:t>Règlement que le joint d’assemblage est l’une des pièces les plus fragiles de la caisse, et de lui accorder une attention particulière dans le choix de l’orientation pour l’épreuve de chute.</w:t>
      </w:r>
    </w:p>
    <w:p w14:paraId="6D2EBB61" w14:textId="77777777" w:rsidR="00F65237" w:rsidRPr="00BA2FBC" w:rsidRDefault="00F65237" w:rsidP="008A2EEE">
      <w:pPr>
        <w:pStyle w:val="HChG"/>
      </w:pPr>
      <w:r w:rsidRPr="00BA2FBC">
        <w:lastRenderedPageBreak/>
        <w:tab/>
      </w:r>
      <w:r w:rsidRPr="00BA2FBC">
        <w:tab/>
        <w:t>Proposition</w:t>
      </w:r>
    </w:p>
    <w:p w14:paraId="34D771D9" w14:textId="77777777" w:rsidR="00F65237" w:rsidRPr="00BA2FBC" w:rsidRDefault="00F65237" w:rsidP="008A2EEE">
      <w:pPr>
        <w:pStyle w:val="SingleTxtG"/>
      </w:pPr>
      <w:r w:rsidRPr="00BA2FBC">
        <w:t>3.</w:t>
      </w:r>
      <w:r w:rsidRPr="00BA2FBC">
        <w:tab/>
        <w:t xml:space="preserve">La Chine propose de préciser dans le 6.1.5.3.1 qu’il convient d’accorder une attention particulière aux joints d’assemblage pendant l’épreuve de chute. Deux options sont proposées ci-après (le nouveau texte est </w:t>
      </w:r>
      <w:r w:rsidRPr="008A2EEE">
        <w:rPr>
          <w:u w:val="single"/>
        </w:rPr>
        <w:t>souligné</w:t>
      </w:r>
      <w:r w:rsidRPr="00BA2FBC">
        <w:t>)</w:t>
      </w:r>
      <w:r w:rsidR="008A2EEE">
        <w:t> :</w:t>
      </w:r>
    </w:p>
    <w:p w14:paraId="4837642E" w14:textId="77777777" w:rsidR="00F65237" w:rsidRPr="00BA2FBC" w:rsidRDefault="00F65237" w:rsidP="008A2EEE">
      <w:pPr>
        <w:pStyle w:val="H1G"/>
      </w:pPr>
      <w:r w:rsidRPr="00BA2FBC">
        <w:tab/>
      </w:r>
      <w:r w:rsidRPr="00BA2FBC">
        <w:tab/>
        <w:t>Option 1</w:t>
      </w:r>
    </w:p>
    <w:p w14:paraId="100B0418" w14:textId="77777777" w:rsidR="00F65237" w:rsidRPr="00BA2FBC" w:rsidRDefault="00F65237" w:rsidP="00F26FCD">
      <w:pPr>
        <w:pStyle w:val="SingleTxtG"/>
        <w:ind w:left="2268" w:hanging="1134"/>
        <w:jc w:val="left"/>
      </w:pPr>
      <w:r w:rsidRPr="00BA2FBC">
        <w:t>« </w:t>
      </w:r>
      <w:r w:rsidRPr="00F26FCD">
        <w:rPr>
          <w:i/>
        </w:rPr>
        <w:t>6.1.5.3.1</w:t>
      </w:r>
      <w:r w:rsidR="00F26FCD" w:rsidRPr="00F26FCD">
        <w:rPr>
          <w:i/>
        </w:rPr>
        <w:tab/>
      </w:r>
      <w:r w:rsidRPr="00F26FCD">
        <w:rPr>
          <w:i/>
        </w:rPr>
        <w:t>Nombre d’échantillons (par modèle type et par fabricant) et orientation</w:t>
      </w:r>
      <w:r w:rsidR="00F26FCD">
        <w:rPr>
          <w:i/>
        </w:rPr>
        <w:br/>
      </w:r>
      <w:r w:rsidRPr="00F26FCD">
        <w:rPr>
          <w:i/>
        </w:rPr>
        <w:t xml:space="preserve"> de l’échantillon pour l’épreuve de chute</w:t>
      </w:r>
    </w:p>
    <w:p w14:paraId="11A8B5DC" w14:textId="77777777" w:rsidR="00F26FCD" w:rsidRDefault="00F65237" w:rsidP="00F26FCD">
      <w:pPr>
        <w:pStyle w:val="SingleTxtG"/>
        <w:ind w:left="2268"/>
      </w:pPr>
      <w:r w:rsidRPr="00BA2FBC">
        <w:t>Pour les essais autres que ceux de chutes à plat, le centre de gravité doit se trouver à la verticale du point d’impact.</w:t>
      </w:r>
    </w:p>
    <w:p w14:paraId="105561B0" w14:textId="77777777" w:rsidR="00F65237" w:rsidRPr="00BA2FBC" w:rsidRDefault="00F65237" w:rsidP="00F26FCD">
      <w:pPr>
        <w:pStyle w:val="SingleTxtG"/>
        <w:ind w:left="2268"/>
        <w:rPr>
          <w:u w:val="single"/>
        </w:rPr>
      </w:pPr>
      <w:r w:rsidRPr="00BA2FBC">
        <w:t xml:space="preserve">Si plusieurs orientations sont possibles pour un essai donné, on doit choisir l’orientation pour laquelle le risque de rupture de l’emballage est le plus grand </w:t>
      </w:r>
      <w:r w:rsidRPr="00F26FCD">
        <w:rPr>
          <w:u w:val="single"/>
        </w:rPr>
        <w:t>(</w:t>
      </w:r>
      <w:r w:rsidRPr="00BA2FBC">
        <w:rPr>
          <w:u w:val="single"/>
        </w:rPr>
        <w:t>par exemple, le joint d’assemblage, qui est l’une des parties les plus fragiles de l’emballage, doit faire l’objet d’une attention particulière</w:t>
      </w:r>
      <w:r w:rsidRPr="006B7FE9">
        <w:rPr>
          <w:u w:val="single"/>
        </w:rPr>
        <w:t>)</w:t>
      </w:r>
      <w:r w:rsidRPr="00BA2FBC">
        <w:t>.</w:t>
      </w:r>
    </w:p>
    <w:p w14:paraId="36914939" w14:textId="77777777" w:rsidR="00F65237" w:rsidRPr="00BA2FBC" w:rsidRDefault="006B7FE9" w:rsidP="006B7FE9">
      <w:pPr>
        <w:pStyle w:val="SingleTxtG"/>
        <w:ind w:left="2268"/>
      </w:pPr>
      <w:r>
        <w:t>…</w:t>
      </w:r>
      <w:r w:rsidR="00F65237" w:rsidRPr="00BA2FBC">
        <w:t> ».</w:t>
      </w:r>
    </w:p>
    <w:p w14:paraId="7EB2D097" w14:textId="77777777" w:rsidR="00F65237" w:rsidRPr="00BA2FBC" w:rsidRDefault="00F65237" w:rsidP="006B7FE9">
      <w:pPr>
        <w:pStyle w:val="H1G"/>
      </w:pPr>
      <w:r w:rsidRPr="00BA2FBC">
        <w:tab/>
      </w:r>
      <w:r w:rsidRPr="00BA2FBC">
        <w:tab/>
        <w:t>Option 2</w:t>
      </w:r>
    </w:p>
    <w:p w14:paraId="2CF93C99" w14:textId="77777777" w:rsidR="00F65237" w:rsidRPr="00BA2FBC" w:rsidRDefault="00F65237" w:rsidP="006B7FE9">
      <w:pPr>
        <w:pStyle w:val="SingleTxtG"/>
        <w:ind w:left="2268" w:hanging="1134"/>
        <w:jc w:val="left"/>
        <w:rPr>
          <w:i/>
          <w:iCs/>
        </w:rPr>
      </w:pPr>
      <w:r w:rsidRPr="006B7FE9">
        <w:rPr>
          <w:iCs/>
        </w:rPr>
        <w:t>« </w:t>
      </w:r>
      <w:r w:rsidRPr="00BA2FBC">
        <w:rPr>
          <w:i/>
          <w:iCs/>
        </w:rPr>
        <w:t>6.1.5.3.1</w:t>
      </w:r>
      <w:r w:rsidR="006B7FE9">
        <w:rPr>
          <w:i/>
          <w:iCs/>
        </w:rPr>
        <w:tab/>
      </w:r>
      <w:r w:rsidRPr="00BA2FBC">
        <w:rPr>
          <w:i/>
          <w:iCs/>
        </w:rPr>
        <w:t xml:space="preserve">Nombre d’échantillons (par modèle type et par fabricant) et orientation </w:t>
      </w:r>
      <w:r w:rsidR="006B7FE9">
        <w:rPr>
          <w:i/>
          <w:iCs/>
        </w:rPr>
        <w:br/>
      </w:r>
      <w:r w:rsidRPr="00BA2FBC">
        <w:rPr>
          <w:i/>
          <w:iCs/>
        </w:rPr>
        <w:t>de l’échantillon pour l’épreuve de chute</w:t>
      </w:r>
    </w:p>
    <w:p w14:paraId="70968A47" w14:textId="77777777" w:rsidR="006B7FE9" w:rsidRDefault="00F65237" w:rsidP="006B7FE9">
      <w:pPr>
        <w:pStyle w:val="SingleTxtG"/>
        <w:ind w:left="2268"/>
      </w:pPr>
      <w:r w:rsidRPr="00BA2FBC">
        <w:t xml:space="preserve">Pour les essais autres que ceux de chutes à plat, le centre de gravité doit se trouver à la verticale du point d’impact. </w:t>
      </w:r>
    </w:p>
    <w:p w14:paraId="5A43B7AF" w14:textId="77777777" w:rsidR="00F65237" w:rsidRPr="00BA2FBC" w:rsidRDefault="00F65237" w:rsidP="006B7FE9">
      <w:pPr>
        <w:pStyle w:val="SingleTxtG"/>
        <w:ind w:left="2268"/>
      </w:pPr>
      <w:r w:rsidRPr="00BA2FBC">
        <w:t xml:space="preserve">Si plusieurs orientations sont possibles pour un essai donné, on doit choisir l’orientation pour laquelle le risque de rupture de l’emballage est le plus grand. </w:t>
      </w:r>
    </w:p>
    <w:tbl>
      <w:tblPr>
        <w:tblStyle w:val="1"/>
        <w:tblW w:w="7370" w:type="dxa"/>
        <w:tblInd w:w="1134" w:type="dxa"/>
        <w:tblLayout w:type="fixed"/>
        <w:tblCellMar>
          <w:left w:w="0" w:type="dxa"/>
          <w:right w:w="0" w:type="dxa"/>
        </w:tblCellMar>
        <w:tblLook w:val="04A0" w:firstRow="1" w:lastRow="0" w:firstColumn="1" w:lastColumn="0" w:noHBand="0" w:noVBand="1"/>
      </w:tblPr>
      <w:tblGrid>
        <w:gridCol w:w="2577"/>
        <w:gridCol w:w="2204"/>
        <w:gridCol w:w="2589"/>
      </w:tblGrid>
      <w:tr w:rsidR="0024030E" w:rsidRPr="00496406" w14:paraId="4BB79D25" w14:textId="77777777" w:rsidTr="00496406">
        <w:trPr>
          <w:tblHeader/>
        </w:trPr>
        <w:tc>
          <w:tcPr>
            <w:tcW w:w="2577" w:type="dxa"/>
            <w:shd w:val="clear" w:color="auto" w:fill="auto"/>
            <w:vAlign w:val="bottom"/>
            <w:hideMark/>
          </w:tcPr>
          <w:p w14:paraId="72EA9202" w14:textId="77777777" w:rsidR="00F65237" w:rsidRPr="00496406" w:rsidRDefault="00F65237" w:rsidP="0024030E">
            <w:pPr>
              <w:spacing w:before="60" w:after="60" w:line="240" w:lineRule="auto"/>
              <w:ind w:left="57" w:right="57"/>
              <w:rPr>
                <w:kern w:val="0"/>
                <w:lang w:val="fr-CH"/>
              </w:rPr>
            </w:pPr>
            <w:r w:rsidRPr="00496406">
              <w:rPr>
                <w:kern w:val="0"/>
                <w:lang w:val="fr-CH"/>
              </w:rPr>
              <w:t>Emballage</w:t>
            </w:r>
          </w:p>
        </w:tc>
        <w:tc>
          <w:tcPr>
            <w:tcW w:w="2204" w:type="dxa"/>
            <w:shd w:val="clear" w:color="auto" w:fill="auto"/>
            <w:vAlign w:val="bottom"/>
            <w:hideMark/>
          </w:tcPr>
          <w:p w14:paraId="2BF043F9" w14:textId="77777777" w:rsidR="00F65237" w:rsidRPr="00496406" w:rsidRDefault="00F65237" w:rsidP="0024030E">
            <w:pPr>
              <w:spacing w:before="60" w:after="60" w:line="240" w:lineRule="auto"/>
              <w:ind w:left="57" w:right="57"/>
              <w:rPr>
                <w:kern w:val="0"/>
                <w:lang w:val="fr-CH"/>
              </w:rPr>
            </w:pPr>
            <w:r w:rsidRPr="00496406">
              <w:rPr>
                <w:kern w:val="0"/>
                <w:lang w:val="fr-CH"/>
              </w:rPr>
              <w:t>Nombre d’échantillons par épreuve</w:t>
            </w:r>
          </w:p>
        </w:tc>
        <w:tc>
          <w:tcPr>
            <w:tcW w:w="2589" w:type="dxa"/>
            <w:shd w:val="clear" w:color="auto" w:fill="auto"/>
            <w:vAlign w:val="bottom"/>
            <w:hideMark/>
          </w:tcPr>
          <w:p w14:paraId="3B6C7B01" w14:textId="77777777" w:rsidR="00F65237" w:rsidRPr="00496406" w:rsidRDefault="00F65237" w:rsidP="0024030E">
            <w:pPr>
              <w:spacing w:before="60" w:after="60" w:line="240" w:lineRule="auto"/>
              <w:ind w:left="57" w:right="57"/>
              <w:rPr>
                <w:kern w:val="0"/>
                <w:lang w:val="fr-CH"/>
              </w:rPr>
            </w:pPr>
            <w:r w:rsidRPr="00496406">
              <w:rPr>
                <w:kern w:val="0"/>
                <w:lang w:val="fr-CH"/>
              </w:rPr>
              <w:t>Orientation de l’échantillon pour l’épreuve de chute</w:t>
            </w:r>
          </w:p>
        </w:tc>
      </w:tr>
      <w:tr w:rsidR="0024030E" w:rsidRPr="0024030E" w14:paraId="7BDD8438" w14:textId="77777777" w:rsidTr="008D469D">
        <w:tc>
          <w:tcPr>
            <w:tcW w:w="2577" w:type="dxa"/>
            <w:shd w:val="clear" w:color="auto" w:fill="auto"/>
            <w:hideMark/>
          </w:tcPr>
          <w:p w14:paraId="5E146EBA" w14:textId="77777777" w:rsidR="00F65237" w:rsidRPr="0024030E" w:rsidRDefault="00496406" w:rsidP="0024030E">
            <w:pPr>
              <w:spacing w:before="60" w:after="60" w:line="240" w:lineRule="auto"/>
              <w:ind w:left="57" w:right="57"/>
              <w:rPr>
                <w:kern w:val="0"/>
                <w:lang w:val="fr-CH"/>
              </w:rPr>
            </w:pPr>
            <w:r>
              <w:rPr>
                <w:kern w:val="0"/>
                <w:lang w:val="fr-CH"/>
              </w:rPr>
              <w:t>…</w:t>
            </w:r>
          </w:p>
        </w:tc>
        <w:tc>
          <w:tcPr>
            <w:tcW w:w="2204" w:type="dxa"/>
            <w:shd w:val="clear" w:color="auto" w:fill="auto"/>
          </w:tcPr>
          <w:p w14:paraId="50E8D10D" w14:textId="77777777" w:rsidR="00F65237" w:rsidRPr="0024030E" w:rsidRDefault="00F65237" w:rsidP="0024030E">
            <w:pPr>
              <w:spacing w:before="60" w:after="60" w:line="240" w:lineRule="auto"/>
              <w:ind w:left="57" w:right="57"/>
              <w:rPr>
                <w:kern w:val="0"/>
                <w:lang w:val="fr-CH"/>
              </w:rPr>
            </w:pPr>
          </w:p>
        </w:tc>
        <w:tc>
          <w:tcPr>
            <w:tcW w:w="2589" w:type="dxa"/>
            <w:tcBorders>
              <w:bottom w:val="single" w:sz="4" w:space="0" w:color="auto"/>
            </w:tcBorders>
            <w:shd w:val="clear" w:color="auto" w:fill="auto"/>
          </w:tcPr>
          <w:p w14:paraId="0EA8C6C1" w14:textId="77777777" w:rsidR="00F65237" w:rsidRPr="0024030E" w:rsidRDefault="00F65237" w:rsidP="0024030E">
            <w:pPr>
              <w:spacing w:before="60" w:after="60" w:line="240" w:lineRule="auto"/>
              <w:ind w:left="57" w:right="57"/>
              <w:rPr>
                <w:kern w:val="0"/>
                <w:lang w:val="fr-CH"/>
              </w:rPr>
            </w:pPr>
          </w:p>
        </w:tc>
      </w:tr>
      <w:tr w:rsidR="008D469D" w:rsidRPr="0024030E" w14:paraId="3CA5BFA8" w14:textId="77777777" w:rsidTr="00F44FA5">
        <w:trPr>
          <w:trHeight w:val="3940"/>
        </w:trPr>
        <w:tc>
          <w:tcPr>
            <w:tcW w:w="2577" w:type="dxa"/>
            <w:shd w:val="clear" w:color="auto" w:fill="auto"/>
            <w:hideMark/>
          </w:tcPr>
          <w:p w14:paraId="7C265BB1" w14:textId="1AA4E9C8" w:rsidR="008D469D" w:rsidRPr="0024030E" w:rsidRDefault="008D469D" w:rsidP="0024030E">
            <w:pPr>
              <w:spacing w:before="60" w:after="60" w:line="240" w:lineRule="auto"/>
              <w:ind w:left="57" w:right="57"/>
              <w:rPr>
                <w:kern w:val="0"/>
                <w:lang w:val="fr-CH"/>
              </w:rPr>
            </w:pPr>
            <w:r w:rsidRPr="0024030E">
              <w:rPr>
                <w:kern w:val="0"/>
                <w:lang w:val="fr-CH"/>
              </w:rPr>
              <w:t>Caisse</w:t>
            </w:r>
            <w:r w:rsidR="00B2123B">
              <w:rPr>
                <w:kern w:val="0"/>
                <w:lang w:val="fr-CH"/>
              </w:rPr>
              <w:t>s</w:t>
            </w:r>
            <w:r w:rsidRPr="0024030E">
              <w:rPr>
                <w:kern w:val="0"/>
                <w:lang w:val="fr-CH"/>
              </w:rPr>
              <w:t xml:space="preserve"> en bois naturel </w:t>
            </w:r>
          </w:p>
          <w:p w14:paraId="66987F2C" w14:textId="77777777" w:rsidR="008D469D" w:rsidRPr="0024030E" w:rsidRDefault="008D469D" w:rsidP="0024030E">
            <w:pPr>
              <w:spacing w:before="60" w:after="60" w:line="240" w:lineRule="auto"/>
              <w:ind w:left="57" w:right="57"/>
              <w:rPr>
                <w:kern w:val="0"/>
                <w:lang w:val="fr-CH"/>
              </w:rPr>
            </w:pPr>
            <w:r w:rsidRPr="0024030E">
              <w:rPr>
                <w:kern w:val="0"/>
                <w:lang w:val="fr-CH"/>
              </w:rPr>
              <w:t xml:space="preserve">Caisses en contre-plaqué </w:t>
            </w:r>
          </w:p>
          <w:p w14:paraId="0353AE27" w14:textId="77777777" w:rsidR="008D469D" w:rsidRPr="0024030E" w:rsidRDefault="008D469D" w:rsidP="0024030E">
            <w:pPr>
              <w:spacing w:before="60" w:after="60" w:line="240" w:lineRule="auto"/>
              <w:ind w:left="57" w:right="57"/>
              <w:rPr>
                <w:kern w:val="0"/>
                <w:lang w:val="fr-CH"/>
              </w:rPr>
            </w:pPr>
            <w:r w:rsidRPr="0024030E">
              <w:rPr>
                <w:kern w:val="0"/>
                <w:lang w:val="fr-CH"/>
              </w:rPr>
              <w:t xml:space="preserve">Caisses en bois reconstitué </w:t>
            </w:r>
          </w:p>
          <w:p w14:paraId="3C4CC89D" w14:textId="77777777" w:rsidR="008D469D" w:rsidRPr="0024030E" w:rsidRDefault="008D469D" w:rsidP="0024030E">
            <w:pPr>
              <w:spacing w:before="60" w:after="60" w:line="240" w:lineRule="auto"/>
              <w:ind w:left="57" w:right="57"/>
              <w:rPr>
                <w:kern w:val="0"/>
                <w:lang w:val="fr-CH"/>
              </w:rPr>
            </w:pPr>
            <w:r w:rsidRPr="0024030E">
              <w:rPr>
                <w:kern w:val="0"/>
                <w:lang w:val="fr-CH"/>
              </w:rPr>
              <w:t xml:space="preserve">Caisses en carton </w:t>
            </w:r>
          </w:p>
          <w:p w14:paraId="68B8FC96" w14:textId="77777777" w:rsidR="008D469D" w:rsidRPr="0024030E" w:rsidRDefault="008D469D" w:rsidP="0024030E">
            <w:pPr>
              <w:spacing w:before="60" w:after="60" w:line="240" w:lineRule="auto"/>
              <w:ind w:left="57" w:right="57"/>
              <w:rPr>
                <w:kern w:val="0"/>
                <w:lang w:val="fr-CH"/>
              </w:rPr>
            </w:pPr>
            <w:r w:rsidRPr="0024030E">
              <w:rPr>
                <w:kern w:val="0"/>
                <w:lang w:val="fr-CH"/>
              </w:rPr>
              <w:t xml:space="preserve">Caisses en plastique </w:t>
            </w:r>
          </w:p>
          <w:p w14:paraId="1BBEF743" w14:textId="77777777" w:rsidR="008D469D" w:rsidRPr="0024030E" w:rsidRDefault="008D469D" w:rsidP="0024030E">
            <w:pPr>
              <w:spacing w:before="60" w:after="60" w:line="240" w:lineRule="auto"/>
              <w:ind w:left="57" w:right="57"/>
              <w:rPr>
                <w:kern w:val="0"/>
                <w:lang w:val="fr-CH"/>
              </w:rPr>
            </w:pPr>
            <w:r w:rsidRPr="0024030E">
              <w:rPr>
                <w:kern w:val="0"/>
                <w:lang w:val="fr-CH"/>
              </w:rPr>
              <w:t xml:space="preserve">Caisses en acier ou en aluminium </w:t>
            </w:r>
          </w:p>
          <w:p w14:paraId="082086FB" w14:textId="77777777" w:rsidR="008D469D" w:rsidRPr="0024030E" w:rsidRDefault="008D469D" w:rsidP="0024030E">
            <w:pPr>
              <w:spacing w:before="60" w:after="60" w:line="240" w:lineRule="auto"/>
              <w:ind w:left="57" w:right="57"/>
              <w:rPr>
                <w:kern w:val="0"/>
                <w:u w:val="single"/>
                <w:lang w:val="fr-CH"/>
              </w:rPr>
            </w:pPr>
            <w:r w:rsidRPr="0024030E">
              <w:rPr>
                <w:kern w:val="0"/>
                <w:lang w:val="fr-CH"/>
              </w:rPr>
              <w:t xml:space="preserve">Emballages composites </w:t>
            </w:r>
            <w:r>
              <w:rPr>
                <w:kern w:val="0"/>
                <w:lang w:val="fr-CH"/>
              </w:rPr>
              <w:br/>
            </w:r>
            <w:r w:rsidRPr="0024030E">
              <w:rPr>
                <w:kern w:val="0"/>
                <w:lang w:val="fr-CH"/>
              </w:rPr>
              <w:t xml:space="preserve">en forme de caisse </w:t>
            </w:r>
          </w:p>
        </w:tc>
        <w:tc>
          <w:tcPr>
            <w:tcW w:w="2204" w:type="dxa"/>
            <w:shd w:val="clear" w:color="auto" w:fill="auto"/>
            <w:hideMark/>
          </w:tcPr>
          <w:p w14:paraId="62E70327" w14:textId="77777777" w:rsidR="008D469D" w:rsidRPr="00496406" w:rsidRDefault="008D469D" w:rsidP="0024030E">
            <w:pPr>
              <w:spacing w:before="60" w:after="60" w:line="240" w:lineRule="auto"/>
              <w:ind w:left="57" w:right="57"/>
              <w:rPr>
                <w:kern w:val="0"/>
                <w:lang w:val="fr-CH"/>
              </w:rPr>
            </w:pPr>
            <w:r w:rsidRPr="0024030E">
              <w:rPr>
                <w:kern w:val="0"/>
                <w:lang w:val="fr-CH"/>
              </w:rPr>
              <w:t>Cinq (un pour chaque essai de chute)</w:t>
            </w:r>
          </w:p>
        </w:tc>
        <w:tc>
          <w:tcPr>
            <w:tcW w:w="2589" w:type="dxa"/>
            <w:shd w:val="clear" w:color="auto" w:fill="auto"/>
            <w:hideMark/>
          </w:tcPr>
          <w:p w14:paraId="5370E34E" w14:textId="77777777" w:rsidR="008D469D" w:rsidRPr="0024030E" w:rsidRDefault="008D469D" w:rsidP="0024030E">
            <w:pPr>
              <w:spacing w:before="60" w:after="60" w:line="240" w:lineRule="auto"/>
              <w:ind w:left="57" w:right="57"/>
              <w:rPr>
                <w:kern w:val="0"/>
                <w:lang w:val="fr-CH"/>
              </w:rPr>
            </w:pPr>
            <w:r w:rsidRPr="0024030E">
              <w:rPr>
                <w:kern w:val="0"/>
                <w:lang w:val="fr-CH"/>
              </w:rPr>
              <w:t>Premier essai</w:t>
            </w:r>
            <w:r>
              <w:rPr>
                <w:kern w:val="0"/>
                <w:lang w:val="fr-CH"/>
              </w:rPr>
              <w:t> </w:t>
            </w:r>
            <w:r w:rsidRPr="0024030E">
              <w:rPr>
                <w:kern w:val="0"/>
                <w:lang w:val="fr-CH"/>
              </w:rPr>
              <w:t>: à plat sur le fond</w:t>
            </w:r>
          </w:p>
          <w:p w14:paraId="2CCD1602" w14:textId="77777777" w:rsidR="008D469D" w:rsidRPr="0024030E" w:rsidRDefault="008D469D" w:rsidP="0024030E">
            <w:pPr>
              <w:spacing w:before="60" w:after="60" w:line="240" w:lineRule="auto"/>
              <w:ind w:left="57" w:right="57"/>
              <w:rPr>
                <w:kern w:val="0"/>
                <w:lang w:val="fr-CH"/>
              </w:rPr>
            </w:pPr>
            <w:r w:rsidRPr="0024030E">
              <w:rPr>
                <w:kern w:val="0"/>
                <w:lang w:val="fr-CH"/>
              </w:rPr>
              <w:t>Deuxième essai</w:t>
            </w:r>
            <w:r>
              <w:rPr>
                <w:kern w:val="0"/>
                <w:lang w:val="fr-CH"/>
              </w:rPr>
              <w:t> </w:t>
            </w:r>
            <w:r w:rsidRPr="0024030E">
              <w:rPr>
                <w:kern w:val="0"/>
                <w:lang w:val="fr-CH"/>
              </w:rPr>
              <w:t>: à plat sur le dessus</w:t>
            </w:r>
          </w:p>
          <w:p w14:paraId="52D20911" w14:textId="77777777" w:rsidR="008D469D" w:rsidRPr="0024030E" w:rsidRDefault="008D469D" w:rsidP="0024030E">
            <w:pPr>
              <w:spacing w:before="60" w:after="60" w:line="240" w:lineRule="auto"/>
              <w:ind w:left="57" w:right="57"/>
              <w:rPr>
                <w:kern w:val="0"/>
                <w:lang w:val="fr-CH"/>
              </w:rPr>
            </w:pPr>
            <w:r w:rsidRPr="0024030E">
              <w:rPr>
                <w:kern w:val="0"/>
                <w:lang w:val="fr-CH"/>
              </w:rPr>
              <w:t>Troisième essai</w:t>
            </w:r>
            <w:r>
              <w:rPr>
                <w:kern w:val="0"/>
                <w:lang w:val="fr-CH"/>
              </w:rPr>
              <w:t> </w:t>
            </w:r>
            <w:r w:rsidRPr="0024030E">
              <w:rPr>
                <w:kern w:val="0"/>
                <w:lang w:val="fr-CH"/>
              </w:rPr>
              <w:t>: à plat sur le côté le plus long</w:t>
            </w:r>
          </w:p>
          <w:p w14:paraId="5EB2AFCF" w14:textId="77777777" w:rsidR="008D469D" w:rsidRPr="0024030E" w:rsidRDefault="008D469D" w:rsidP="0024030E">
            <w:pPr>
              <w:spacing w:before="60" w:after="60" w:line="240" w:lineRule="auto"/>
              <w:ind w:left="57" w:right="57"/>
              <w:rPr>
                <w:kern w:val="0"/>
                <w:lang w:val="fr-CH"/>
              </w:rPr>
            </w:pPr>
            <w:r w:rsidRPr="0024030E">
              <w:rPr>
                <w:kern w:val="0"/>
                <w:lang w:val="fr-CH"/>
              </w:rPr>
              <w:t>Quatrième essai</w:t>
            </w:r>
            <w:r w:rsidRPr="00946265">
              <w:rPr>
                <w:lang w:val="fr-CH"/>
              </w:rPr>
              <w:t> </w:t>
            </w:r>
            <w:r w:rsidRPr="0024030E">
              <w:rPr>
                <w:kern w:val="0"/>
                <w:lang w:val="fr-CH"/>
              </w:rPr>
              <w:t>: à plat sur le côté le plus court</w:t>
            </w:r>
          </w:p>
          <w:p w14:paraId="080F81DA" w14:textId="77777777" w:rsidR="008D469D" w:rsidRPr="00946265" w:rsidRDefault="008D469D" w:rsidP="0024030E">
            <w:pPr>
              <w:spacing w:before="60" w:after="60" w:line="240" w:lineRule="auto"/>
              <w:ind w:left="57" w:right="57"/>
              <w:rPr>
                <w:kern w:val="0"/>
                <w:lang w:val="fr-CH"/>
              </w:rPr>
            </w:pPr>
            <w:r w:rsidRPr="0024030E">
              <w:rPr>
                <w:kern w:val="0"/>
                <w:lang w:val="fr-CH"/>
              </w:rPr>
              <w:t>Cinquième essai</w:t>
            </w:r>
            <w:r>
              <w:rPr>
                <w:kern w:val="0"/>
                <w:lang w:val="fr-CH"/>
              </w:rPr>
              <w:t> </w:t>
            </w:r>
            <w:r w:rsidRPr="0024030E">
              <w:rPr>
                <w:kern w:val="0"/>
                <w:lang w:val="fr-CH"/>
              </w:rPr>
              <w:t>: sur un coin</w:t>
            </w:r>
          </w:p>
          <w:p w14:paraId="55F54004" w14:textId="77777777" w:rsidR="008D469D" w:rsidRPr="00946265" w:rsidRDefault="008D469D" w:rsidP="0024030E">
            <w:pPr>
              <w:spacing w:before="60" w:after="60" w:line="240" w:lineRule="auto"/>
              <w:ind w:left="57" w:right="57"/>
              <w:rPr>
                <w:kern w:val="0"/>
                <w:lang w:val="fr-CH"/>
              </w:rPr>
            </w:pPr>
            <w:r w:rsidRPr="0024030E">
              <w:rPr>
                <w:i/>
                <w:iCs/>
                <w:kern w:val="0"/>
                <w:u w:val="single"/>
                <w:lang w:val="fr-CH"/>
              </w:rPr>
              <w:t>Remarque</w:t>
            </w:r>
            <w:r>
              <w:rPr>
                <w:i/>
                <w:iCs/>
                <w:kern w:val="0"/>
                <w:u w:val="single"/>
                <w:lang w:val="fr-CH"/>
              </w:rPr>
              <w:t> </w:t>
            </w:r>
            <w:r w:rsidRPr="0024030E">
              <w:rPr>
                <w:i/>
                <w:iCs/>
                <w:kern w:val="0"/>
                <w:u w:val="single"/>
                <w:lang w:val="fr-CH"/>
              </w:rPr>
              <w:t>: Lors du choix de l’orientation de l’échantillon, il convient de tenir compte du fait que le joint d’assemblage est l’une des pièces les plus fragiles de la caisse.</w:t>
            </w:r>
          </w:p>
        </w:tc>
      </w:tr>
      <w:tr w:rsidR="0024030E" w:rsidRPr="0024030E" w14:paraId="2B49ABD0" w14:textId="77777777" w:rsidTr="00496406">
        <w:tc>
          <w:tcPr>
            <w:tcW w:w="2577" w:type="dxa"/>
            <w:shd w:val="clear" w:color="auto" w:fill="auto"/>
            <w:hideMark/>
          </w:tcPr>
          <w:p w14:paraId="3DB66094" w14:textId="77777777" w:rsidR="00F65237" w:rsidRPr="0024030E" w:rsidRDefault="00496406" w:rsidP="0024030E">
            <w:pPr>
              <w:spacing w:before="60" w:after="60" w:line="240" w:lineRule="auto"/>
              <w:ind w:left="57" w:right="57"/>
              <w:rPr>
                <w:kern w:val="0"/>
                <w:lang w:val="fr-CH"/>
              </w:rPr>
            </w:pPr>
            <w:r>
              <w:rPr>
                <w:kern w:val="0"/>
                <w:lang w:val="fr-CH"/>
              </w:rPr>
              <w:t>…</w:t>
            </w:r>
          </w:p>
        </w:tc>
        <w:tc>
          <w:tcPr>
            <w:tcW w:w="2204" w:type="dxa"/>
            <w:shd w:val="clear" w:color="auto" w:fill="auto"/>
          </w:tcPr>
          <w:p w14:paraId="18A3F1B9" w14:textId="77777777" w:rsidR="00F65237" w:rsidRPr="0024030E" w:rsidRDefault="00F65237" w:rsidP="0024030E">
            <w:pPr>
              <w:spacing w:before="60" w:after="60" w:line="240" w:lineRule="auto"/>
              <w:ind w:left="57" w:right="57"/>
              <w:rPr>
                <w:kern w:val="0"/>
                <w:lang w:val="fr-CH"/>
              </w:rPr>
            </w:pPr>
          </w:p>
        </w:tc>
        <w:tc>
          <w:tcPr>
            <w:tcW w:w="2589" w:type="dxa"/>
            <w:shd w:val="clear" w:color="auto" w:fill="auto"/>
          </w:tcPr>
          <w:p w14:paraId="647D0585" w14:textId="77777777" w:rsidR="00F65237" w:rsidRPr="0024030E" w:rsidRDefault="00F65237" w:rsidP="0024030E">
            <w:pPr>
              <w:spacing w:before="60" w:after="60" w:line="240" w:lineRule="auto"/>
              <w:ind w:left="57" w:right="57"/>
              <w:rPr>
                <w:kern w:val="0"/>
                <w:lang w:val="fr-CH"/>
              </w:rPr>
            </w:pPr>
          </w:p>
        </w:tc>
      </w:tr>
    </w:tbl>
    <w:p w14:paraId="44512500" w14:textId="77777777" w:rsidR="00446FE5" w:rsidRPr="008D469D" w:rsidRDefault="008D469D" w:rsidP="008D469D">
      <w:pPr>
        <w:pStyle w:val="SingleTxtG"/>
        <w:spacing w:before="240" w:after="0"/>
        <w:jc w:val="center"/>
        <w:rPr>
          <w:u w:val="single"/>
        </w:rPr>
      </w:pPr>
      <w:r>
        <w:rPr>
          <w:u w:val="single"/>
        </w:rPr>
        <w:tab/>
      </w:r>
      <w:r>
        <w:rPr>
          <w:u w:val="single"/>
        </w:rPr>
        <w:tab/>
      </w:r>
      <w:r>
        <w:rPr>
          <w:u w:val="single"/>
        </w:rPr>
        <w:tab/>
      </w:r>
    </w:p>
    <w:sectPr w:rsidR="00446FE5" w:rsidRPr="008D469D" w:rsidSect="00B250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4A3F" w14:textId="77777777" w:rsidR="004C0266" w:rsidRDefault="004C0266" w:rsidP="00F95C08">
      <w:pPr>
        <w:spacing w:line="240" w:lineRule="auto"/>
      </w:pPr>
    </w:p>
  </w:endnote>
  <w:endnote w:type="continuationSeparator" w:id="0">
    <w:p w14:paraId="038B6ACE" w14:textId="77777777" w:rsidR="004C0266" w:rsidRPr="00AC3823" w:rsidRDefault="004C0266" w:rsidP="00AC3823">
      <w:pPr>
        <w:pStyle w:val="Footer"/>
      </w:pPr>
    </w:p>
  </w:endnote>
  <w:endnote w:type="continuationNotice" w:id="1">
    <w:p w14:paraId="3E090A75" w14:textId="77777777" w:rsidR="004C0266" w:rsidRDefault="004C02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C30B" w14:textId="77777777" w:rsidR="00B250D5" w:rsidRPr="00B250D5" w:rsidRDefault="00B250D5" w:rsidP="00B250D5">
    <w:pPr>
      <w:pStyle w:val="Footer"/>
      <w:tabs>
        <w:tab w:val="right" w:pos="9638"/>
      </w:tabs>
    </w:pPr>
    <w:r w:rsidRPr="00B250D5">
      <w:rPr>
        <w:b/>
        <w:sz w:val="18"/>
      </w:rPr>
      <w:fldChar w:fldCharType="begin"/>
    </w:r>
    <w:r w:rsidRPr="00B250D5">
      <w:rPr>
        <w:b/>
        <w:sz w:val="18"/>
      </w:rPr>
      <w:instrText xml:space="preserve"> PAGE  \* MERGEFORMAT </w:instrText>
    </w:r>
    <w:r w:rsidRPr="00B250D5">
      <w:rPr>
        <w:b/>
        <w:sz w:val="18"/>
      </w:rPr>
      <w:fldChar w:fldCharType="separate"/>
    </w:r>
    <w:r w:rsidRPr="00B250D5">
      <w:rPr>
        <w:b/>
        <w:noProof/>
        <w:sz w:val="18"/>
      </w:rPr>
      <w:t>2</w:t>
    </w:r>
    <w:r w:rsidRPr="00B250D5">
      <w:rPr>
        <w:b/>
        <w:sz w:val="18"/>
      </w:rPr>
      <w:fldChar w:fldCharType="end"/>
    </w:r>
    <w:r>
      <w:rPr>
        <w:b/>
        <w:sz w:val="18"/>
      </w:rPr>
      <w:tab/>
    </w:r>
    <w:r>
      <w:t>GE.20-05387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DE3D" w14:textId="77777777" w:rsidR="00B250D5" w:rsidRPr="00B250D5" w:rsidRDefault="00B250D5" w:rsidP="00B250D5">
    <w:pPr>
      <w:pStyle w:val="Footer"/>
      <w:tabs>
        <w:tab w:val="right" w:pos="9638"/>
      </w:tabs>
      <w:rPr>
        <w:b/>
        <w:sz w:val="18"/>
      </w:rPr>
    </w:pPr>
    <w:r>
      <w:t>GE.20-05387</w:t>
    </w:r>
    <w:r>
      <w:tab/>
    </w:r>
    <w:r w:rsidRPr="00B250D5">
      <w:rPr>
        <w:b/>
        <w:sz w:val="18"/>
      </w:rPr>
      <w:fldChar w:fldCharType="begin"/>
    </w:r>
    <w:r w:rsidRPr="00B250D5">
      <w:rPr>
        <w:b/>
        <w:sz w:val="18"/>
      </w:rPr>
      <w:instrText xml:space="preserve"> PAGE  \* MERGEFORMAT </w:instrText>
    </w:r>
    <w:r w:rsidRPr="00B250D5">
      <w:rPr>
        <w:b/>
        <w:sz w:val="18"/>
      </w:rPr>
      <w:fldChar w:fldCharType="separate"/>
    </w:r>
    <w:r w:rsidRPr="00B250D5">
      <w:rPr>
        <w:b/>
        <w:noProof/>
        <w:sz w:val="18"/>
      </w:rPr>
      <w:t>3</w:t>
    </w:r>
    <w:r w:rsidRPr="00B250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50FC" w14:textId="77777777" w:rsidR="0068456F" w:rsidRPr="00B250D5" w:rsidRDefault="00B250D5" w:rsidP="00B250D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B4CAC3E" wp14:editId="2778A9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05387  (</w:t>
    </w:r>
    <w:proofErr w:type="gramEnd"/>
    <w:r>
      <w:rPr>
        <w:sz w:val="20"/>
      </w:rPr>
      <w:t>F)</w:t>
    </w:r>
    <w:r w:rsidR="005F195D">
      <w:rPr>
        <w:sz w:val="20"/>
      </w:rPr>
      <w:t xml:space="preserve">    010520    040520</w:t>
    </w:r>
    <w:r>
      <w:rPr>
        <w:sz w:val="20"/>
      </w:rPr>
      <w:br/>
    </w:r>
    <w:r w:rsidRPr="00B250D5">
      <w:rPr>
        <w:rFonts w:ascii="C39T30Lfz" w:hAnsi="C39T30Lfz"/>
        <w:sz w:val="56"/>
      </w:rPr>
      <w:t></w:t>
    </w:r>
    <w:r w:rsidRPr="00B250D5">
      <w:rPr>
        <w:rFonts w:ascii="C39T30Lfz" w:hAnsi="C39T30Lfz"/>
        <w:sz w:val="56"/>
      </w:rPr>
      <w:t></w:t>
    </w:r>
    <w:r w:rsidRPr="00B250D5">
      <w:rPr>
        <w:rFonts w:ascii="C39T30Lfz" w:hAnsi="C39T30Lfz"/>
        <w:sz w:val="56"/>
      </w:rPr>
      <w:t></w:t>
    </w:r>
    <w:r w:rsidRPr="00B250D5">
      <w:rPr>
        <w:rFonts w:ascii="C39T30Lfz" w:hAnsi="C39T30Lfz"/>
        <w:sz w:val="56"/>
      </w:rPr>
      <w:t></w:t>
    </w:r>
    <w:r w:rsidRPr="00B250D5">
      <w:rPr>
        <w:rFonts w:ascii="C39T30Lfz" w:hAnsi="C39T30Lfz"/>
        <w:sz w:val="56"/>
      </w:rPr>
      <w:t></w:t>
    </w:r>
    <w:r w:rsidRPr="00B250D5">
      <w:rPr>
        <w:rFonts w:ascii="C39T30Lfz" w:hAnsi="C39T30Lfz"/>
        <w:sz w:val="56"/>
      </w:rPr>
      <w:t></w:t>
    </w:r>
    <w:r w:rsidRPr="00B250D5">
      <w:rPr>
        <w:rFonts w:ascii="C39T30Lfz" w:hAnsi="C39T30Lfz"/>
        <w:sz w:val="56"/>
      </w:rPr>
      <w:t></w:t>
    </w:r>
    <w:r w:rsidRPr="00B250D5">
      <w:rPr>
        <w:rFonts w:ascii="C39T30Lfz" w:hAnsi="C39T30Lfz"/>
        <w:sz w:val="56"/>
      </w:rPr>
      <w:t></w:t>
    </w:r>
    <w:r w:rsidRPr="00B250D5">
      <w:rPr>
        <w:rFonts w:ascii="C39T30Lfz" w:hAnsi="C39T30Lfz"/>
        <w:sz w:val="56"/>
      </w:rPr>
      <w:t></w:t>
    </w:r>
    <w:r>
      <w:rPr>
        <w:noProof/>
        <w:sz w:val="20"/>
      </w:rPr>
      <w:drawing>
        <wp:anchor distT="0" distB="0" distL="114300" distR="114300" simplePos="0" relativeHeight="251658240" behindDoc="0" locked="0" layoutInCell="1" allowOverlap="1" wp14:anchorId="0054251D" wp14:editId="372074E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2496" w14:textId="77777777" w:rsidR="004C0266" w:rsidRPr="00AC3823" w:rsidRDefault="004C0266" w:rsidP="00AC3823">
      <w:pPr>
        <w:pStyle w:val="Footer"/>
        <w:tabs>
          <w:tab w:val="right" w:pos="2155"/>
        </w:tabs>
        <w:spacing w:after="80" w:line="240" w:lineRule="atLeast"/>
        <w:ind w:left="680"/>
        <w:rPr>
          <w:u w:val="single"/>
        </w:rPr>
      </w:pPr>
      <w:r>
        <w:rPr>
          <w:u w:val="single"/>
        </w:rPr>
        <w:tab/>
      </w:r>
    </w:p>
  </w:footnote>
  <w:footnote w:type="continuationSeparator" w:id="0">
    <w:p w14:paraId="0C6C0BD6" w14:textId="77777777" w:rsidR="004C0266" w:rsidRPr="00AC3823" w:rsidRDefault="004C0266" w:rsidP="00AC3823">
      <w:pPr>
        <w:pStyle w:val="Footer"/>
        <w:tabs>
          <w:tab w:val="right" w:pos="2155"/>
        </w:tabs>
        <w:spacing w:after="80" w:line="240" w:lineRule="atLeast"/>
        <w:ind w:left="680"/>
        <w:rPr>
          <w:u w:val="single"/>
        </w:rPr>
      </w:pPr>
      <w:r>
        <w:rPr>
          <w:u w:val="single"/>
        </w:rPr>
        <w:tab/>
      </w:r>
    </w:p>
  </w:footnote>
  <w:footnote w:type="continuationNotice" w:id="1">
    <w:p w14:paraId="5AF499B8" w14:textId="77777777" w:rsidR="004C0266" w:rsidRPr="00AC3823" w:rsidRDefault="004C0266">
      <w:pPr>
        <w:spacing w:line="240" w:lineRule="auto"/>
        <w:rPr>
          <w:sz w:val="2"/>
          <w:szCs w:val="2"/>
        </w:rPr>
      </w:pPr>
    </w:p>
  </w:footnote>
  <w:footnote w:id="2">
    <w:p w14:paraId="73323BBA" w14:textId="77777777" w:rsidR="005F195D" w:rsidRPr="005F195D" w:rsidRDefault="005F195D">
      <w:pPr>
        <w:pStyle w:val="FootnoteText"/>
      </w:pPr>
      <w:r>
        <w:rPr>
          <w:rStyle w:val="FootnoteReference"/>
        </w:rPr>
        <w:tab/>
      </w:r>
      <w:r w:rsidRPr="005F195D">
        <w:rPr>
          <w:rStyle w:val="FootnoteReference"/>
          <w:sz w:val="20"/>
          <w:vertAlign w:val="baseline"/>
        </w:rPr>
        <w:t>*</w:t>
      </w:r>
      <w:r>
        <w:rPr>
          <w:rStyle w:val="FootnoteReference"/>
          <w:sz w:val="20"/>
          <w:vertAlign w:val="baseline"/>
        </w:rPr>
        <w:tab/>
      </w:r>
      <w:r w:rsidRPr="006B1EB5">
        <w:rPr>
          <w:lang w:val="fr-FR"/>
        </w:rPr>
        <w:t>Sous-programme 2 du budget-programme pour 2020 (A/74/6 (</w:t>
      </w:r>
      <w:r w:rsidR="00C905DB">
        <w:rPr>
          <w:lang w:val="fr-FR"/>
        </w:rPr>
        <w:t>s</w:t>
      </w:r>
      <w:r w:rsidRPr="006B1EB5">
        <w:rPr>
          <w:lang w:val="fr-FR"/>
        </w:rPr>
        <w:t>ect.20)) et informations complémentaires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2E24" w14:textId="377F68C4" w:rsidR="00B250D5" w:rsidRPr="00B250D5" w:rsidRDefault="00BC07CA">
    <w:pPr>
      <w:pStyle w:val="Header"/>
    </w:pPr>
    <w:r>
      <w:fldChar w:fldCharType="begin"/>
    </w:r>
    <w:r>
      <w:instrText xml:space="preserve"> TITLE  \* MERGEFORMAT </w:instrText>
    </w:r>
    <w:r>
      <w:fldChar w:fldCharType="separate"/>
    </w:r>
    <w:r>
      <w:t>ST/SG/AC.10/C.3/2020/36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3D15" w14:textId="7866D7C5" w:rsidR="00B250D5" w:rsidRPr="00B250D5" w:rsidRDefault="00BC07CA" w:rsidP="00B250D5">
    <w:pPr>
      <w:pStyle w:val="Header"/>
      <w:jc w:val="right"/>
    </w:pPr>
    <w:r>
      <w:fldChar w:fldCharType="begin"/>
    </w:r>
    <w:r>
      <w:instrText xml:space="preserve"> TITLE  \* MERGEFORMAT </w:instrText>
    </w:r>
    <w:r>
      <w:fldChar w:fldCharType="separate"/>
    </w:r>
    <w:r>
      <w:t>ST/SG/AC.10/C.3/2020/36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66"/>
    <w:rsid w:val="00017F94"/>
    <w:rsid w:val="00023842"/>
    <w:rsid w:val="000305D3"/>
    <w:rsid w:val="000334F9"/>
    <w:rsid w:val="0007796D"/>
    <w:rsid w:val="000B7790"/>
    <w:rsid w:val="00111F2F"/>
    <w:rsid w:val="00132EA9"/>
    <w:rsid w:val="0014365E"/>
    <w:rsid w:val="00176178"/>
    <w:rsid w:val="001F525A"/>
    <w:rsid w:val="00223272"/>
    <w:rsid w:val="0024030E"/>
    <w:rsid w:val="0024779E"/>
    <w:rsid w:val="00283190"/>
    <w:rsid w:val="002832AC"/>
    <w:rsid w:val="002D7C93"/>
    <w:rsid w:val="00441C3B"/>
    <w:rsid w:val="00446FE5"/>
    <w:rsid w:val="00452396"/>
    <w:rsid w:val="00496406"/>
    <w:rsid w:val="004C0266"/>
    <w:rsid w:val="004E468C"/>
    <w:rsid w:val="00542305"/>
    <w:rsid w:val="005505B7"/>
    <w:rsid w:val="00573BE5"/>
    <w:rsid w:val="00584DC4"/>
    <w:rsid w:val="00586ED3"/>
    <w:rsid w:val="00596AA9"/>
    <w:rsid w:val="005F195D"/>
    <w:rsid w:val="0068456F"/>
    <w:rsid w:val="006B7FE9"/>
    <w:rsid w:val="006C41AA"/>
    <w:rsid w:val="0071601D"/>
    <w:rsid w:val="007A60E7"/>
    <w:rsid w:val="007A62E6"/>
    <w:rsid w:val="0080684C"/>
    <w:rsid w:val="00871C75"/>
    <w:rsid w:val="008776DC"/>
    <w:rsid w:val="008A2EEE"/>
    <w:rsid w:val="008B40CD"/>
    <w:rsid w:val="008D469D"/>
    <w:rsid w:val="00946265"/>
    <w:rsid w:val="009705C8"/>
    <w:rsid w:val="009C1CF4"/>
    <w:rsid w:val="00A30353"/>
    <w:rsid w:val="00A73D0C"/>
    <w:rsid w:val="00AC3823"/>
    <w:rsid w:val="00AE323C"/>
    <w:rsid w:val="00B00181"/>
    <w:rsid w:val="00B00B0D"/>
    <w:rsid w:val="00B2123B"/>
    <w:rsid w:val="00B250D5"/>
    <w:rsid w:val="00B765F7"/>
    <w:rsid w:val="00BA0CA9"/>
    <w:rsid w:val="00BC07CA"/>
    <w:rsid w:val="00C02897"/>
    <w:rsid w:val="00C905DB"/>
    <w:rsid w:val="00D3439C"/>
    <w:rsid w:val="00DB1831"/>
    <w:rsid w:val="00DD3BFD"/>
    <w:rsid w:val="00DF6678"/>
    <w:rsid w:val="00EF2E22"/>
    <w:rsid w:val="00F01738"/>
    <w:rsid w:val="00F1248F"/>
    <w:rsid w:val="00F26FCD"/>
    <w:rsid w:val="00F6523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35458"/>
  <w15:docId w15:val="{752642B5-9526-4972-AE07-F6357761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locked/>
    <w:rsid w:val="00F65237"/>
    <w:rPr>
      <w:rFonts w:ascii="Times New Roman" w:eastAsiaTheme="minorHAnsi" w:hAnsi="Times New Roman" w:cs="Times New Roman"/>
      <w:b/>
      <w:sz w:val="24"/>
      <w:szCs w:val="20"/>
      <w:lang w:eastAsia="en-US"/>
    </w:rPr>
  </w:style>
  <w:style w:type="paragraph" w:customStyle="1" w:styleId="Default">
    <w:name w:val="Default"/>
    <w:rsid w:val="00F6523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customStyle="1" w:styleId="1">
    <w:name w:val="网格型1"/>
    <w:basedOn w:val="TableNormal"/>
    <w:uiPriority w:val="39"/>
    <w:rsid w:val="00F65237"/>
    <w:pPr>
      <w:spacing w:after="0" w:line="240" w:lineRule="auto"/>
    </w:pPr>
    <w:rPr>
      <w:rFonts w:eastAsiaTheme="minorEastAsia"/>
      <w:kern w:val="2"/>
      <w:sz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ST/SG/AC.10/C.3/2020/36</vt:lpstr>
      <vt:lpstr>ST/SG/AC.10/C.3/2020/36</vt:lpstr>
    </vt:vector>
  </TitlesOfParts>
  <Company>DCM</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ST/SG/AC.10/C.3/2020/36</dc:title>
  <dc:subject/>
  <dc:creator>Nathalie VITTOZ</dc:creator>
  <cp:keywords/>
  <cp:lastModifiedBy>Laurence Berthet</cp:lastModifiedBy>
  <cp:revision>3</cp:revision>
  <cp:lastPrinted>2020-05-04T07:09:00Z</cp:lastPrinted>
  <dcterms:created xsi:type="dcterms:W3CDTF">2020-05-04T07:08:00Z</dcterms:created>
  <dcterms:modified xsi:type="dcterms:W3CDTF">2020-05-04T07:09:00Z</dcterms:modified>
</cp:coreProperties>
</file>