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2F5E4087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6615B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F1EDE5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40648D" w14:textId="77777777" w:rsidR="00E52109" w:rsidRDefault="00D77EE7" w:rsidP="00D77EE7">
            <w:pPr>
              <w:suppressAutoHyphens w:val="0"/>
              <w:jc w:val="right"/>
            </w:pPr>
            <w:r w:rsidRPr="00D77EE7">
              <w:rPr>
                <w:sz w:val="40"/>
              </w:rPr>
              <w:t>ST</w:t>
            </w:r>
            <w:r>
              <w:t>/SG/AC.10/C.3/2020/34</w:t>
            </w:r>
          </w:p>
        </w:tc>
      </w:tr>
      <w:tr w:rsidR="00E52109" w14:paraId="0D318EA4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DDE4393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29D0BAB" wp14:editId="0DD5819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2D331A5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B247F93" w14:textId="77777777" w:rsidR="00D94B05" w:rsidRDefault="00D77EE7" w:rsidP="00D77EE7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223F152D" w14:textId="77777777" w:rsidR="00D77EE7" w:rsidRDefault="000D7B7B" w:rsidP="00D77EE7">
            <w:pPr>
              <w:suppressAutoHyphens w:val="0"/>
              <w:spacing w:line="240" w:lineRule="exact"/>
            </w:pPr>
            <w:r>
              <w:t>8</w:t>
            </w:r>
            <w:r w:rsidR="00D77EE7">
              <w:t xml:space="preserve"> April 2020</w:t>
            </w:r>
          </w:p>
          <w:p w14:paraId="691C32F7" w14:textId="77777777" w:rsidR="00D77EE7" w:rsidRDefault="00D77EE7" w:rsidP="00D77EE7">
            <w:pPr>
              <w:suppressAutoHyphens w:val="0"/>
              <w:spacing w:line="240" w:lineRule="exact"/>
            </w:pPr>
          </w:p>
          <w:p w14:paraId="79DC22D7" w14:textId="77777777" w:rsidR="00D77EE7" w:rsidRDefault="00D77EE7" w:rsidP="00D77EE7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4139D8DC" w14:textId="77777777" w:rsidR="00F04B18" w:rsidRPr="006500BA" w:rsidRDefault="00F04B18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63413B00" w14:textId="77777777" w:rsidR="00F04B18" w:rsidRPr="006500BA" w:rsidRDefault="00F04B18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F04B18" w:rsidRPr="00302456" w14:paraId="72D9F184" w14:textId="77777777" w:rsidTr="0073673F">
        <w:tc>
          <w:tcPr>
            <w:tcW w:w="4644" w:type="dxa"/>
            <w:shd w:val="clear" w:color="auto" w:fill="auto"/>
          </w:tcPr>
          <w:p w14:paraId="588148FD" w14:textId="77777777" w:rsidR="00F04B18" w:rsidRPr="00302456" w:rsidRDefault="00F04B18" w:rsidP="0073673F">
            <w:pPr>
              <w:spacing w:before="120"/>
              <w:rPr>
                <w:b/>
              </w:rPr>
            </w:pPr>
            <w:r>
              <w:rPr>
                <w:b/>
              </w:rPr>
              <w:t>Fifty-seventh session</w:t>
            </w:r>
          </w:p>
        </w:tc>
      </w:tr>
      <w:tr w:rsidR="00F04B18" w:rsidRPr="00302456" w14:paraId="35694048" w14:textId="77777777" w:rsidTr="0073673F">
        <w:tc>
          <w:tcPr>
            <w:tcW w:w="4644" w:type="dxa"/>
            <w:shd w:val="clear" w:color="auto" w:fill="auto"/>
          </w:tcPr>
          <w:p w14:paraId="2E134C77" w14:textId="77777777" w:rsidR="00F04B18" w:rsidRPr="00302456" w:rsidRDefault="00F04B18" w:rsidP="0073673F">
            <w:pPr>
              <w:rPr>
                <w:b/>
              </w:rPr>
            </w:pPr>
            <w:r>
              <w:t xml:space="preserve">Geneva, 29 June-8 July 2020 </w:t>
            </w:r>
          </w:p>
        </w:tc>
      </w:tr>
      <w:tr w:rsidR="00F04B18" w14:paraId="56BF37C0" w14:textId="77777777" w:rsidTr="0073673F">
        <w:tc>
          <w:tcPr>
            <w:tcW w:w="4644" w:type="dxa"/>
            <w:shd w:val="clear" w:color="auto" w:fill="auto"/>
          </w:tcPr>
          <w:p w14:paraId="21D3D5D6" w14:textId="77777777" w:rsidR="00F04B18" w:rsidRDefault="00F04B18" w:rsidP="0073673F">
            <w:r w:rsidRPr="006500BA">
              <w:t xml:space="preserve">Item </w:t>
            </w:r>
            <w:r>
              <w:t>2 (g)</w:t>
            </w:r>
            <w:r w:rsidRPr="006500BA">
              <w:t xml:space="preserve"> of the provisional agenda</w:t>
            </w:r>
          </w:p>
        </w:tc>
      </w:tr>
      <w:tr w:rsidR="00F04B18" w:rsidRPr="0062295C" w14:paraId="7945B141" w14:textId="77777777" w:rsidTr="0073673F">
        <w:tc>
          <w:tcPr>
            <w:tcW w:w="4644" w:type="dxa"/>
            <w:shd w:val="clear" w:color="auto" w:fill="auto"/>
          </w:tcPr>
          <w:p w14:paraId="00CAA5C2" w14:textId="77777777" w:rsidR="00F04B18" w:rsidRPr="0062295C" w:rsidRDefault="00F04B18" w:rsidP="0073673F">
            <w:pPr>
              <w:rPr>
                <w:b/>
                <w:bCs/>
              </w:rPr>
            </w:pPr>
            <w:r w:rsidRPr="0062295C">
              <w:rPr>
                <w:b/>
                <w:bCs/>
              </w:rPr>
              <w:t xml:space="preserve">Explosives and related matters: </w:t>
            </w:r>
            <w:r w:rsidRPr="0062295C">
              <w:rPr>
                <w:b/>
                <w:bCs/>
              </w:rPr>
              <w:br/>
              <w:t>test N.1 for readily combustible solids</w:t>
            </w:r>
          </w:p>
        </w:tc>
      </w:tr>
    </w:tbl>
    <w:p w14:paraId="01AE0A26" w14:textId="77777777" w:rsidR="00F04B18" w:rsidRDefault="00F04B18" w:rsidP="00F04B18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Proposals to amend </w:t>
      </w:r>
      <w:bookmarkStart w:id="0" w:name="OLE_LINK9"/>
      <w:bookmarkStart w:id="1" w:name="OLE_LINK8"/>
      <w:bookmarkStart w:id="2" w:name="OLE_LINK50"/>
      <w:bookmarkStart w:id="3" w:name="OLE_LINK49"/>
      <w:bookmarkStart w:id="4" w:name="OLE_LINK43"/>
      <w:bookmarkStart w:id="5" w:name="OLE_LINK31"/>
      <w:bookmarkStart w:id="6" w:name="OLE_LINK23"/>
      <w:bookmarkStart w:id="7" w:name="OLE_LINK12"/>
      <w:bookmarkStart w:id="8" w:name="OLE_LINK11"/>
      <w:bookmarkStart w:id="9" w:name="OLE_LINK7"/>
      <w:bookmarkStart w:id="10" w:name="OLE_LINK6"/>
      <w:r>
        <w:rPr>
          <w:lang w:val="en-US"/>
        </w:rPr>
        <w:t>Figure 33.2.4.1</w:t>
      </w:r>
      <w:bookmarkEnd w:id="0"/>
      <w:bookmarkEnd w:id="1"/>
      <w:r>
        <w:rPr>
          <w:lang w:val="en-US"/>
        </w:rPr>
        <w:t>:(A)</w:t>
      </w:r>
      <w:bookmarkEnd w:id="2"/>
      <w:bookmarkEnd w:id="3"/>
      <w:bookmarkEnd w:id="4"/>
      <w:bookmarkEnd w:id="5"/>
      <w:bookmarkEnd w:id="6"/>
      <w:bookmarkEnd w:id="7"/>
      <w:bookmarkEnd w:id="8"/>
      <w:r>
        <w:rPr>
          <w:lang w:val="en-US"/>
        </w:rPr>
        <w:t xml:space="preserve"> </w:t>
      </w:r>
      <w:bookmarkStart w:id="11" w:name="OLE_LINK30"/>
      <w:bookmarkStart w:id="12" w:name="OLE_LINK29"/>
      <w:bookmarkStart w:id="13" w:name="OLE_LINK10"/>
      <w:r>
        <w:rPr>
          <w:lang w:val="en-US"/>
        </w:rPr>
        <w:t>cross-section</w:t>
      </w:r>
      <w:bookmarkEnd w:id="11"/>
      <w:bookmarkEnd w:id="12"/>
      <w:r>
        <w:rPr>
          <w:lang w:val="en-US"/>
        </w:rPr>
        <w:t xml:space="preserve"> of </w:t>
      </w:r>
      <w:r w:rsidR="009F09A7">
        <w:rPr>
          <w:lang w:val="en-US"/>
        </w:rPr>
        <w:t xml:space="preserve">the </w:t>
      </w:r>
      <w:r>
        <w:rPr>
          <w:lang w:val="en-US"/>
        </w:rPr>
        <w:t>250</w:t>
      </w:r>
      <w:r w:rsidR="009F09A7">
        <w:rPr>
          <w:lang w:val="en-US"/>
        </w:rPr>
        <w:t> </w:t>
      </w:r>
      <w:r>
        <w:rPr>
          <w:lang w:val="en-US"/>
        </w:rPr>
        <w:t xml:space="preserve">mm long </w:t>
      </w:r>
      <w:proofErr w:type="spellStart"/>
      <w:r>
        <w:rPr>
          <w:lang w:val="en-US"/>
        </w:rPr>
        <w:t>moul</w:t>
      </w:r>
      <w:bookmarkStart w:id="14" w:name="_GoBack"/>
      <w:bookmarkEnd w:id="14"/>
      <w:r>
        <w:rPr>
          <w:lang w:val="en-US"/>
        </w:rPr>
        <w:t>d</w:t>
      </w:r>
      <w:bookmarkEnd w:id="9"/>
      <w:bookmarkEnd w:id="10"/>
      <w:bookmarkEnd w:id="13"/>
      <w:proofErr w:type="spellEnd"/>
      <w:r>
        <w:rPr>
          <w:lang w:val="en-US"/>
        </w:rPr>
        <w:t xml:space="preserve"> </w:t>
      </w:r>
      <w:r>
        <w:t>in</w:t>
      </w:r>
      <w:r>
        <w:rPr>
          <w:lang w:val="en-US"/>
        </w:rPr>
        <w:t xml:space="preserve"> the Manual of Tests and Criteria</w:t>
      </w:r>
    </w:p>
    <w:p w14:paraId="0CC7F24E" w14:textId="77777777" w:rsidR="00F04B18" w:rsidRPr="0062295C" w:rsidRDefault="00F04B18" w:rsidP="00F04B18">
      <w:pPr>
        <w:pStyle w:val="H1G"/>
        <w:rPr>
          <w:sz w:val="20"/>
        </w:rPr>
      </w:pPr>
      <w:r>
        <w:rPr>
          <w:lang w:val="en-US"/>
        </w:rPr>
        <w:tab/>
      </w:r>
      <w:r>
        <w:rPr>
          <w:lang w:val="en-US"/>
        </w:rPr>
        <w:tab/>
        <w:t>Transmitted by the expert from China</w:t>
      </w:r>
      <w:r>
        <w:rPr>
          <w:rStyle w:val="FootnoteReference"/>
          <w:lang w:val="en-US"/>
        </w:rPr>
        <w:footnoteReference w:id="2"/>
      </w:r>
    </w:p>
    <w:p w14:paraId="6DA74B0A" w14:textId="77777777" w:rsidR="00F04B18" w:rsidRDefault="00F04B18" w:rsidP="00F04B18">
      <w:pPr>
        <w:pStyle w:val="HChG"/>
        <w:rPr>
          <w:lang w:val="en-US"/>
        </w:rPr>
      </w:pPr>
      <w:bookmarkStart w:id="15" w:name="OLE_LINK19"/>
      <w:bookmarkStart w:id="16" w:name="OLE_LINK18"/>
      <w:r>
        <w:rPr>
          <w:lang w:val="en-US"/>
        </w:rPr>
        <w:tab/>
      </w:r>
      <w:r>
        <w:rPr>
          <w:lang w:val="en-US"/>
        </w:rPr>
        <w:tab/>
        <w:t>Introduction</w:t>
      </w:r>
    </w:p>
    <w:bookmarkEnd w:id="15"/>
    <w:bookmarkEnd w:id="16"/>
    <w:p w14:paraId="45F6B203" w14:textId="77777777" w:rsidR="00F04B18" w:rsidRDefault="00F04B18" w:rsidP="00F04B18">
      <w:pPr>
        <w:pStyle w:val="SingleTxtG"/>
        <w:tabs>
          <w:tab w:val="left" w:pos="1701"/>
        </w:tabs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  <w:t xml:space="preserve">After reviewing </w:t>
      </w:r>
      <w:bookmarkStart w:id="17" w:name="OLE_LINK22"/>
      <w:bookmarkStart w:id="18" w:name="OLE_LINK21"/>
      <w:r>
        <w:rPr>
          <w:lang w:val="en-US"/>
        </w:rPr>
        <w:t>section</w:t>
      </w:r>
      <w:bookmarkEnd w:id="17"/>
      <w:bookmarkEnd w:id="18"/>
      <w:r>
        <w:rPr>
          <w:lang w:val="en-US"/>
        </w:rPr>
        <w:t xml:space="preserve"> 33.2.4.2 in the Manual of Tests and Criteria (ST/SG/AC.10/11/Rev.7) and regarding the </w:t>
      </w:r>
      <w:proofErr w:type="spellStart"/>
      <w:r>
        <w:rPr>
          <w:lang w:val="en-US"/>
        </w:rPr>
        <w:t>mould</w:t>
      </w:r>
      <w:proofErr w:type="spellEnd"/>
      <w:r>
        <w:rPr>
          <w:lang w:val="en-US"/>
        </w:rPr>
        <w:t xml:space="preserve"> for burning rate test, particularly Figure 33.2.4.1, experts from China have identified some deficiencies in the cross-section diagram of 250 mm long </w:t>
      </w:r>
      <w:proofErr w:type="spellStart"/>
      <w:r>
        <w:rPr>
          <w:lang w:val="en-US"/>
        </w:rPr>
        <w:t>mould</w:t>
      </w:r>
      <w:proofErr w:type="spellEnd"/>
      <w:r>
        <w:rPr>
          <w:lang w:val="en-US"/>
        </w:rPr>
        <w:t xml:space="preserve"> which need to be revised to </w:t>
      </w:r>
      <w:r w:rsidR="000D7B7B">
        <w:rPr>
          <w:lang w:val="en-US"/>
        </w:rPr>
        <w:t xml:space="preserve">ensure that </w:t>
      </w:r>
      <w:r>
        <w:rPr>
          <w:lang w:val="en-US"/>
        </w:rPr>
        <w:t>the information corresponds to the description in 33.2.4.2.</w:t>
      </w:r>
    </w:p>
    <w:p w14:paraId="241803AB" w14:textId="77777777" w:rsidR="00F04B18" w:rsidRDefault="00F04B18" w:rsidP="00F04B18">
      <w:pPr>
        <w:pStyle w:val="SingleTxtG"/>
        <w:tabs>
          <w:tab w:val="left" w:pos="1701"/>
        </w:tabs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 xml:space="preserve">The Figure 33.2.4.1:(A) is the </w:t>
      </w:r>
      <w:bookmarkStart w:id="19" w:name="OLE_LINK14"/>
      <w:bookmarkStart w:id="20" w:name="OLE_LINK13"/>
      <w:r>
        <w:rPr>
          <w:lang w:val="en-US"/>
        </w:rPr>
        <w:t>cross-section</w:t>
      </w:r>
      <w:bookmarkEnd w:id="19"/>
      <w:bookmarkEnd w:id="20"/>
      <w:r>
        <w:rPr>
          <w:lang w:val="en-US"/>
        </w:rPr>
        <w:t xml:space="preserve"> of </w:t>
      </w:r>
      <w:proofErr w:type="spellStart"/>
      <w:r>
        <w:rPr>
          <w:lang w:val="en-US"/>
        </w:rPr>
        <w:t>mould</w:t>
      </w:r>
      <w:proofErr w:type="spellEnd"/>
      <w:r>
        <w:rPr>
          <w:lang w:val="en-US"/>
        </w:rPr>
        <w:t xml:space="preserve"> which indicates the inner structure. With this cross-section diagram, the experiment researcher </w:t>
      </w:r>
      <w:r>
        <w:rPr>
          <w:rFonts w:eastAsia="PMingLiU"/>
          <w:lang w:val="en-US" w:eastAsia="zh-TW"/>
        </w:rPr>
        <w:t>shall</w:t>
      </w:r>
      <w:r>
        <w:rPr>
          <w:lang w:val="en-US"/>
        </w:rPr>
        <w:t xml:space="preserve"> make the </w:t>
      </w:r>
      <w:proofErr w:type="spellStart"/>
      <w:r>
        <w:rPr>
          <w:lang w:val="en-US"/>
        </w:rPr>
        <w:t>mould</w:t>
      </w:r>
      <w:proofErr w:type="spellEnd"/>
      <w:r>
        <w:rPr>
          <w:lang w:val="en-US"/>
        </w:rPr>
        <w:t xml:space="preserve"> correctly.</w:t>
      </w:r>
    </w:p>
    <w:p w14:paraId="48518426" w14:textId="77777777" w:rsidR="00F04B18" w:rsidRDefault="00F04B18" w:rsidP="00F04B18">
      <w:pPr>
        <w:pStyle w:val="HChG"/>
        <w:ind w:left="0" w:firstLine="0"/>
        <w:rPr>
          <w:lang w:val="en-US"/>
        </w:rPr>
      </w:pPr>
      <w:bookmarkStart w:id="21" w:name="OLE_LINK37"/>
      <w:bookmarkStart w:id="22" w:name="OLE_LINK36"/>
      <w:r>
        <w:rPr>
          <w:lang w:val="en-US"/>
        </w:rPr>
        <w:tab/>
      </w:r>
      <w:r>
        <w:rPr>
          <w:lang w:val="en-US"/>
        </w:rPr>
        <w:tab/>
        <w:t>Necessity of revision</w:t>
      </w:r>
    </w:p>
    <w:bookmarkEnd w:id="21"/>
    <w:bookmarkEnd w:id="22"/>
    <w:p w14:paraId="7A477527" w14:textId="77777777" w:rsidR="00F04B18" w:rsidRDefault="00F04B18" w:rsidP="00F04B18">
      <w:pPr>
        <w:pStyle w:val="SingleTxtG"/>
        <w:rPr>
          <w:dstrike/>
        </w:rPr>
      </w:pPr>
      <w:r>
        <w:t>3.</w:t>
      </w:r>
      <w:r>
        <w:tab/>
        <w:t>In section 33.2.4.2</w:t>
      </w:r>
      <w:r w:rsidR="00547B87">
        <w:t xml:space="preserve"> </w:t>
      </w:r>
      <w:r>
        <w:t>-</w:t>
      </w:r>
      <w:r w:rsidR="00547B87">
        <w:t xml:space="preserve"> </w:t>
      </w:r>
      <w:r>
        <w:t>apparatus and materials, a mould 250 mm l</w:t>
      </w:r>
      <w:r>
        <w:rPr>
          <w:rFonts w:eastAsia="PMingLiU"/>
          <w:lang w:eastAsia="zh-TW"/>
        </w:rPr>
        <w:t xml:space="preserve">ong with </w:t>
      </w:r>
      <w:r>
        <w:t xml:space="preserve">a triangular cross-section of inner height 10 mm and </w:t>
      </w:r>
      <w:bookmarkStart w:id="23" w:name="OLE_LINK26"/>
      <w:bookmarkStart w:id="24" w:name="OLE_LINK25"/>
      <w:bookmarkStart w:id="25" w:name="OLE_LINK24"/>
      <w:r>
        <w:t>width</w:t>
      </w:r>
      <w:bookmarkEnd w:id="23"/>
      <w:bookmarkEnd w:id="24"/>
      <w:bookmarkEnd w:id="25"/>
      <w:r>
        <w:t xml:space="preserve"> 20 mm is used to form the train for the burning rate test. But in Figure 33.2.4.1</w:t>
      </w:r>
      <w:r w:rsidR="00547B87">
        <w:t>:</w:t>
      </w:r>
      <w:r>
        <w:t>(A), the 20</w:t>
      </w:r>
      <w:r w:rsidR="00547B87">
        <w:t xml:space="preserve"> </w:t>
      </w:r>
      <w:r>
        <w:t>mm width includes the thickness of the metal sheets on both sides as lateral limitation, therefore the width of triangle of the mould can only be less than 20</w:t>
      </w:r>
      <w:r w:rsidR="00547B87">
        <w:t xml:space="preserve"> </w:t>
      </w:r>
      <w:r>
        <w:t>mm.</w:t>
      </w:r>
    </w:p>
    <w:p w14:paraId="226640B9" w14:textId="77777777" w:rsidR="00F04B18" w:rsidRDefault="00F04B18" w:rsidP="00F04B18">
      <w:pPr>
        <w:pStyle w:val="SingleTxtG"/>
      </w:pPr>
      <w:r>
        <w:t>4.</w:t>
      </w:r>
      <w:bookmarkStart w:id="26" w:name="OLE_LINK34"/>
      <w:bookmarkStart w:id="27" w:name="OLE_LINK33"/>
      <w:r>
        <w:tab/>
        <w:t>According to</w:t>
      </w:r>
      <w:r>
        <w:rPr>
          <w:rFonts w:eastAsia="PMingLiU"/>
          <w:lang w:eastAsia="zh-TW"/>
        </w:rPr>
        <w:t xml:space="preserve"> the description in</w:t>
      </w:r>
      <w:r>
        <w:t xml:space="preserve"> section 33.2.4.2, Figure 33.2.4.1 shows the cross section of the mould without samples. In </w:t>
      </w:r>
      <w:bookmarkEnd w:id="26"/>
      <w:bookmarkEnd w:id="27"/>
      <w:r>
        <w:t>Figure 33.2.4.1:(A), there are two transverse lines on top which seem to indicate a lateral limitation in the transversal direction. But this lateral limitation in transversal direction covered some parts of lateral limitations in longitudinal direction.</w:t>
      </w:r>
    </w:p>
    <w:p w14:paraId="47CDADE2" w14:textId="77777777" w:rsidR="00F04B18" w:rsidRDefault="00F04B18" w:rsidP="00F04B18">
      <w:pPr>
        <w:pStyle w:val="SingleTxtG"/>
      </w:pPr>
      <w:r>
        <w:lastRenderedPageBreak/>
        <w:t>5.</w:t>
      </w:r>
      <w:r>
        <w:tab/>
        <w:t xml:space="preserve">Figure 33.2.4.1:(A) is not a real cross section of the mould. It includes both triangular cross-section and lateral limitation in the transversal direction may cause confusion to </w:t>
      </w:r>
      <w:r>
        <w:rPr>
          <w:lang w:val="en-US"/>
        </w:rPr>
        <w:t>the experiment researcher.</w:t>
      </w:r>
      <w:r>
        <w:t xml:space="preserve"> The purpose of using such a </w:t>
      </w:r>
      <w:r>
        <w:rPr>
          <w:rFonts w:eastAsia="PMingLiU"/>
          <w:lang w:eastAsia="zh-TW"/>
        </w:rPr>
        <w:t>diagram</w:t>
      </w:r>
      <w:r>
        <w:t xml:space="preserve"> seems to be consistent with the style of Figure 33.2.4.1 which using perspective to express more information.</w:t>
      </w:r>
    </w:p>
    <w:p w14:paraId="3894852D" w14:textId="77777777" w:rsidR="00F04B18" w:rsidRDefault="00F04B18" w:rsidP="00F04B18">
      <w:pPr>
        <w:jc w:val="center"/>
      </w:pPr>
      <w:r>
        <w:rPr>
          <w:noProof/>
          <w:lang w:val="en-US"/>
        </w:rPr>
        <w:drawing>
          <wp:inline distT="0" distB="0" distL="0" distR="0" wp14:anchorId="2487F688" wp14:editId="0F098CA9">
            <wp:extent cx="4276725" cy="29241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5F387" w14:textId="77777777" w:rsidR="00F04B18" w:rsidRDefault="00F04B18" w:rsidP="00F04B18">
      <w:pPr>
        <w:pStyle w:val="HChG"/>
        <w:ind w:left="0" w:firstLine="0"/>
        <w:rPr>
          <w:lang w:val="en-US"/>
        </w:rPr>
      </w:pPr>
      <w:r>
        <w:rPr>
          <w:rFonts w:ascii="SimSun" w:hAnsi="SimSun"/>
          <w:lang w:val="en-US"/>
        </w:rPr>
        <w:tab/>
      </w:r>
      <w:r>
        <w:rPr>
          <w:rFonts w:ascii="SimSun" w:hAnsi="SimSun"/>
          <w:lang w:val="en-US"/>
        </w:rPr>
        <w:tab/>
      </w:r>
      <w:r>
        <w:rPr>
          <w:lang w:val="en-US"/>
        </w:rPr>
        <w:t>Proposal</w:t>
      </w:r>
    </w:p>
    <w:p w14:paraId="291C5644" w14:textId="77777777" w:rsidR="00F04B18" w:rsidRDefault="00F04B18" w:rsidP="00F04B18">
      <w:pPr>
        <w:pStyle w:val="SingleTxtG"/>
      </w:pPr>
      <w:r>
        <w:t>6.</w:t>
      </w:r>
      <w:r>
        <w:tab/>
        <w:t>The experts from China propose 3 options to amend Figure 33.2.4.1:(A) as follows:</w:t>
      </w:r>
    </w:p>
    <w:p w14:paraId="3F262879" w14:textId="77777777" w:rsidR="00F04B18" w:rsidRDefault="00F04B18" w:rsidP="00F04B18">
      <w:pPr>
        <w:pStyle w:val="H1G"/>
      </w:pPr>
      <w:r>
        <w:tab/>
      </w:r>
      <w:r>
        <w:tab/>
        <w:t>Option 1</w:t>
      </w:r>
    </w:p>
    <w:p w14:paraId="35EB8585" w14:textId="77777777" w:rsidR="00F04B18" w:rsidRDefault="00F04B18" w:rsidP="00F04B18">
      <w:pPr>
        <w:pStyle w:val="SingleTxtG"/>
      </w:pPr>
      <w:r>
        <w:t>Revise the 20 mm width marking in Figure 33.2.4.1:(A) to exclude the thickness</w:t>
      </w:r>
      <w:r>
        <w:rPr>
          <w:rFonts w:eastAsia="PMingLiU"/>
          <w:lang w:eastAsia="zh-TW"/>
        </w:rPr>
        <w:t xml:space="preserve"> of the two metal sheets.</w:t>
      </w:r>
      <w:r>
        <w:t xml:space="preserve"> In order to show</w:t>
      </w:r>
      <w:r>
        <w:rPr>
          <w:rFonts w:eastAsiaTheme="minorEastAsia"/>
        </w:rPr>
        <w:t xml:space="preserve"> the lateral limitation in the transversal direction</w:t>
      </w:r>
      <w:r>
        <w:t xml:space="preserve"> with </w:t>
      </w:r>
      <w:r>
        <w:rPr>
          <w:rFonts w:eastAsiaTheme="minorEastAsia"/>
        </w:rPr>
        <w:t xml:space="preserve">perspective and keep the original style, </w:t>
      </w:r>
      <w:r>
        <w:t>revise the width of the transverse lines on top of the triangle to exclude the two metal sheets. (Figure 1)</w:t>
      </w:r>
    </w:p>
    <w:p w14:paraId="276E17CF" w14:textId="77777777" w:rsidR="00F04B18" w:rsidRDefault="00F04B18" w:rsidP="00F04B18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C65ED48" wp14:editId="6D4CE4B4">
            <wp:extent cx="3848100" cy="3028950"/>
            <wp:effectExtent l="0" t="0" r="0" b="0"/>
            <wp:docPr id="6" name="Picture 6" descr="有盖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有盖板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42788" w14:textId="77777777" w:rsidR="00F04B18" w:rsidRDefault="00F04B18" w:rsidP="00F04B18">
      <w:pPr>
        <w:jc w:val="center"/>
        <w:rPr>
          <w:lang w:val="en-US"/>
        </w:rPr>
      </w:pPr>
      <w:r>
        <w:rPr>
          <w:lang w:val="en-US"/>
        </w:rPr>
        <w:t>Figure1</w:t>
      </w:r>
    </w:p>
    <w:p w14:paraId="5FBD633F" w14:textId="77777777" w:rsidR="00F04B18" w:rsidRDefault="00F04B18" w:rsidP="00F04B18">
      <w:pPr>
        <w:widowControl w:val="0"/>
        <w:suppressAutoHyphens w:val="0"/>
        <w:spacing w:line="240" w:lineRule="auto"/>
        <w:ind w:firstLineChars="100" w:firstLine="200"/>
        <w:jc w:val="both"/>
      </w:pPr>
    </w:p>
    <w:p w14:paraId="7F9555BA" w14:textId="77777777" w:rsidR="00F04B18" w:rsidRDefault="00F04B18" w:rsidP="00F04B18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</w:rPr>
      </w:pPr>
      <w:r>
        <w:rPr>
          <w:b/>
        </w:rPr>
        <w:br w:type="page"/>
      </w:r>
    </w:p>
    <w:p w14:paraId="1F06CBB7" w14:textId="77777777" w:rsidR="00F04B18" w:rsidRDefault="00F04B18" w:rsidP="00F04B18">
      <w:pPr>
        <w:pStyle w:val="H1G"/>
      </w:pPr>
      <w:r>
        <w:lastRenderedPageBreak/>
        <w:tab/>
      </w:r>
      <w:r>
        <w:tab/>
        <w:t>Option 2</w:t>
      </w:r>
    </w:p>
    <w:p w14:paraId="62C1EACB" w14:textId="77777777" w:rsidR="00F04B18" w:rsidRDefault="00F04B18" w:rsidP="00F04B18">
      <w:pPr>
        <w:pStyle w:val="SingleTxtG"/>
      </w:pPr>
      <w:r>
        <w:t>Revise the 20 mm width marking in Figure 33.2.4.1:(A) to exclude the thickness</w:t>
      </w:r>
      <w:r>
        <w:rPr>
          <w:rFonts w:eastAsia="PMingLiU"/>
          <w:lang w:eastAsia="zh-TW"/>
        </w:rPr>
        <w:t xml:space="preserve"> of the two metal sheets.</w:t>
      </w:r>
      <w:r>
        <w:rPr>
          <w:rFonts w:eastAsiaTheme="minorEastAsia"/>
        </w:rPr>
        <w:t xml:space="preserve"> </w:t>
      </w:r>
      <w:r>
        <w:t>Remove the</w:t>
      </w:r>
      <w:bookmarkStart w:id="28" w:name="OLE_LINK46"/>
      <w:bookmarkStart w:id="29" w:name="OLE_LINK45"/>
      <w:r>
        <w:t xml:space="preserve"> transverse line</w:t>
      </w:r>
      <w:bookmarkEnd w:id="28"/>
      <w:bookmarkEnd w:id="29"/>
      <w:r>
        <w:t>s on top of the triangle in Figure 33.2.4.1:(A) consistent with the actual situation. (Figure 2)</w:t>
      </w:r>
    </w:p>
    <w:p w14:paraId="44595A3E" w14:textId="77777777" w:rsidR="00F04B18" w:rsidRDefault="00F04B18" w:rsidP="00F04B18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9EECFD7" wp14:editId="19A84E17">
            <wp:extent cx="3848100" cy="3028950"/>
            <wp:effectExtent l="0" t="0" r="0" b="0"/>
            <wp:docPr id="5" name="Picture 5" descr="无盖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无盖板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</w:t>
      </w:r>
    </w:p>
    <w:p w14:paraId="32E7D6F7" w14:textId="77777777" w:rsidR="00F04B18" w:rsidRDefault="00F04B18" w:rsidP="00F04B18">
      <w:pPr>
        <w:jc w:val="center"/>
        <w:rPr>
          <w:lang w:val="en-US"/>
        </w:rPr>
      </w:pPr>
      <w:r>
        <w:rPr>
          <w:lang w:val="en-US"/>
        </w:rPr>
        <w:t>Figure2</w:t>
      </w:r>
    </w:p>
    <w:p w14:paraId="032E7E6D" w14:textId="77777777" w:rsidR="00F04B18" w:rsidRDefault="00F04B18" w:rsidP="00F04B18">
      <w:pPr>
        <w:pStyle w:val="H1G"/>
      </w:pPr>
      <w:r>
        <w:tab/>
      </w:r>
      <w:r>
        <w:tab/>
        <w:t>Option 3</w:t>
      </w:r>
    </w:p>
    <w:p w14:paraId="29B4D405" w14:textId="77777777" w:rsidR="00F04B18" w:rsidRDefault="00F04B18" w:rsidP="00F04B18">
      <w:pPr>
        <w:pStyle w:val="SingleTxtG"/>
      </w:pPr>
      <w:r>
        <w:t xml:space="preserve">Replace the Figure 33.2.4.1:(A) with a new </w:t>
      </w:r>
      <w:r w:rsidR="00547B87">
        <w:t>f</w:t>
      </w:r>
      <w:r>
        <w:t xml:space="preserve">igure to bring more details which contain top view, end face view, sectional view and </w:t>
      </w:r>
      <w:r w:rsidR="00547B87">
        <w:t>s</w:t>
      </w:r>
      <w:r>
        <w:t>ide view of the mould. (Figure 3)</w:t>
      </w:r>
    </w:p>
    <w:p w14:paraId="1936950B" w14:textId="77777777" w:rsidR="00F04B18" w:rsidRDefault="00F04B18" w:rsidP="00F04B18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8C879CE" wp14:editId="6DF5CF8A">
            <wp:extent cx="5267325" cy="2266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08D94" w14:textId="77777777" w:rsidR="00F04B18" w:rsidRDefault="00F04B18" w:rsidP="00F04B18">
      <w:pPr>
        <w:jc w:val="center"/>
        <w:rPr>
          <w:lang w:val="en-US"/>
        </w:rPr>
      </w:pPr>
      <w:r>
        <w:rPr>
          <w:lang w:val="en-US"/>
        </w:rPr>
        <w:t>Figure</w:t>
      </w:r>
      <w:r w:rsidR="00547B87">
        <w:rPr>
          <w:lang w:val="en-US"/>
        </w:rPr>
        <w:t xml:space="preserve"> </w:t>
      </w:r>
      <w:r>
        <w:rPr>
          <w:lang w:val="en-US"/>
        </w:rPr>
        <w:t>3</w:t>
      </w:r>
    </w:p>
    <w:p w14:paraId="564444A6" w14:textId="77777777" w:rsidR="00F04B18" w:rsidRPr="0062295C" w:rsidRDefault="00F04B18" w:rsidP="00F04B1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0A8500" w14:textId="77777777" w:rsidR="00F04B18" w:rsidRPr="00D77EE7" w:rsidRDefault="00F04B18" w:rsidP="004858F5"/>
    <w:sectPr w:rsidR="00F04B18" w:rsidRPr="00D77EE7" w:rsidSect="00D77EE7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BFEC1" w14:textId="77777777" w:rsidR="00D77EE7" w:rsidRPr="00C47B2E" w:rsidRDefault="00D77EE7" w:rsidP="00C47B2E">
      <w:pPr>
        <w:pStyle w:val="Footer"/>
      </w:pPr>
    </w:p>
  </w:endnote>
  <w:endnote w:type="continuationSeparator" w:id="0">
    <w:p w14:paraId="4AF2D358" w14:textId="77777777" w:rsidR="00D77EE7" w:rsidRPr="00C47B2E" w:rsidRDefault="00D77EE7" w:rsidP="00C47B2E">
      <w:pPr>
        <w:pStyle w:val="Footer"/>
      </w:pPr>
    </w:p>
  </w:endnote>
  <w:endnote w:type="continuationNotice" w:id="1">
    <w:p w14:paraId="5E9EED43" w14:textId="77777777" w:rsidR="00D77EE7" w:rsidRPr="00C47B2E" w:rsidRDefault="00D77EE7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84E2A" w14:textId="77777777" w:rsidR="00D94B05" w:rsidRPr="00D77EE7" w:rsidRDefault="00D77EE7" w:rsidP="00D77EE7">
    <w:pPr>
      <w:pStyle w:val="Footer"/>
      <w:tabs>
        <w:tab w:val="right" w:pos="9598"/>
        <w:tab w:val="right" w:pos="9638"/>
      </w:tabs>
      <w:rPr>
        <w:sz w:val="18"/>
      </w:rPr>
    </w:pPr>
    <w:r w:rsidRPr="00D77EE7">
      <w:rPr>
        <w:b/>
        <w:sz w:val="18"/>
      </w:rPr>
      <w:fldChar w:fldCharType="begin"/>
    </w:r>
    <w:r w:rsidRPr="00D77EE7">
      <w:rPr>
        <w:b/>
        <w:sz w:val="18"/>
      </w:rPr>
      <w:instrText xml:space="preserve"> PAGE  \* MERGEFORMAT </w:instrText>
    </w:r>
    <w:r w:rsidRPr="00D77EE7">
      <w:rPr>
        <w:b/>
        <w:sz w:val="18"/>
      </w:rPr>
      <w:fldChar w:fldCharType="separate"/>
    </w:r>
    <w:r w:rsidRPr="00D77EE7">
      <w:rPr>
        <w:b/>
        <w:noProof/>
        <w:sz w:val="18"/>
      </w:rPr>
      <w:t>2</w:t>
    </w:r>
    <w:r w:rsidRPr="00D77EE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EB7E1" w14:textId="77777777" w:rsidR="00D94B05" w:rsidRPr="00D77EE7" w:rsidRDefault="00D77EE7" w:rsidP="00D77EE7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D77EE7">
      <w:rPr>
        <w:sz w:val="18"/>
      </w:rPr>
      <w:fldChar w:fldCharType="begin"/>
    </w:r>
    <w:r w:rsidRPr="00D77EE7">
      <w:rPr>
        <w:sz w:val="18"/>
      </w:rPr>
      <w:instrText xml:space="preserve"> PAGE  \* MERGEFORMAT </w:instrText>
    </w:r>
    <w:r w:rsidRPr="00D77EE7">
      <w:rPr>
        <w:sz w:val="18"/>
      </w:rPr>
      <w:fldChar w:fldCharType="separate"/>
    </w:r>
    <w:r w:rsidRPr="00D77EE7">
      <w:rPr>
        <w:noProof/>
        <w:sz w:val="18"/>
      </w:rPr>
      <w:t>3</w:t>
    </w:r>
    <w:r w:rsidRPr="00D77EE7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D332A" w14:textId="77777777" w:rsidR="00D94B05" w:rsidRPr="00D77EE7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0CE1EADC" wp14:editId="51FBAC33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7DD11" w14:textId="77777777" w:rsidR="00D77EE7" w:rsidRPr="00C47B2E" w:rsidRDefault="00D77EE7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00032360" w14:textId="77777777" w:rsidR="00D77EE7" w:rsidRPr="00C47B2E" w:rsidRDefault="00D77EE7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69158C48" w14:textId="77777777" w:rsidR="00D77EE7" w:rsidRPr="00C47B2E" w:rsidRDefault="00D77EE7" w:rsidP="00C47B2E">
      <w:pPr>
        <w:pStyle w:val="Footer"/>
      </w:pPr>
    </w:p>
  </w:footnote>
  <w:footnote w:id="2">
    <w:p w14:paraId="3F09F5CC" w14:textId="77777777" w:rsidR="00F04B18" w:rsidRPr="00F04B18" w:rsidRDefault="00F04B18" w:rsidP="00F04B18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n-US"/>
        </w:rPr>
        <w:t xml:space="preserve">2020 (A/74/6 (Sect.20) and Supplementary, </w:t>
      </w:r>
      <w:proofErr w:type="spellStart"/>
      <w:r>
        <w:rPr>
          <w:lang w:val="en-US"/>
        </w:rPr>
        <w:t>Subprogramme</w:t>
      </w:r>
      <w:proofErr w:type="spellEnd"/>
      <w:r>
        <w:rPr>
          <w:lang w:val="en-US"/>
        </w:rPr>
        <w:t xml:space="preserve"> 2</w:t>
      </w:r>
      <w:r w:rsidR="00547B87">
        <w:rPr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F6FCA" w14:textId="212422FA" w:rsidR="00D77EE7" w:rsidRPr="00D77EE7" w:rsidRDefault="009F09A7">
    <w:pPr>
      <w:pStyle w:val="Header"/>
    </w:pPr>
    <w:fldSimple w:instr=" TITLE  \* MERGEFORMAT ">
      <w:r w:rsidR="00613322">
        <w:t>ST/SG/AC.10/C.3/2020/34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B681F" w14:textId="00B555E3" w:rsidR="00D94B05" w:rsidRPr="00D77EE7" w:rsidRDefault="009F09A7" w:rsidP="00D77EE7">
    <w:pPr>
      <w:pStyle w:val="Header"/>
      <w:jc w:val="right"/>
    </w:pPr>
    <w:fldSimple w:instr=" TITLE  \* MERGEFORMAT ">
      <w:r w:rsidR="00613322">
        <w:t>ST/SG/AC.10/C.3/2020/34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trackRevisions/>
  <w:defaultTabStop w:val="567"/>
  <w:hyphenationZone w:val="425"/>
  <w:evenAndOddHeaders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E7"/>
    <w:rsid w:val="00046E92"/>
    <w:rsid w:val="00063C90"/>
    <w:rsid w:val="000D7B7B"/>
    <w:rsid w:val="00101B98"/>
    <w:rsid w:val="001514D1"/>
    <w:rsid w:val="00247E2C"/>
    <w:rsid w:val="002A32CB"/>
    <w:rsid w:val="002D5B2C"/>
    <w:rsid w:val="002D6C53"/>
    <w:rsid w:val="002F5595"/>
    <w:rsid w:val="00334F6A"/>
    <w:rsid w:val="00342AC8"/>
    <w:rsid w:val="00343302"/>
    <w:rsid w:val="003979DE"/>
    <w:rsid w:val="003B4550"/>
    <w:rsid w:val="003D2A18"/>
    <w:rsid w:val="00413386"/>
    <w:rsid w:val="00461253"/>
    <w:rsid w:val="004858F5"/>
    <w:rsid w:val="004A2814"/>
    <w:rsid w:val="004C0622"/>
    <w:rsid w:val="005042C2"/>
    <w:rsid w:val="00547B87"/>
    <w:rsid w:val="005E716E"/>
    <w:rsid w:val="00613322"/>
    <w:rsid w:val="006476E1"/>
    <w:rsid w:val="006604DF"/>
    <w:rsid w:val="00671529"/>
    <w:rsid w:val="0070489D"/>
    <w:rsid w:val="007268F9"/>
    <w:rsid w:val="00750282"/>
    <w:rsid w:val="00764440"/>
    <w:rsid w:val="0077101B"/>
    <w:rsid w:val="007C52B0"/>
    <w:rsid w:val="007C6033"/>
    <w:rsid w:val="008147C8"/>
    <w:rsid w:val="0081753A"/>
    <w:rsid w:val="00857D23"/>
    <w:rsid w:val="009411B4"/>
    <w:rsid w:val="00946F1D"/>
    <w:rsid w:val="009D0139"/>
    <w:rsid w:val="009D717D"/>
    <w:rsid w:val="009F09A7"/>
    <w:rsid w:val="009F5CDC"/>
    <w:rsid w:val="00A072D7"/>
    <w:rsid w:val="00A775CF"/>
    <w:rsid w:val="00AD1A9C"/>
    <w:rsid w:val="00AF5DE1"/>
    <w:rsid w:val="00B06045"/>
    <w:rsid w:val="00B206DD"/>
    <w:rsid w:val="00B52EF4"/>
    <w:rsid w:val="00B777AD"/>
    <w:rsid w:val="00C03015"/>
    <w:rsid w:val="00C0358D"/>
    <w:rsid w:val="00C35A27"/>
    <w:rsid w:val="00C47B2E"/>
    <w:rsid w:val="00D63CD2"/>
    <w:rsid w:val="00D714F5"/>
    <w:rsid w:val="00D77EE7"/>
    <w:rsid w:val="00D87DC2"/>
    <w:rsid w:val="00D94B05"/>
    <w:rsid w:val="00E02C2B"/>
    <w:rsid w:val="00E21C27"/>
    <w:rsid w:val="00E26BCF"/>
    <w:rsid w:val="00E52109"/>
    <w:rsid w:val="00E75317"/>
    <w:rsid w:val="00EC0CE6"/>
    <w:rsid w:val="00EC7444"/>
    <w:rsid w:val="00EC7C1D"/>
    <w:rsid w:val="00ED6C48"/>
    <w:rsid w:val="00EE3045"/>
    <w:rsid w:val="00F04B18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ED7306"/>
  <w15:docId w15:val="{A398D134-E7EF-462C-B543-6A4D3D79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6A404-4F2B-46C5-B2A2-18929FE5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39</TotalTime>
  <Pages>3</Pages>
  <Words>507</Words>
  <Characters>2690</Characters>
  <Application>Microsoft Office Word</Application>
  <DocSecurity>0</DocSecurity>
  <Lines>69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ST/SG/AC.10/C.3/2020/34</vt:lpstr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ST/SG/AC.10/C.3/2020/34</dc:title>
  <dc:subject/>
  <dc:creator>Editorial</dc:creator>
  <cp:lastModifiedBy>Laurence Berthet</cp:lastModifiedBy>
  <cp:revision>6</cp:revision>
  <cp:lastPrinted>2020-04-08T10:54:00Z</cp:lastPrinted>
  <dcterms:created xsi:type="dcterms:W3CDTF">2020-04-06T11:56:00Z</dcterms:created>
  <dcterms:modified xsi:type="dcterms:W3CDTF">2020-04-08T10:58:00Z</dcterms:modified>
</cp:coreProperties>
</file>