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AB755B" w14:paraId="61F8EE4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BA2560" w14:textId="77777777" w:rsidR="00132EA9" w:rsidRPr="00DB58B5" w:rsidRDefault="00132EA9" w:rsidP="0053171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38B4C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7B4AFF" w14:textId="77777777" w:rsidR="00531711" w:rsidRPr="00531711" w:rsidRDefault="00531711" w:rsidP="00531711">
            <w:pPr>
              <w:jc w:val="right"/>
              <w:rPr>
                <w:lang w:val="en-US"/>
              </w:rPr>
            </w:pPr>
            <w:r w:rsidRPr="00531711">
              <w:rPr>
                <w:sz w:val="40"/>
                <w:lang w:val="en-US"/>
              </w:rPr>
              <w:t>ST</w:t>
            </w:r>
            <w:r w:rsidRPr="00531711">
              <w:rPr>
                <w:lang w:val="en-US"/>
              </w:rPr>
              <w:t>/SG/AC.10/C.3/2020/33−</w:t>
            </w:r>
            <w:r w:rsidRPr="00531711">
              <w:rPr>
                <w:sz w:val="40"/>
                <w:lang w:val="en-US"/>
              </w:rPr>
              <w:t>ST</w:t>
            </w:r>
            <w:r w:rsidRPr="00531711">
              <w:rPr>
                <w:lang w:val="en-US"/>
              </w:rPr>
              <w:t>/SG/AC.10/C.4/2020/10</w:t>
            </w:r>
          </w:p>
        </w:tc>
      </w:tr>
      <w:tr w:rsidR="00132EA9" w:rsidRPr="00DB58B5" w14:paraId="2BA4532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DA223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47D8D0" wp14:editId="1A558AD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04F1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C6B910" w14:textId="77777777" w:rsidR="00132EA9" w:rsidRDefault="00531711" w:rsidP="00F01738">
            <w:pPr>
              <w:spacing w:before="240"/>
            </w:pPr>
            <w:r>
              <w:t>Distr. générale</w:t>
            </w:r>
          </w:p>
          <w:p w14:paraId="43B66BE3" w14:textId="77777777" w:rsidR="00531711" w:rsidRDefault="00531711" w:rsidP="00531711">
            <w:pPr>
              <w:spacing w:line="240" w:lineRule="exact"/>
            </w:pPr>
            <w:r>
              <w:t>14 avril 2020</w:t>
            </w:r>
          </w:p>
          <w:p w14:paraId="4855AB79" w14:textId="77777777" w:rsidR="00531711" w:rsidRDefault="00531711" w:rsidP="00531711">
            <w:pPr>
              <w:spacing w:line="240" w:lineRule="exact"/>
            </w:pPr>
            <w:r>
              <w:t>Français</w:t>
            </w:r>
          </w:p>
          <w:p w14:paraId="19A009CA" w14:textId="77777777" w:rsidR="00531711" w:rsidRPr="00DB58B5" w:rsidRDefault="00531711" w:rsidP="00531711">
            <w:pPr>
              <w:spacing w:line="240" w:lineRule="exact"/>
            </w:pPr>
            <w:r>
              <w:t>Original : anglais</w:t>
            </w:r>
          </w:p>
        </w:tc>
      </w:tr>
    </w:tbl>
    <w:p w14:paraId="5A164DDD" w14:textId="77777777" w:rsidR="00531711" w:rsidRPr="00CA0680" w:rsidRDefault="0053171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531711" w14:paraId="7A3D4019" w14:textId="77777777" w:rsidTr="009C3129">
        <w:tc>
          <w:tcPr>
            <w:tcW w:w="4820" w:type="dxa"/>
          </w:tcPr>
          <w:p w14:paraId="24B6038F" w14:textId="77777777" w:rsidR="00531711" w:rsidRDefault="00531711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75B34A7B" w14:textId="77777777" w:rsidR="00531711" w:rsidRDefault="00531711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531711" w14:paraId="7B2D445F" w14:textId="77777777" w:rsidTr="009C3129">
        <w:tc>
          <w:tcPr>
            <w:tcW w:w="4820" w:type="dxa"/>
          </w:tcPr>
          <w:p w14:paraId="1AD1032F" w14:textId="77777777" w:rsidR="00531711" w:rsidRPr="00CA0680" w:rsidRDefault="00531711" w:rsidP="009C3129">
            <w:pPr>
              <w:spacing w:before="120"/>
              <w:rPr>
                <w:b/>
              </w:rPr>
            </w:pPr>
            <w:r w:rsidRPr="00820E0A">
              <w:rPr>
                <w:b/>
                <w:bCs/>
                <w:lang w:val="fr-FR"/>
              </w:rPr>
              <w:t>Cinquante-septième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5F73DE8A" w14:textId="77777777" w:rsidR="00531711" w:rsidRDefault="00531711" w:rsidP="009C3129">
            <w:pPr>
              <w:spacing w:before="120"/>
              <w:rPr>
                <w:b/>
              </w:rPr>
            </w:pPr>
            <w:r w:rsidRPr="00820E0A">
              <w:rPr>
                <w:b/>
                <w:bCs/>
                <w:lang w:val="fr-FR"/>
              </w:rPr>
              <w:t>Trente-neuvième</w:t>
            </w:r>
            <w:r>
              <w:rPr>
                <w:b/>
              </w:rPr>
              <w:t xml:space="preserve"> session</w:t>
            </w:r>
          </w:p>
        </w:tc>
      </w:tr>
      <w:tr w:rsidR="00531711" w14:paraId="25506EA3" w14:textId="77777777" w:rsidTr="009C3129">
        <w:tc>
          <w:tcPr>
            <w:tcW w:w="4820" w:type="dxa"/>
          </w:tcPr>
          <w:p w14:paraId="12A4F477" w14:textId="77777777" w:rsidR="00531711" w:rsidRDefault="00531711" w:rsidP="009C3129">
            <w:r>
              <w:t xml:space="preserve">Genève, </w:t>
            </w:r>
            <w:r w:rsidRPr="00820E0A">
              <w:rPr>
                <w:lang w:val="fr-FR"/>
              </w:rPr>
              <w:t>29 juin-8 juillet 2020</w:t>
            </w:r>
          </w:p>
          <w:p w14:paraId="5D4327C2" w14:textId="77777777" w:rsidR="00531711" w:rsidRDefault="00531711" w:rsidP="009C3129">
            <w:r>
              <w:t xml:space="preserve">Point </w:t>
            </w:r>
            <w:r w:rsidRPr="00820E0A">
              <w:rPr>
                <w:lang w:val="fr-FR"/>
              </w:rPr>
              <w:t>10 b)</w:t>
            </w:r>
            <w:r>
              <w:t xml:space="preserve"> de l’ordre du jour provisoire</w:t>
            </w:r>
          </w:p>
          <w:p w14:paraId="745935F5" w14:textId="77777777" w:rsidR="00531711" w:rsidRPr="003B79D9" w:rsidRDefault="00531711" w:rsidP="009C3129">
            <w:pPr>
              <w:rPr>
                <w:b/>
              </w:rPr>
            </w:pPr>
            <w:r w:rsidRPr="00294EF4">
              <w:rPr>
                <w:b/>
                <w:lang w:val="fr-FR"/>
              </w:rPr>
              <w:t>Questions relatives au Système général harmonisé de classification et d</w:t>
            </w:r>
            <w:r>
              <w:rPr>
                <w:b/>
                <w:lang w:val="fr-FR"/>
              </w:rPr>
              <w:t>’</w:t>
            </w:r>
            <w:r w:rsidRPr="00294EF4">
              <w:rPr>
                <w:b/>
                <w:lang w:val="fr-FR"/>
              </w:rPr>
              <w:t>étiquetage des produits chimiques</w:t>
            </w:r>
            <w:r w:rsidR="004E534A">
              <w:rPr>
                <w:b/>
                <w:lang w:val="fr-FR"/>
              </w:rPr>
              <w:t> </w:t>
            </w:r>
            <w:r w:rsidRPr="00294EF4">
              <w:rPr>
                <w:b/>
                <w:lang w:val="fr-FR"/>
              </w:rPr>
              <w:t xml:space="preserve">: </w:t>
            </w:r>
            <w:r w:rsidRPr="000C1A2E">
              <w:rPr>
                <w:b/>
                <w:lang w:val="fr-FR"/>
              </w:rPr>
              <w:t xml:space="preserve">Précision du </w:t>
            </w:r>
            <w:r w:rsidR="004E534A" w:rsidRPr="000C1A2E">
              <w:rPr>
                <w:b/>
                <w:lang w:val="fr-FR"/>
              </w:rPr>
              <w:t xml:space="preserve">paragraphe </w:t>
            </w:r>
            <w:r w:rsidR="004E534A" w:rsidRPr="00294EF4">
              <w:rPr>
                <w:b/>
                <w:lang w:val="fr-FR"/>
              </w:rPr>
              <w:t>2.9.3.4.3.4</w:t>
            </w:r>
            <w:r w:rsidRPr="00294EF4">
              <w:rPr>
                <w:b/>
                <w:lang w:val="fr-FR"/>
              </w:rPr>
              <w:t xml:space="preserve"> du Règlement type et </w:t>
            </w:r>
            <w:r>
              <w:rPr>
                <w:b/>
                <w:lang w:val="fr-FR"/>
              </w:rPr>
              <w:t>du paragraphe</w:t>
            </w:r>
            <w:r w:rsidRPr="00294EF4">
              <w:rPr>
                <w:b/>
                <w:lang w:val="fr-FR"/>
              </w:rPr>
              <w:t xml:space="preserve"> 4.1.3.3.4 du SGH</w:t>
            </w:r>
          </w:p>
        </w:tc>
        <w:tc>
          <w:tcPr>
            <w:tcW w:w="4820" w:type="dxa"/>
          </w:tcPr>
          <w:p w14:paraId="1D77FB35" w14:textId="77777777" w:rsidR="00531711" w:rsidRDefault="00531711" w:rsidP="009C3129">
            <w:r>
              <w:t xml:space="preserve">Genève, </w:t>
            </w:r>
            <w:r w:rsidRPr="00820E0A">
              <w:rPr>
                <w:lang w:val="fr-FR"/>
              </w:rPr>
              <w:t>8-10 juillet 2020</w:t>
            </w:r>
          </w:p>
          <w:p w14:paraId="1EECD5D4" w14:textId="77777777" w:rsidR="00531711" w:rsidRDefault="00531711" w:rsidP="009C3129">
            <w:r>
              <w:t xml:space="preserve">Point </w:t>
            </w:r>
            <w:r w:rsidRPr="00820E0A">
              <w:rPr>
                <w:lang w:val="fr-FR"/>
              </w:rPr>
              <w:t>2 c)</w:t>
            </w:r>
            <w:r>
              <w:t xml:space="preserve"> de l’ordre du jour provisoire</w:t>
            </w:r>
          </w:p>
          <w:p w14:paraId="7ED3FAFB" w14:textId="77777777" w:rsidR="00531711" w:rsidRPr="003B79D9" w:rsidRDefault="00531711" w:rsidP="009C3129">
            <w:pPr>
              <w:rPr>
                <w:b/>
              </w:rPr>
            </w:pPr>
            <w:r w:rsidRPr="00294EF4">
              <w:rPr>
                <w:b/>
                <w:lang w:val="fr-FR"/>
              </w:rPr>
              <w:t>Critères de classification et communication des dangers y relatifs</w:t>
            </w:r>
            <w:r w:rsidR="004E534A">
              <w:rPr>
                <w:b/>
                <w:lang w:val="fr-FR"/>
              </w:rPr>
              <w:t> </w:t>
            </w:r>
            <w:r w:rsidRPr="00294EF4">
              <w:rPr>
                <w:b/>
                <w:lang w:val="fr-FR"/>
              </w:rPr>
              <w:t xml:space="preserve">: </w:t>
            </w:r>
            <w:r>
              <w:rPr>
                <w:b/>
                <w:lang w:val="fr-FR"/>
              </w:rPr>
              <w:t>P</w:t>
            </w:r>
            <w:r w:rsidRPr="00294EF4">
              <w:rPr>
                <w:b/>
                <w:lang w:val="fr-FR"/>
              </w:rPr>
              <w:t>récision</w:t>
            </w:r>
            <w:r>
              <w:rPr>
                <w:b/>
                <w:lang w:val="fr-FR"/>
              </w:rPr>
              <w:t xml:space="preserve"> du </w:t>
            </w:r>
            <w:r w:rsidR="004E534A">
              <w:rPr>
                <w:b/>
                <w:lang w:val="fr-FR"/>
              </w:rPr>
              <w:t>paragraphe 2.9.3.4.3.4</w:t>
            </w:r>
            <w:r w:rsidRPr="00294EF4">
              <w:rPr>
                <w:b/>
                <w:lang w:val="fr-FR"/>
              </w:rPr>
              <w:t xml:space="preserve"> du Règlement type et </w:t>
            </w:r>
            <w:r>
              <w:rPr>
                <w:b/>
                <w:lang w:val="fr-FR"/>
              </w:rPr>
              <w:t xml:space="preserve">du paragraphe </w:t>
            </w:r>
            <w:r w:rsidRPr="00294EF4">
              <w:rPr>
                <w:b/>
                <w:lang w:val="fr-FR"/>
              </w:rPr>
              <w:t>4.1.3.3.4 du SGH</w:t>
            </w:r>
          </w:p>
        </w:tc>
      </w:tr>
    </w:tbl>
    <w:p w14:paraId="19B13C02" w14:textId="77777777" w:rsidR="00531711" w:rsidRPr="00531711" w:rsidRDefault="00531711" w:rsidP="0053171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31711">
        <w:rPr>
          <w:lang w:val="fr-FR"/>
        </w:rPr>
        <w:t xml:space="preserve">Précisions concernant le 2.9.3.4.3.4 du Règlement type </w:t>
      </w:r>
      <w:r>
        <w:rPr>
          <w:lang w:val="fr-FR"/>
        </w:rPr>
        <w:br/>
      </w:r>
      <w:r w:rsidRPr="00531711">
        <w:rPr>
          <w:lang w:val="fr-FR"/>
        </w:rPr>
        <w:t>et le 4.1.3.3.4 du SGH</w:t>
      </w:r>
    </w:p>
    <w:p w14:paraId="3F57D592" w14:textId="77777777" w:rsidR="00531711" w:rsidRPr="00531711" w:rsidRDefault="00531711" w:rsidP="00531711">
      <w:pPr>
        <w:pStyle w:val="H1G"/>
      </w:pPr>
      <w:r w:rsidRPr="00531711">
        <w:rPr>
          <w:lang w:val="fr-FR"/>
        </w:rPr>
        <w:tab/>
      </w:r>
      <w:r w:rsidRPr="00531711">
        <w:rPr>
          <w:lang w:val="fr-FR"/>
        </w:rPr>
        <w:tab/>
        <w:t>Communication de l’expert de la Chine</w:t>
      </w:r>
      <w:r w:rsidR="0028315F" w:rsidRPr="0028315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7A90866" w14:textId="77777777" w:rsidR="00531711" w:rsidRPr="00531711" w:rsidRDefault="00531711" w:rsidP="00531711">
      <w:pPr>
        <w:pStyle w:val="HChG"/>
        <w:rPr>
          <w:rFonts w:eastAsia="MS Mincho"/>
        </w:rPr>
      </w:pPr>
      <w:r w:rsidRPr="00531711">
        <w:rPr>
          <w:lang w:val="fr-FR"/>
        </w:rPr>
        <w:tab/>
      </w:r>
      <w:r w:rsidRPr="00531711">
        <w:rPr>
          <w:lang w:val="fr-FR"/>
        </w:rPr>
        <w:tab/>
        <w:t>Introduction</w:t>
      </w:r>
    </w:p>
    <w:p w14:paraId="1AB3FA0A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1.</w:t>
      </w:r>
      <w:r w:rsidRPr="00531711">
        <w:rPr>
          <w:lang w:val="fr-FR"/>
        </w:rPr>
        <w:tab/>
        <w:t>Le présent document a pour but d’inviter les sous-comités TMD et SGH à revoir les dispositions se rapportant à la classification du danger à long terme (chronique) des mélanges pour le milieu aquatique dans le Règlement type et dans le SGH. À la précédente session, l’expert de la Chine a soumis les documents informels INF.12 (</w:t>
      </w:r>
      <w:r w:rsidR="00AB755B">
        <w:rPr>
          <w:lang w:val="fr-FR"/>
        </w:rPr>
        <w:t xml:space="preserve">TDM, </w:t>
      </w:r>
      <w:r w:rsidRPr="00531711">
        <w:rPr>
          <w:lang w:val="fr-FR"/>
        </w:rPr>
        <w:t>56</w:t>
      </w:r>
      <w:r w:rsidRPr="004E534A">
        <w:rPr>
          <w:vertAlign w:val="superscript"/>
          <w:lang w:val="fr-FR"/>
        </w:rPr>
        <w:t>e</w:t>
      </w:r>
      <w:r w:rsidR="004E534A">
        <w:rPr>
          <w:lang w:val="fr-FR"/>
        </w:rPr>
        <w:t> </w:t>
      </w:r>
      <w:r w:rsidRPr="00531711">
        <w:rPr>
          <w:lang w:val="fr-FR"/>
        </w:rPr>
        <w:t>session) et INF.11 (</w:t>
      </w:r>
      <w:r w:rsidR="00AB755B">
        <w:rPr>
          <w:lang w:val="fr-FR"/>
        </w:rPr>
        <w:t xml:space="preserve">SGH, </w:t>
      </w:r>
      <w:r w:rsidRPr="00531711">
        <w:rPr>
          <w:lang w:val="fr-FR"/>
        </w:rPr>
        <w:t>38</w:t>
      </w:r>
      <w:r w:rsidRPr="004E534A">
        <w:rPr>
          <w:vertAlign w:val="superscript"/>
          <w:lang w:val="fr-FR"/>
        </w:rPr>
        <w:t>e</w:t>
      </w:r>
      <w:r w:rsidR="004E534A">
        <w:rPr>
          <w:lang w:val="fr-FR"/>
        </w:rPr>
        <w:t> </w:t>
      </w:r>
      <w:r w:rsidRPr="00531711">
        <w:rPr>
          <w:lang w:val="fr-FR"/>
        </w:rPr>
        <w:t xml:space="preserve">session). À la suite de l’examen de ces documents, les sous-comités ont invité l’expert de la Chine à soumettre un document </w:t>
      </w:r>
      <w:r w:rsidR="00AB755B">
        <w:rPr>
          <w:lang w:val="fr-FR"/>
        </w:rPr>
        <w:t>officiel</w:t>
      </w:r>
      <w:r w:rsidRPr="00531711">
        <w:rPr>
          <w:lang w:val="fr-FR"/>
        </w:rPr>
        <w:t xml:space="preserve"> à la présente session (57</w:t>
      </w:r>
      <w:r w:rsidRPr="004E534A">
        <w:rPr>
          <w:vertAlign w:val="superscript"/>
          <w:lang w:val="fr-FR"/>
        </w:rPr>
        <w:t>e</w:t>
      </w:r>
      <w:r w:rsidR="004E534A">
        <w:rPr>
          <w:lang w:val="fr-FR"/>
        </w:rPr>
        <w:t> </w:t>
      </w:r>
      <w:r w:rsidRPr="00531711">
        <w:rPr>
          <w:lang w:val="fr-FR"/>
        </w:rPr>
        <w:t>session du Sous-Comité TMD et 39</w:t>
      </w:r>
      <w:r w:rsidRPr="004E534A">
        <w:rPr>
          <w:vertAlign w:val="superscript"/>
          <w:lang w:val="fr-FR"/>
        </w:rPr>
        <w:t>e</w:t>
      </w:r>
      <w:r w:rsidRPr="00531711">
        <w:rPr>
          <w:lang w:val="fr-FR"/>
        </w:rPr>
        <w:t xml:space="preserve"> du Sous-Comité SGH).</w:t>
      </w:r>
    </w:p>
    <w:p w14:paraId="058C01F7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2.</w:t>
      </w:r>
      <w:r w:rsidRPr="00531711">
        <w:rPr>
          <w:lang w:val="fr-FR"/>
        </w:rPr>
        <w:tab/>
        <w:t>Le 2.9.3.4 du Règlement type reprend le 4.1.3 du SGH. Dans le SGH, le danger à court terme (aigu) pour le milieu aquatique (le terme utilisé dans le Règlement type est « danger aigu (à court terme) pour le milieu aquatique</w:t>
      </w:r>
      <w:r w:rsidR="004E534A">
        <w:rPr>
          <w:lang w:val="fr-FR"/>
        </w:rPr>
        <w:t> </w:t>
      </w:r>
      <w:r w:rsidRPr="00531711">
        <w:rPr>
          <w:lang w:val="fr-FR"/>
        </w:rPr>
        <w:t>») des mélanges dangereux pour le milieu aquatique comporte trois catégories, à savoir Aiguë 1, 2 et 3, alors que le danger à long terme (chronique) pour le milieu aquatique (« danger à long terme pour le milieu aquatique » dans le Règlement type) peut être classé dans les catégories Chronique 1, 2, 3 ou 4 (voir tableau 4.1.1 du SGH). Cependant, dans le Règlement type, il n’existe qu’une seule catégorie de danger aigu (à court terme) pour le milieu aquatique (catégorie Aiguë</w:t>
      </w:r>
      <w:r w:rsidR="004E534A">
        <w:rPr>
          <w:lang w:val="fr-FR"/>
        </w:rPr>
        <w:t> </w:t>
      </w:r>
      <w:r w:rsidRPr="00531711">
        <w:rPr>
          <w:lang w:val="fr-FR"/>
        </w:rPr>
        <w:t>1) et deux catégories de danger à long terme (catégories Chronique 1 et Chronique 2) (voir tableau 2.9.1 du Règlement type). En d’autres termes, il n’existe pas dans le Règlement type de catégories correspondant aux catégories Chronique 3 et 4 du SGH.</w:t>
      </w:r>
    </w:p>
    <w:p w14:paraId="67341A46" w14:textId="77777777" w:rsidR="00531711" w:rsidRPr="00531711" w:rsidRDefault="00531711" w:rsidP="00531711">
      <w:pPr>
        <w:pStyle w:val="SingleTxtG"/>
      </w:pPr>
      <w:r w:rsidRPr="00531711">
        <w:br w:type="page"/>
      </w:r>
      <w:r w:rsidRPr="00531711">
        <w:rPr>
          <w:lang w:val="fr-FR"/>
        </w:rPr>
        <w:lastRenderedPageBreak/>
        <w:t>3.</w:t>
      </w:r>
      <w:r w:rsidRPr="00531711">
        <w:rPr>
          <w:lang w:val="fr-FR"/>
        </w:rPr>
        <w:tab/>
        <w:t>Le 2.9.3.4.3.4 du Règlement type décrit le classement des mélanges dangereux pour l’environnement aquatique dans les catégories Chronique 1 et Chronique 2. 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 ≤ 1 mg/l, le mélange peut être classé dans les catégories Chronique 1 ou 2 conformément au tableau 2.9.1 b) ii) (rapidement dégradable) ou au tableau 2.9.1 b) i) (non rapidement dégradable). Cependant, selon le tableau 2.9.1 b)</w:t>
      </w:r>
      <w:r w:rsidR="004E534A">
        <w:rPr>
          <w:lang w:val="fr-FR"/>
        </w:rPr>
        <w:t> </w:t>
      </w:r>
      <w:r w:rsidRPr="00531711">
        <w:rPr>
          <w:lang w:val="fr-FR"/>
        </w:rPr>
        <w:t>ii) (substances rapidement dégradables), les mélanges dont tous les composants pertinents sont eux</w:t>
      </w:r>
      <w:r w:rsidR="004E534A">
        <w:rPr>
          <w:lang w:val="fr-FR"/>
        </w:rPr>
        <w:noBreakHyphen/>
      </w:r>
      <w:r w:rsidRPr="00531711">
        <w:rPr>
          <w:lang w:val="fr-FR"/>
        </w:rPr>
        <w:t>mêmes rapidement dégradables devraient être classés dans la catégorie Chronique</w:t>
      </w:r>
      <w:r w:rsidR="004E534A">
        <w:rPr>
          <w:lang w:val="fr-FR"/>
        </w:rPr>
        <w:t> </w:t>
      </w:r>
      <w:r w:rsidRPr="00531711">
        <w:rPr>
          <w:lang w:val="fr-FR"/>
        </w:rPr>
        <w:t>1 ou</w:t>
      </w:r>
      <w:r w:rsidR="00E971AD">
        <w:rPr>
          <w:lang w:val="fr-FR"/>
        </w:rPr>
        <w:t> </w:t>
      </w:r>
      <w:r w:rsidRPr="00531711">
        <w:rPr>
          <w:lang w:val="fr-FR"/>
        </w:rPr>
        <w:t>2 uniquement lorsque la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la CSEO est ≤ 0,1 mg/l. Le libellé du 2.9.3.4.3.4</w:t>
      </w:r>
      <w:r w:rsidR="004E534A">
        <w:rPr>
          <w:lang w:val="fr-FR"/>
        </w:rPr>
        <w:t> </w:t>
      </w:r>
      <w:r w:rsidRPr="00531711">
        <w:rPr>
          <w:lang w:val="fr-FR"/>
        </w:rPr>
        <w:t>a)</w:t>
      </w:r>
      <w:r w:rsidR="004E534A">
        <w:rPr>
          <w:lang w:val="fr-FR"/>
        </w:rPr>
        <w:t> </w:t>
      </w:r>
      <w:r w:rsidRPr="00531711">
        <w:rPr>
          <w:lang w:val="fr-FR"/>
        </w:rPr>
        <w:t>i) peut facilement provoquer un malentendu, c’est-à-dire donner à penser que le mélange doit être classé dans la catégorie Chronique 1 ou 2, pour autant que la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la CSEO du mélange testé est ≤ 1 mg</w:t>
      </w:r>
      <w:r w:rsidRPr="00D97698">
        <w:rPr>
          <w:lang w:val="fr-FR"/>
        </w:rPr>
        <w:t>/l. La Chine estime</w:t>
      </w:r>
      <w:r w:rsidRPr="00531711">
        <w:rPr>
          <w:lang w:val="fr-FR"/>
        </w:rPr>
        <w:t xml:space="preserve"> qu’il y a une incohérence entre les informations relatives à la classification données dans le 2.9.3.4.3.4 et celles qui figurent dans le tableau</w:t>
      </w:r>
      <w:r w:rsidR="004E534A">
        <w:rPr>
          <w:lang w:val="fr-FR"/>
        </w:rPr>
        <w:t> </w:t>
      </w:r>
      <w:r w:rsidRPr="00531711">
        <w:rPr>
          <w:lang w:val="fr-FR"/>
        </w:rPr>
        <w:t>2.9.1 b) ii). Les mélanges dont tous les composants pertinents sont eux-mêmes rapidement dégradables avec une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 &gt; 0,1 mg/l mais ≤ 1 mg/l pourraient ne pas être classés correctement sur la base du texte actuel du 2.9.3.4.3.4.</w:t>
      </w:r>
    </w:p>
    <w:p w14:paraId="54E0DC73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4.</w:t>
      </w:r>
      <w:r w:rsidRPr="00531711">
        <w:rPr>
          <w:lang w:val="fr-FR"/>
        </w:rPr>
        <w:tab/>
        <w:t xml:space="preserve">Le 4.1.3.3.4 </w:t>
      </w:r>
      <w:r w:rsidRPr="00D97698">
        <w:rPr>
          <w:lang w:val="fr-FR"/>
        </w:rPr>
        <w:t xml:space="preserve">a) </w:t>
      </w:r>
      <w:r w:rsidRPr="00531711">
        <w:rPr>
          <w:lang w:val="fr-FR"/>
        </w:rPr>
        <w:t>SGH décrit le classement des mélanges dangereux pour l’environnement aquatique dans les catégories de toxicité Chronique 1, 2 et 3 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en tant que tel indiquant une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 ≤ 1mg/l. Dans le 4.1.3.3.4 a) ii), il est indiqué que le mélange peut être classé dans les catégories Chronique 1, 2 ou 3 dans tous les autres cas conformément au tableau 4.1.1 b) i) (non rapidement dégradable). Cependant, selon le tableau 4.1.1 b) i) (non rapidement dégradable), si la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la CSEO du mélange testé est ≤</w:t>
      </w:r>
      <w:r w:rsidR="004E534A">
        <w:rPr>
          <w:lang w:val="fr-FR"/>
        </w:rPr>
        <w:t> </w:t>
      </w:r>
      <w:r w:rsidRPr="00531711">
        <w:rPr>
          <w:lang w:val="fr-FR"/>
        </w:rPr>
        <w:t>1</w:t>
      </w:r>
      <w:r w:rsidR="004E534A">
        <w:rPr>
          <w:lang w:val="fr-FR"/>
        </w:rPr>
        <w:t> </w:t>
      </w:r>
      <w:r w:rsidRPr="00531711">
        <w:rPr>
          <w:lang w:val="fr-FR"/>
        </w:rPr>
        <w:t>mg/l, le mélange ne peut être classé que dans la catégorie Chronique 1 ou 2, dans la mesure où il n’existe pas de catégorie Chronique 3. Il y a une incohérence dans les informations concernant le classement, et il n’est pas nécessaire de mentionner la catégorie Chronique 3 au 4.1.3.3.4 a) ii).</w:t>
      </w:r>
    </w:p>
    <w:p w14:paraId="51760CA1" w14:textId="77777777" w:rsidR="00531711" w:rsidRPr="00531711" w:rsidRDefault="00531711" w:rsidP="00531711">
      <w:pPr>
        <w:pStyle w:val="SingleTxtG"/>
      </w:pPr>
      <w:r w:rsidRPr="00AB755B">
        <w:rPr>
          <w:lang w:val="fr-FR"/>
        </w:rPr>
        <w:t>5.</w:t>
      </w:r>
      <w:r w:rsidRPr="00AB755B">
        <w:rPr>
          <w:lang w:val="fr-FR"/>
        </w:rPr>
        <w:tab/>
        <w:t>Pendant l’examen du document informel INF.12 (TMD, 56</w:t>
      </w:r>
      <w:r w:rsidRPr="00AB755B">
        <w:rPr>
          <w:vertAlign w:val="superscript"/>
          <w:lang w:val="fr-FR"/>
        </w:rPr>
        <w:t>e</w:t>
      </w:r>
      <w:r w:rsidR="004E534A" w:rsidRPr="00AB755B">
        <w:rPr>
          <w:lang w:val="fr-FR"/>
        </w:rPr>
        <w:t> </w:t>
      </w:r>
      <w:r w:rsidRPr="00AB755B">
        <w:rPr>
          <w:lang w:val="fr-FR"/>
        </w:rPr>
        <w:t xml:space="preserve">session) </w:t>
      </w:r>
      <w:r w:rsidR="004E534A" w:rsidRPr="00AB755B">
        <w:rPr>
          <w:lang w:val="fr-FR"/>
        </w:rPr>
        <w:t>− </w:t>
      </w:r>
      <w:r w:rsidRPr="00AB755B">
        <w:rPr>
          <w:lang w:val="fr-FR"/>
        </w:rPr>
        <w:t>INF.11</w:t>
      </w:r>
      <w:r w:rsidRPr="00531711">
        <w:rPr>
          <w:lang w:val="fr-FR"/>
        </w:rPr>
        <w:t xml:space="preserve"> </w:t>
      </w:r>
      <w:r w:rsidRPr="00AB755B">
        <w:rPr>
          <w:lang w:val="fr-FR"/>
        </w:rPr>
        <w:t>(SGH, 3</w:t>
      </w:r>
      <w:r w:rsidR="00AB755B" w:rsidRPr="00AB755B">
        <w:rPr>
          <w:lang w:val="fr-FR"/>
        </w:rPr>
        <w:t>8</w:t>
      </w:r>
      <w:r w:rsidRPr="00AB755B">
        <w:rPr>
          <w:vertAlign w:val="superscript"/>
          <w:lang w:val="fr-FR"/>
        </w:rPr>
        <w:t>e</w:t>
      </w:r>
      <w:r w:rsidR="004E534A" w:rsidRPr="00AB755B">
        <w:rPr>
          <w:lang w:val="fr-FR"/>
        </w:rPr>
        <w:t> </w:t>
      </w:r>
      <w:r w:rsidRPr="00AB755B">
        <w:rPr>
          <w:lang w:val="fr-FR"/>
        </w:rPr>
        <w:t>session), l’experte du Royaume-Uni a fait observer que l’expression « </w:t>
      </w:r>
      <w:r w:rsidRPr="00AB755B">
        <w:rPr>
          <w:i/>
          <w:lang w:val="fr-FR"/>
        </w:rPr>
        <w:t>rapidly</w:t>
      </w:r>
      <w:r w:rsidRPr="00531711">
        <w:rPr>
          <w:i/>
          <w:lang w:val="fr-FR"/>
        </w:rPr>
        <w:t xml:space="preserve"> </w:t>
      </w:r>
      <w:r w:rsidRPr="00AB755B">
        <w:rPr>
          <w:i/>
          <w:lang w:val="fr-FR"/>
        </w:rPr>
        <w:t>degradable mixtures</w:t>
      </w:r>
      <w:r w:rsidRPr="00AB755B">
        <w:rPr>
          <w:lang w:val="fr-FR"/>
        </w:rPr>
        <w:t> » (mélanges rapidement dégradables) figurant dans le document</w:t>
      </w:r>
      <w:r w:rsidRPr="00531711">
        <w:rPr>
          <w:lang w:val="fr-FR"/>
        </w:rPr>
        <w:t xml:space="preserve"> informel était inexacte, compte tenu des difficultés à déterminer si le mélange dans son ensemble est rapidement dégradable ou non. La proposition figurant au paragraphe</w:t>
      </w:r>
      <w:r w:rsidR="000C542E">
        <w:rPr>
          <w:lang w:val="fr-FR"/>
        </w:rPr>
        <w:t> </w:t>
      </w:r>
      <w:r w:rsidRPr="00531711">
        <w:rPr>
          <w:lang w:val="fr-FR"/>
        </w:rPr>
        <w:t>6 ci</w:t>
      </w:r>
      <w:r w:rsidR="000C542E">
        <w:rPr>
          <w:lang w:val="fr-FR"/>
        </w:rPr>
        <w:noBreakHyphen/>
      </w:r>
      <w:r w:rsidRPr="00531711">
        <w:rPr>
          <w:lang w:val="fr-FR"/>
        </w:rPr>
        <w:t>après tient compte de cette observation.</w:t>
      </w:r>
    </w:p>
    <w:p w14:paraId="38CF690F" w14:textId="77777777" w:rsidR="00531711" w:rsidRPr="00531711" w:rsidRDefault="00531711" w:rsidP="00531711">
      <w:pPr>
        <w:pStyle w:val="HChG"/>
        <w:rPr>
          <w:rFonts w:eastAsia="MS Mincho"/>
        </w:rPr>
      </w:pPr>
      <w:r w:rsidRPr="00531711">
        <w:rPr>
          <w:lang w:val="fr-FR"/>
        </w:rPr>
        <w:tab/>
      </w:r>
      <w:r w:rsidRPr="00531711">
        <w:rPr>
          <w:lang w:val="fr-FR"/>
        </w:rPr>
        <w:tab/>
        <w:t>Proposition</w:t>
      </w:r>
    </w:p>
    <w:p w14:paraId="07FE45DC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6.</w:t>
      </w:r>
      <w:r w:rsidRPr="00531711">
        <w:rPr>
          <w:lang w:val="fr-FR"/>
        </w:rPr>
        <w:tab/>
        <w:t xml:space="preserve">L’expert de la Chine propose les deux options suivantes pour modifier le 2.9.3.4.3.4 du Règlement type (le texte supprimé est </w:t>
      </w:r>
      <w:r w:rsidRPr="00531711">
        <w:rPr>
          <w:strike/>
          <w:lang w:val="fr-FR"/>
        </w:rPr>
        <w:t>biffé</w:t>
      </w:r>
      <w:r w:rsidRPr="00531711">
        <w:rPr>
          <w:lang w:val="fr-FR"/>
        </w:rPr>
        <w:t xml:space="preserve"> et les ajouts sont </w:t>
      </w:r>
      <w:r w:rsidRPr="00531711">
        <w:rPr>
          <w:u w:val="single"/>
          <w:lang w:val="fr-FR"/>
        </w:rPr>
        <w:t>soulignés</w:t>
      </w:r>
      <w:r w:rsidRPr="00531711">
        <w:rPr>
          <w:lang w:val="fr-FR"/>
        </w:rPr>
        <w:t>)</w:t>
      </w:r>
      <w:r w:rsidR="00E971AD">
        <w:rPr>
          <w:lang w:val="fr-FR"/>
        </w:rPr>
        <w:t> </w:t>
      </w:r>
      <w:r w:rsidRPr="00531711">
        <w:rPr>
          <w:lang w:val="fr-FR"/>
        </w:rPr>
        <w:t>:</w:t>
      </w:r>
    </w:p>
    <w:p w14:paraId="40CAC17E" w14:textId="77777777" w:rsidR="00531711" w:rsidRPr="00531711" w:rsidRDefault="00531711" w:rsidP="00531711">
      <w:pPr>
        <w:pStyle w:val="H23G"/>
      </w:pPr>
      <w:r w:rsidRPr="00531711">
        <w:rPr>
          <w:lang w:val="fr-FR"/>
        </w:rPr>
        <w:tab/>
      </w:r>
      <w:r w:rsidRPr="00531711">
        <w:rPr>
          <w:lang w:val="fr-FR"/>
        </w:rPr>
        <w:tab/>
        <w:t>Option 1</w:t>
      </w:r>
    </w:p>
    <w:p w14:paraId="3D6DDDEF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« 2.9.3.4.3.4</w:t>
      </w:r>
      <w:r w:rsidRPr="00531711">
        <w:rPr>
          <w:lang w:val="fr-FR"/>
        </w:rPr>
        <w:tab/>
        <w:t>Classification dans les catégories Chronique 1 et Chronique 2</w:t>
      </w:r>
    </w:p>
    <w:p w14:paraId="3AE7E787" w14:textId="77777777" w:rsidR="00531711" w:rsidRPr="00531711" w:rsidRDefault="00531711" w:rsidP="00531711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a)</w:t>
      </w:r>
      <w:r>
        <w:rPr>
          <w:lang w:val="fr-FR"/>
        </w:rPr>
        <w:tab/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</w:t>
      </w:r>
      <w:r w:rsidR="00417F6C">
        <w:rPr>
          <w:lang w:val="fr-FR"/>
        </w:rPr>
        <w:t> </w:t>
      </w:r>
      <w:r w:rsidRPr="00531711">
        <w:rPr>
          <w:lang w:val="fr-FR"/>
        </w:rPr>
        <w:t>≤</w:t>
      </w:r>
      <w:r w:rsidR="00417F6C">
        <w:rPr>
          <w:lang w:val="fr-FR"/>
        </w:rPr>
        <w:t> </w:t>
      </w:r>
      <w:r w:rsidRPr="00531711">
        <w:rPr>
          <w:lang w:val="fr-FR"/>
        </w:rPr>
        <w:t>1 mg/l</w:t>
      </w:r>
      <w:r>
        <w:rPr>
          <w:lang w:val="fr-FR"/>
        </w:rPr>
        <w:t> </w:t>
      </w:r>
      <w:r w:rsidRPr="00531711">
        <w:rPr>
          <w:lang w:val="fr-FR"/>
        </w:rPr>
        <w:t>:</w:t>
      </w:r>
    </w:p>
    <w:p w14:paraId="6DA9E761" w14:textId="77777777" w:rsidR="00531711" w:rsidRPr="00531711" w:rsidRDefault="00531711" w:rsidP="00531711">
      <w:pPr>
        <w:pStyle w:val="SingleTxtG"/>
        <w:ind w:left="3402" w:hanging="567"/>
        <w:rPr>
          <w:rFonts w:eastAsiaTheme="minorEastAsia"/>
        </w:rPr>
      </w:pPr>
      <w:r w:rsidRPr="00531711">
        <w:rPr>
          <w:lang w:val="fr-FR"/>
        </w:rPr>
        <w:t>i)</w:t>
      </w:r>
      <w:r w:rsidRPr="00531711">
        <w:rPr>
          <w:lang w:val="fr-FR"/>
        </w:rPr>
        <w:tab/>
      </w:r>
      <w:r w:rsidR="00417F6C">
        <w:rPr>
          <w:lang w:val="fr-FR"/>
        </w:rPr>
        <w:t>C</w:t>
      </w:r>
      <w:r w:rsidRPr="00531711">
        <w:rPr>
          <w:lang w:val="fr-FR"/>
        </w:rPr>
        <w:t xml:space="preserve">lasser le mélange dans les catégories Chronique 1 ou 2 conformément au tableau 2.9.1 b) ii) (rapidement </w:t>
      </w:r>
      <w:r w:rsidRPr="00531711">
        <w:rPr>
          <w:lang w:val="fr-FR"/>
        </w:rPr>
        <w:tab/>
        <w:t xml:space="preserve">dégradable) si les informations disponibles permettent de </w:t>
      </w:r>
      <w:r w:rsidRPr="00531711">
        <w:rPr>
          <w:lang w:val="fr-FR"/>
        </w:rPr>
        <w:tab/>
        <w:t xml:space="preserve">conclure que tous les composants pertinents du mélange </w:t>
      </w:r>
      <w:r w:rsidRPr="00531711">
        <w:rPr>
          <w:lang w:val="fr-FR"/>
        </w:rPr>
        <w:tab/>
        <w:t>sont rapidement dégradables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2A1E5D11" w14:textId="77777777" w:rsidR="00531711" w:rsidRPr="00531711" w:rsidRDefault="00531711" w:rsidP="00531711">
      <w:pPr>
        <w:pStyle w:val="SingleTxtG"/>
        <w:ind w:left="2268"/>
        <w:rPr>
          <w:rFonts w:eastAsiaTheme="minorEastAsia"/>
          <w:i/>
          <w:u w:val="single"/>
        </w:rPr>
      </w:pPr>
      <w:r w:rsidRPr="00531711">
        <w:rPr>
          <w:b/>
          <w:i/>
          <w:u w:val="single"/>
          <w:lang w:val="fr-FR"/>
        </w:rPr>
        <w:t>NOTA</w:t>
      </w:r>
      <w:r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: Si tous les composants pertinents du mélange sont eux-mêmes rapidement dégradables et présentent des valeurs de CE</w:t>
      </w:r>
      <w:r w:rsidRPr="00531711">
        <w:rPr>
          <w:i/>
          <w:u w:val="single"/>
          <w:vertAlign w:val="subscript"/>
          <w:lang w:val="fr-FR"/>
        </w:rPr>
        <w:t>x</w:t>
      </w:r>
      <w:r w:rsidRPr="00531711">
        <w:rPr>
          <w:i/>
          <w:u w:val="single"/>
          <w:lang w:val="fr-FR"/>
        </w:rPr>
        <w:t xml:space="preserve"> ou de CSOE</w:t>
      </w:r>
      <w:r w:rsidR="00417F6C"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&gt;</w:t>
      </w:r>
      <w:r w:rsidR="00417F6C"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0,1</w:t>
      </w:r>
      <w:r w:rsidR="00417F6C"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mg/l, il n’est pas nécessaire de classer le mélange dans une catégorie de danger à long terme pour le milieu aquatique conformément au présent Règlement.</w:t>
      </w:r>
      <w:bookmarkStart w:id="0" w:name="_Hlk33689652"/>
      <w:bookmarkEnd w:id="0"/>
    </w:p>
    <w:p w14:paraId="69E50D25" w14:textId="77777777" w:rsidR="00531711" w:rsidRPr="00531711" w:rsidRDefault="00531711" w:rsidP="00417F6C">
      <w:pPr>
        <w:pStyle w:val="SingleTxtG"/>
        <w:ind w:left="3402" w:hanging="567"/>
        <w:rPr>
          <w:lang w:val="fr-FR"/>
        </w:rPr>
      </w:pPr>
      <w:bookmarkStart w:id="1" w:name="_GoBack"/>
      <w:bookmarkEnd w:id="1"/>
      <w:r w:rsidRPr="00531711">
        <w:rPr>
          <w:lang w:val="fr-FR"/>
        </w:rPr>
        <w:lastRenderedPageBreak/>
        <w:t>ii)</w:t>
      </w:r>
      <w:r w:rsidRPr="00531711">
        <w:rPr>
          <w:lang w:val="fr-FR"/>
        </w:rPr>
        <w:tab/>
      </w:r>
      <w:r w:rsidR="00417F6C">
        <w:rPr>
          <w:lang w:val="fr-FR"/>
        </w:rPr>
        <w:t>C</w:t>
      </w:r>
      <w:r w:rsidRPr="00531711">
        <w:rPr>
          <w:lang w:val="fr-FR"/>
        </w:rPr>
        <w:t>lasser le mélange dans les catégories Chronique 1 ou 2 dans tous les autres cas conformément au tableau 2.9.1 b) i) (non rapidement dégradable)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13363895" w14:textId="77777777" w:rsidR="00531711" w:rsidRPr="00531711" w:rsidRDefault="00531711" w:rsidP="00417F6C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b)</w:t>
      </w:r>
      <w:r w:rsidRPr="00531711">
        <w:rPr>
          <w:lang w:val="fr-FR"/>
        </w:rPr>
        <w:tab/>
      </w:r>
      <w:r w:rsidR="00417F6C">
        <w:rPr>
          <w:lang w:val="fr-FR"/>
        </w:rPr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>(s) ou CSEO(s)</w:t>
      </w:r>
      <w:r w:rsidR="00417F6C">
        <w:rPr>
          <w:lang w:val="fr-FR"/>
        </w:rPr>
        <w:t> </w:t>
      </w:r>
      <w:r w:rsidRPr="00531711">
        <w:rPr>
          <w:lang w:val="fr-FR"/>
        </w:rPr>
        <w:t>&gt;</w:t>
      </w:r>
      <w:r w:rsidR="00417F6C">
        <w:rPr>
          <w:lang w:val="fr-FR"/>
        </w:rPr>
        <w:t> </w:t>
      </w:r>
      <w:r w:rsidRPr="00531711">
        <w:rPr>
          <w:lang w:val="fr-FR"/>
        </w:rPr>
        <w:t>1</w:t>
      </w:r>
      <w:r w:rsidR="00417F6C">
        <w:rPr>
          <w:lang w:val="fr-FR"/>
        </w:rPr>
        <w:t> </w:t>
      </w:r>
      <w:r w:rsidRPr="00531711">
        <w:rPr>
          <w:lang w:val="fr-FR"/>
        </w:rPr>
        <w:t>mg/l ou une concentration supérieure à celle qui est soluble dans l’eau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22257470" w14:textId="77777777" w:rsidR="00531711" w:rsidRPr="00531711" w:rsidRDefault="00531711" w:rsidP="00417F6C">
      <w:pPr>
        <w:pStyle w:val="SingleTxtG"/>
        <w:ind w:left="2835"/>
        <w:rPr>
          <w:rFonts w:eastAsiaTheme="minorEastAsia"/>
        </w:rPr>
      </w:pPr>
      <w:r w:rsidRPr="00531711">
        <w:rPr>
          <w:lang w:val="fr-FR"/>
        </w:rPr>
        <w:tab/>
        <w:t>Il n’est pas nécessaire de classer le mélange dans une catégorie de danger à long terme conformément au présent Règlement. ».</w:t>
      </w:r>
    </w:p>
    <w:p w14:paraId="11F0AB08" w14:textId="77777777" w:rsidR="00531711" w:rsidRPr="00531711" w:rsidRDefault="00531711" w:rsidP="00417F6C">
      <w:pPr>
        <w:pStyle w:val="H23G"/>
      </w:pPr>
      <w:r w:rsidRPr="00531711">
        <w:rPr>
          <w:lang w:val="fr-FR"/>
        </w:rPr>
        <w:tab/>
      </w:r>
      <w:r w:rsidRPr="00531711">
        <w:rPr>
          <w:lang w:val="fr-FR"/>
        </w:rPr>
        <w:tab/>
        <w:t>Option 2</w:t>
      </w:r>
    </w:p>
    <w:p w14:paraId="58DE0A2D" w14:textId="77777777" w:rsidR="00531711" w:rsidRPr="00531711" w:rsidRDefault="00531711" w:rsidP="00417F6C">
      <w:pPr>
        <w:pStyle w:val="SingleTxtG"/>
        <w:rPr>
          <w:lang w:val="fr-FR"/>
        </w:rPr>
      </w:pPr>
      <w:r w:rsidRPr="00531711">
        <w:rPr>
          <w:lang w:val="fr-FR"/>
        </w:rPr>
        <w:t>« 2.9.3.4.3.4</w:t>
      </w:r>
      <w:r w:rsidR="00417F6C">
        <w:rPr>
          <w:lang w:val="fr-FR"/>
        </w:rPr>
        <w:tab/>
      </w:r>
      <w:r w:rsidRPr="00531711">
        <w:rPr>
          <w:lang w:val="fr-FR"/>
        </w:rPr>
        <w:t>Classification dans les catégories Chronique 1 et Chronique 2</w:t>
      </w:r>
    </w:p>
    <w:p w14:paraId="593949FF" w14:textId="77777777" w:rsidR="00531711" w:rsidRPr="00531711" w:rsidRDefault="00531711" w:rsidP="00417F6C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a)</w:t>
      </w:r>
      <w:r w:rsidRPr="00531711">
        <w:rPr>
          <w:lang w:val="fr-FR"/>
        </w:rPr>
        <w:tab/>
      </w:r>
      <w:r w:rsidR="00417F6C">
        <w:rPr>
          <w:lang w:val="fr-FR"/>
        </w:rPr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</w:t>
      </w:r>
      <w:r w:rsidR="00417F6C">
        <w:rPr>
          <w:lang w:val="fr-FR"/>
        </w:rPr>
        <w:t> </w:t>
      </w:r>
      <w:r w:rsidRPr="00531711">
        <w:rPr>
          <w:lang w:val="fr-FR"/>
        </w:rPr>
        <w:t>≤</w:t>
      </w:r>
      <w:r w:rsidR="00417F6C">
        <w:rPr>
          <w:lang w:val="fr-FR"/>
        </w:rPr>
        <w:t> </w:t>
      </w:r>
      <w:r w:rsidRPr="00531711">
        <w:rPr>
          <w:lang w:val="fr-FR"/>
        </w:rPr>
        <w:t>1 mg/l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05D899D3" w14:textId="77777777" w:rsidR="00531711" w:rsidRPr="00531711" w:rsidRDefault="00531711" w:rsidP="00417F6C">
      <w:pPr>
        <w:pStyle w:val="SingleTxtG"/>
        <w:ind w:left="3402" w:hanging="567"/>
        <w:rPr>
          <w:rFonts w:eastAsiaTheme="minorEastAsia"/>
        </w:rPr>
      </w:pPr>
      <w:r w:rsidRPr="00531711">
        <w:rPr>
          <w:lang w:val="fr-FR"/>
        </w:rPr>
        <w:t>i)</w:t>
      </w:r>
      <w:r w:rsidR="00417F6C">
        <w:rPr>
          <w:lang w:val="fr-FR"/>
        </w:rPr>
        <w:tab/>
        <w:t>C</w:t>
      </w:r>
      <w:r w:rsidRPr="00531711">
        <w:rPr>
          <w:lang w:val="fr-FR"/>
        </w:rPr>
        <w:t>lasser le mélange dans les catégories Chronique 1 ou 2 conformément au tableau 2.9.1 b) ii) (rapidement dégradable) si les informations disponibles permettent de conclure que tous les composants pertinents du mélange sont rapidement dégradables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6191F37D" w14:textId="77777777" w:rsidR="00531711" w:rsidRPr="00531711" w:rsidRDefault="00531711" w:rsidP="00417F6C">
      <w:pPr>
        <w:pStyle w:val="SingleTxtG"/>
        <w:ind w:left="2268"/>
        <w:rPr>
          <w:rFonts w:eastAsiaTheme="minorEastAsia"/>
          <w:i/>
          <w:u w:val="single"/>
        </w:rPr>
      </w:pPr>
      <w:r w:rsidRPr="00531711">
        <w:rPr>
          <w:b/>
          <w:i/>
          <w:iCs/>
          <w:u w:val="single"/>
          <w:lang w:val="fr-FR"/>
        </w:rPr>
        <w:t>NOTA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: Dans ce cas, si le mélange testé présente une CE</w:t>
      </w:r>
      <w:r w:rsidRPr="00531711">
        <w:rPr>
          <w:i/>
          <w:iCs/>
          <w:u w:val="single"/>
          <w:vertAlign w:val="subscript"/>
          <w:lang w:val="fr-FR"/>
        </w:rPr>
        <w:t>x</w:t>
      </w:r>
      <w:r w:rsidRPr="00531711">
        <w:rPr>
          <w:i/>
          <w:iCs/>
          <w:u w:val="single"/>
          <w:lang w:val="fr-FR"/>
        </w:rPr>
        <w:t xml:space="preserve"> ou CSEO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&gt;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0,1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mg/l, il n’est pas nécessaire de classer le mélange dans une catégorie de danger à long terme conformément au présent Règlement.</w:t>
      </w:r>
    </w:p>
    <w:p w14:paraId="3736F952" w14:textId="77777777" w:rsidR="00531711" w:rsidRPr="00531711" w:rsidRDefault="00531711" w:rsidP="00417F6C">
      <w:pPr>
        <w:pStyle w:val="SingleTxtG"/>
        <w:ind w:left="3402" w:hanging="567"/>
        <w:rPr>
          <w:lang w:val="fr-FR"/>
        </w:rPr>
      </w:pPr>
      <w:r w:rsidRPr="00531711">
        <w:rPr>
          <w:lang w:val="fr-FR"/>
        </w:rPr>
        <w:t>ii)</w:t>
      </w:r>
      <w:r w:rsidR="00417F6C">
        <w:rPr>
          <w:lang w:val="fr-FR"/>
        </w:rPr>
        <w:tab/>
        <w:t>C</w:t>
      </w:r>
      <w:r w:rsidRPr="00531711">
        <w:rPr>
          <w:lang w:val="fr-FR"/>
        </w:rPr>
        <w:t>lasser le mélange dans les catégories Chronique 1 ou 2 dans tous les autres cas conformément au tableau 2.9.1 b) i) (non rapidement dégradable)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5307A2BE" w14:textId="77777777" w:rsidR="00531711" w:rsidRPr="00531711" w:rsidRDefault="00531711" w:rsidP="00417F6C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b)</w:t>
      </w:r>
      <w:r w:rsidR="00417F6C">
        <w:rPr>
          <w:lang w:val="fr-FR"/>
        </w:rPr>
        <w:tab/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>(s) ou CSEO(s)</w:t>
      </w:r>
      <w:r w:rsidR="00417F6C">
        <w:rPr>
          <w:lang w:val="fr-FR"/>
        </w:rPr>
        <w:t> </w:t>
      </w:r>
      <w:r w:rsidRPr="00531711">
        <w:rPr>
          <w:lang w:val="fr-FR"/>
        </w:rPr>
        <w:t>&gt;</w:t>
      </w:r>
      <w:r w:rsidR="00417F6C">
        <w:rPr>
          <w:lang w:val="fr-FR"/>
        </w:rPr>
        <w:t> </w:t>
      </w:r>
      <w:r w:rsidRPr="00531711">
        <w:rPr>
          <w:lang w:val="fr-FR"/>
        </w:rPr>
        <w:t>1</w:t>
      </w:r>
      <w:r w:rsidR="00417F6C">
        <w:rPr>
          <w:lang w:val="fr-FR"/>
        </w:rPr>
        <w:t> </w:t>
      </w:r>
      <w:r w:rsidRPr="00531711">
        <w:rPr>
          <w:lang w:val="fr-FR"/>
        </w:rPr>
        <w:t>mg/l ou une concentration supérieure à celle qui est soluble dans l’eau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66FB38B3" w14:textId="77777777" w:rsidR="00531711" w:rsidRPr="00531711" w:rsidRDefault="00531711" w:rsidP="00417F6C">
      <w:pPr>
        <w:pStyle w:val="SingleTxtG"/>
        <w:ind w:left="2835"/>
        <w:rPr>
          <w:rFonts w:eastAsiaTheme="minorEastAsia"/>
          <w:i/>
          <w:u w:val="single"/>
        </w:rPr>
      </w:pPr>
      <w:r w:rsidRPr="00531711">
        <w:rPr>
          <w:lang w:val="fr-FR"/>
        </w:rPr>
        <w:t>Il n’est pas nécessaire de classer le mélange dans une catégorie de danger à long terme conformément au présent Règlement. ».</w:t>
      </w:r>
    </w:p>
    <w:p w14:paraId="4EBB1786" w14:textId="77777777" w:rsidR="00531711" w:rsidRPr="00531711" w:rsidRDefault="00531711" w:rsidP="00417F6C">
      <w:pPr>
        <w:pStyle w:val="SingleTxtG"/>
      </w:pPr>
      <w:r w:rsidRPr="00531711">
        <w:rPr>
          <w:lang w:val="fr-FR"/>
        </w:rPr>
        <w:t>7.</w:t>
      </w:r>
      <w:r w:rsidRPr="00531711">
        <w:rPr>
          <w:lang w:val="fr-FR"/>
        </w:rPr>
        <w:tab/>
        <w:t xml:space="preserve">Le Sous-Comité SGH est invité à se pencher sur le bien-fondé d’une révision des dispositions du 4.1.3.3.4 du SGH relatives au classement des mélanges selon le danger à long terme (chronique) qu’ils présentent. La Chine propose de modifier le 4.1.3.3.4 du SGH comme suit (le texte supprimé est </w:t>
      </w:r>
      <w:r w:rsidRPr="00531711">
        <w:rPr>
          <w:strike/>
          <w:lang w:val="fr-FR"/>
        </w:rPr>
        <w:t>biffé</w:t>
      </w:r>
      <w:r w:rsidRPr="00531711">
        <w:rPr>
          <w:lang w:val="fr-FR"/>
        </w:rPr>
        <w:t xml:space="preserve"> et les ajouts sont </w:t>
      </w:r>
      <w:r w:rsidRPr="00531711">
        <w:rPr>
          <w:u w:val="single"/>
          <w:lang w:val="fr-FR"/>
        </w:rPr>
        <w:t>soulignés</w:t>
      </w:r>
      <w:r w:rsidRPr="00531711">
        <w:rPr>
          <w:lang w:val="fr-FR"/>
        </w:rPr>
        <w:t>)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7A824A1D" w14:textId="77777777" w:rsidR="00531711" w:rsidRPr="00531711" w:rsidRDefault="00531711" w:rsidP="00417F6C">
      <w:pPr>
        <w:pStyle w:val="SingleTxtG"/>
        <w:rPr>
          <w:rFonts w:eastAsiaTheme="minorEastAsia"/>
        </w:rPr>
      </w:pPr>
      <w:r w:rsidRPr="00531711">
        <w:rPr>
          <w:lang w:val="fr-FR"/>
        </w:rPr>
        <w:t>« 4.1.3.3.4</w:t>
      </w:r>
      <w:r w:rsidRPr="00531711">
        <w:rPr>
          <w:lang w:val="fr-FR"/>
        </w:rPr>
        <w:tab/>
        <w:t>Classification dans les catégories Chronique 1, 2 et 3</w:t>
      </w:r>
    </w:p>
    <w:p w14:paraId="736243F3" w14:textId="77777777" w:rsidR="00E971AD" w:rsidRDefault="00531711" w:rsidP="00E971AD">
      <w:pPr>
        <w:pStyle w:val="SingleTxtG"/>
        <w:ind w:left="2835" w:hanging="567"/>
        <w:rPr>
          <w:rFonts w:eastAsiaTheme="minorEastAsia"/>
        </w:rPr>
      </w:pPr>
      <w:r w:rsidRPr="00531711">
        <w:rPr>
          <w:lang w:val="fr-FR"/>
        </w:rPr>
        <w:t>a)</w:t>
      </w:r>
      <w:r w:rsidR="00417F6C">
        <w:rPr>
          <w:lang w:val="fr-FR"/>
        </w:rPr>
        <w:tab/>
      </w:r>
      <w:r w:rsidRPr="00531711">
        <w:rPr>
          <w:lang w:val="fr-FR"/>
        </w:rPr>
        <w:t>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</w:t>
      </w:r>
      <w:r w:rsidR="00E971AD">
        <w:rPr>
          <w:lang w:val="fr-FR"/>
        </w:rPr>
        <w:t> </w:t>
      </w:r>
      <w:r w:rsidRPr="00531711">
        <w:rPr>
          <w:lang w:val="fr-FR"/>
        </w:rPr>
        <w:t>≤</w:t>
      </w:r>
      <w:r w:rsidR="00E971AD">
        <w:rPr>
          <w:lang w:val="fr-FR"/>
        </w:rPr>
        <w:t> </w:t>
      </w:r>
      <w:r w:rsidRPr="00531711">
        <w:rPr>
          <w:lang w:val="fr-FR"/>
        </w:rPr>
        <w:t>1</w:t>
      </w:r>
      <w:r w:rsidR="00E971AD">
        <w:rPr>
          <w:lang w:val="fr-FR"/>
        </w:rPr>
        <w:t> </w:t>
      </w:r>
      <w:r w:rsidRPr="00531711">
        <w:rPr>
          <w:lang w:val="fr-FR"/>
        </w:rPr>
        <w:t>mg/l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1BD5C694" w14:textId="77777777" w:rsidR="00531711" w:rsidRPr="00531711" w:rsidRDefault="00531711" w:rsidP="00E971AD">
      <w:pPr>
        <w:pStyle w:val="SingleTxtG"/>
        <w:ind w:left="3402" w:hanging="567"/>
        <w:rPr>
          <w:lang w:val="fr-FR"/>
        </w:rPr>
      </w:pPr>
      <w:r w:rsidRPr="00531711">
        <w:rPr>
          <w:lang w:val="fr-FR"/>
        </w:rPr>
        <w:t>i)</w:t>
      </w:r>
      <w:r w:rsidRPr="00531711">
        <w:rPr>
          <w:lang w:val="fr-FR"/>
        </w:rPr>
        <w:tab/>
        <w:t>Classer le mélange dans les catégories Chronique 1, 2 ou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 xml:space="preserve">3 </w:t>
      </w:r>
      <w:r w:rsidRPr="00531711">
        <w:rPr>
          <w:lang w:val="fr-FR"/>
        </w:rPr>
        <w:tab/>
        <w:t>conformément au tableau 4.1.1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>b)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>ii)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>(</w:t>
      </w:r>
      <w:r w:rsidR="00E971AD">
        <w:rPr>
          <w:lang w:val="fr-FR"/>
        </w:rPr>
        <w:t>r</w:t>
      </w:r>
      <w:r w:rsidRPr="00531711">
        <w:rPr>
          <w:lang w:val="fr-FR"/>
        </w:rPr>
        <w:t xml:space="preserve">apidement </w:t>
      </w:r>
      <w:r w:rsidRPr="00531711">
        <w:rPr>
          <w:lang w:val="fr-FR"/>
        </w:rPr>
        <w:tab/>
        <w:t>dégradable) si les informations disponibles permettent de conclure que tous les composants pertinents du mélange sont rapidement dégradables</w:t>
      </w:r>
      <w:r w:rsidR="00E971AD">
        <w:rPr>
          <w:lang w:val="fr-FR"/>
        </w:rPr>
        <w:t> </w:t>
      </w:r>
      <w:r w:rsidRPr="00531711">
        <w:rPr>
          <w:lang w:val="fr-FR"/>
        </w:rPr>
        <w:t>;</w:t>
      </w:r>
    </w:p>
    <w:p w14:paraId="732FD4A2" w14:textId="77777777" w:rsidR="00531711" w:rsidRPr="00531711" w:rsidRDefault="00531711" w:rsidP="00E971AD">
      <w:pPr>
        <w:pStyle w:val="SingleTxtG"/>
        <w:ind w:left="3402" w:hanging="567"/>
        <w:rPr>
          <w:rFonts w:eastAsiaTheme="minorEastAsia"/>
        </w:rPr>
      </w:pPr>
      <w:r w:rsidRPr="00531711">
        <w:rPr>
          <w:rFonts w:eastAsiaTheme="minorEastAsia"/>
        </w:rPr>
        <w:t>ii)</w:t>
      </w:r>
      <w:r w:rsidR="00E971AD">
        <w:rPr>
          <w:rFonts w:eastAsiaTheme="minorEastAsia"/>
        </w:rPr>
        <w:tab/>
      </w:r>
      <w:r w:rsidRPr="00531711">
        <w:rPr>
          <w:lang w:val="fr-FR"/>
        </w:rPr>
        <w:t>Classer le mélange dans les catégories Chronique 1</w:t>
      </w:r>
      <w:r w:rsidRPr="00531711">
        <w:rPr>
          <w:strike/>
          <w:lang w:val="fr-FR"/>
        </w:rPr>
        <w:t>,</w:t>
      </w:r>
      <w:r w:rsidRPr="00531711">
        <w:rPr>
          <w:lang w:val="fr-FR"/>
        </w:rPr>
        <w:t xml:space="preserve"> </w:t>
      </w:r>
      <w:r w:rsidRPr="00531711">
        <w:rPr>
          <w:u w:val="single"/>
          <w:lang w:val="fr-FR"/>
        </w:rPr>
        <w:t>ou</w:t>
      </w:r>
      <w:r w:rsidRPr="00531711">
        <w:rPr>
          <w:lang w:val="fr-FR"/>
        </w:rPr>
        <w:t xml:space="preserve"> 2 </w:t>
      </w:r>
      <w:r w:rsidRPr="00531711">
        <w:rPr>
          <w:strike/>
          <w:lang w:val="fr-FR"/>
        </w:rPr>
        <w:t xml:space="preserve">ou 3 </w:t>
      </w:r>
      <w:r w:rsidRPr="00531711">
        <w:rPr>
          <w:lang w:val="fr-FR"/>
        </w:rPr>
        <w:t>dans tous les autres cas conformément au tableau 4.1.1 b)</w:t>
      </w:r>
      <w:r w:rsidR="000C542E">
        <w:rPr>
          <w:lang w:val="fr-FR"/>
        </w:rPr>
        <w:t> </w:t>
      </w:r>
      <w:r w:rsidRPr="00531711">
        <w:rPr>
          <w:lang w:val="fr-FR"/>
        </w:rPr>
        <w:t>i) (non rapidement dégradable)</w:t>
      </w:r>
      <w:r w:rsidR="00E971AD">
        <w:rPr>
          <w:lang w:val="fr-FR"/>
        </w:rPr>
        <w:t> </w:t>
      </w:r>
      <w:r w:rsidRPr="00531711">
        <w:rPr>
          <w:lang w:val="fr-FR"/>
        </w:rPr>
        <w:t>;</w:t>
      </w:r>
    </w:p>
    <w:p w14:paraId="0CFD45E3" w14:textId="77777777" w:rsidR="00531711" w:rsidRPr="00531711" w:rsidRDefault="00531711" w:rsidP="00E971AD">
      <w:pPr>
        <w:pStyle w:val="SingleTxtG"/>
        <w:keepNext/>
        <w:keepLines/>
        <w:ind w:left="2835" w:hanging="567"/>
        <w:rPr>
          <w:rFonts w:eastAsiaTheme="minorEastAsia"/>
        </w:rPr>
      </w:pPr>
      <w:r w:rsidRPr="00531711">
        <w:rPr>
          <w:rFonts w:eastAsiaTheme="minorEastAsia"/>
        </w:rPr>
        <w:lastRenderedPageBreak/>
        <w:t>b)</w:t>
      </w:r>
      <w:r w:rsidR="00E971AD">
        <w:rPr>
          <w:rFonts w:eastAsiaTheme="minorEastAsia"/>
        </w:rPr>
        <w:tab/>
      </w:r>
      <w:r w:rsidRPr="00531711">
        <w:rPr>
          <w:lang w:val="fr-FR"/>
        </w:rPr>
        <w:t>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>(s) ou CSEO(s) &gt; 1 mg/l ou une concentration supérieure à celle qui est soluble dans</w:t>
      </w:r>
      <w:r w:rsidR="000C542E">
        <w:rPr>
          <w:lang w:val="fr-FR"/>
        </w:rPr>
        <w:t xml:space="preserve"> </w:t>
      </w:r>
      <w:r w:rsidRPr="00531711">
        <w:rPr>
          <w:lang w:val="fr-FR"/>
        </w:rPr>
        <w:t>l’eau</w:t>
      </w:r>
      <w:r w:rsidR="00E971AD">
        <w:rPr>
          <w:lang w:val="fr-FR"/>
        </w:rPr>
        <w:t> </w:t>
      </w:r>
      <w:r w:rsidRPr="00531711">
        <w:rPr>
          <w:lang w:val="fr-FR"/>
        </w:rPr>
        <w:t>;</w:t>
      </w:r>
    </w:p>
    <w:p w14:paraId="6B6ED2D4" w14:textId="77777777" w:rsidR="00531711" w:rsidRDefault="00531711" w:rsidP="00E971AD">
      <w:pPr>
        <w:pStyle w:val="SingleTxtG"/>
        <w:keepNext/>
        <w:keepLines/>
        <w:ind w:left="2835"/>
      </w:pPr>
      <w:r w:rsidRPr="00531711">
        <w:rPr>
          <w:rFonts w:eastAsiaTheme="minorEastAsia"/>
        </w:rPr>
        <w:tab/>
      </w:r>
      <w:r w:rsidRPr="00531711">
        <w:rPr>
          <w:lang w:val="fr-FR"/>
        </w:rPr>
        <w:t>Il n’est pas nécessaire de classer le mélange dans une catégorie de danger à long terme (chronique), à moins qu’il n’y ait néanmoins des motifs de préoccupation. ».</w:t>
      </w:r>
    </w:p>
    <w:p w14:paraId="159B0628" w14:textId="77777777" w:rsidR="00446FE5" w:rsidRPr="00531711" w:rsidRDefault="00531711" w:rsidP="00E971AD">
      <w:pPr>
        <w:pStyle w:val="SingleTxtG"/>
        <w:keepNext/>
        <w:keepLine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31711" w:rsidSect="005317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91DC" w14:textId="77777777" w:rsidR="00A9336F" w:rsidRDefault="00A9336F" w:rsidP="00F95C08">
      <w:pPr>
        <w:spacing w:line="240" w:lineRule="auto"/>
      </w:pPr>
    </w:p>
  </w:endnote>
  <w:endnote w:type="continuationSeparator" w:id="0">
    <w:p w14:paraId="16835423" w14:textId="77777777" w:rsidR="00A9336F" w:rsidRPr="00AC3823" w:rsidRDefault="00A9336F" w:rsidP="00AC3823">
      <w:pPr>
        <w:pStyle w:val="Footer"/>
      </w:pPr>
    </w:p>
  </w:endnote>
  <w:endnote w:type="continuationNotice" w:id="1">
    <w:p w14:paraId="68A60778" w14:textId="77777777" w:rsidR="00A9336F" w:rsidRDefault="00A933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FE6D" w14:textId="77777777" w:rsidR="00531711" w:rsidRPr="00531711" w:rsidRDefault="00531711" w:rsidP="00531711">
    <w:pPr>
      <w:pStyle w:val="Footer"/>
      <w:tabs>
        <w:tab w:val="right" w:pos="9638"/>
      </w:tabs>
    </w:pPr>
    <w:r w:rsidRPr="00531711">
      <w:rPr>
        <w:b/>
        <w:sz w:val="18"/>
      </w:rPr>
      <w:fldChar w:fldCharType="begin"/>
    </w:r>
    <w:r w:rsidRPr="00531711">
      <w:rPr>
        <w:b/>
        <w:sz w:val="18"/>
      </w:rPr>
      <w:instrText xml:space="preserve"> PAGE  \* MERGEFORMAT </w:instrText>
    </w:r>
    <w:r w:rsidRPr="00531711">
      <w:rPr>
        <w:b/>
        <w:sz w:val="18"/>
      </w:rPr>
      <w:fldChar w:fldCharType="separate"/>
    </w:r>
    <w:r w:rsidRPr="00531711">
      <w:rPr>
        <w:b/>
        <w:noProof/>
        <w:sz w:val="18"/>
      </w:rPr>
      <w:t>2</w:t>
    </w:r>
    <w:r w:rsidRPr="00531711">
      <w:rPr>
        <w:b/>
        <w:sz w:val="18"/>
      </w:rPr>
      <w:fldChar w:fldCharType="end"/>
    </w:r>
    <w:r>
      <w:rPr>
        <w:b/>
        <w:sz w:val="18"/>
      </w:rPr>
      <w:tab/>
    </w:r>
    <w:r>
      <w:t>GE.20-05560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229A" w14:textId="77777777" w:rsidR="00531711" w:rsidRPr="00531711" w:rsidRDefault="00531711" w:rsidP="00531711">
    <w:pPr>
      <w:pStyle w:val="Footer"/>
      <w:tabs>
        <w:tab w:val="right" w:pos="9638"/>
      </w:tabs>
      <w:rPr>
        <w:b/>
        <w:sz w:val="18"/>
      </w:rPr>
    </w:pPr>
    <w:r>
      <w:t>GE.20-05560</w:t>
    </w:r>
    <w:r>
      <w:tab/>
    </w:r>
    <w:r w:rsidRPr="00531711">
      <w:rPr>
        <w:b/>
        <w:sz w:val="18"/>
      </w:rPr>
      <w:fldChar w:fldCharType="begin"/>
    </w:r>
    <w:r w:rsidRPr="00531711">
      <w:rPr>
        <w:b/>
        <w:sz w:val="18"/>
      </w:rPr>
      <w:instrText xml:space="preserve"> PAGE  \* MERGEFORMAT </w:instrText>
    </w:r>
    <w:r w:rsidRPr="00531711">
      <w:rPr>
        <w:b/>
        <w:sz w:val="18"/>
      </w:rPr>
      <w:fldChar w:fldCharType="separate"/>
    </w:r>
    <w:r w:rsidRPr="00531711">
      <w:rPr>
        <w:b/>
        <w:noProof/>
        <w:sz w:val="18"/>
      </w:rPr>
      <w:t>3</w:t>
    </w:r>
    <w:r w:rsidRPr="005317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7B6F" w14:textId="77777777" w:rsidR="0068456F" w:rsidRPr="00531711" w:rsidRDefault="00531711" w:rsidP="0053171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71B57788" wp14:editId="59B78BE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20-05560  (F)    110520    120520</w:t>
    </w:r>
    <w:r>
      <w:rPr>
        <w:sz w:val="20"/>
      </w:rPr>
      <w:br/>
    </w:r>
    <w:r w:rsidRPr="00531711">
      <w:rPr>
        <w:rFonts w:ascii="C39T30Lfz" w:hAnsi="C39T30Lfz"/>
        <w:sz w:val="56"/>
      </w:rPr>
      <w:t></w:t>
    </w:r>
    <w:r w:rsidRPr="00531711">
      <w:rPr>
        <w:rFonts w:ascii="C39T30Lfz" w:hAnsi="C39T30Lfz"/>
        <w:sz w:val="56"/>
      </w:rPr>
      <w:t></w:t>
    </w:r>
    <w:r w:rsidRPr="00531711">
      <w:rPr>
        <w:rFonts w:ascii="C39T30Lfz" w:hAnsi="C39T30Lfz"/>
        <w:sz w:val="56"/>
      </w:rPr>
      <w:t></w:t>
    </w:r>
    <w:r w:rsidRPr="00531711">
      <w:rPr>
        <w:rFonts w:ascii="C39T30Lfz" w:hAnsi="C39T30Lfz"/>
        <w:sz w:val="56"/>
      </w:rPr>
      <w:t></w:t>
    </w:r>
    <w:r w:rsidRPr="00531711">
      <w:rPr>
        <w:rFonts w:ascii="C39T30Lfz" w:hAnsi="C39T30Lfz"/>
        <w:sz w:val="56"/>
      </w:rPr>
      <w:t></w:t>
    </w:r>
    <w:r w:rsidRPr="00531711">
      <w:rPr>
        <w:rFonts w:ascii="C39T30Lfz" w:hAnsi="C39T30Lfz"/>
        <w:sz w:val="56"/>
      </w:rPr>
      <w:t></w:t>
    </w:r>
    <w:r w:rsidRPr="00531711">
      <w:rPr>
        <w:rFonts w:ascii="C39T30Lfz" w:hAnsi="C39T30Lfz"/>
        <w:sz w:val="56"/>
      </w:rPr>
      <w:t></w:t>
    </w:r>
    <w:r w:rsidRPr="00531711">
      <w:rPr>
        <w:rFonts w:ascii="C39T30Lfz" w:hAnsi="C39T30Lfz"/>
        <w:sz w:val="56"/>
      </w:rPr>
      <w:t></w:t>
    </w:r>
    <w:r w:rsidRPr="0053171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7EDB2E" wp14:editId="2AAB71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D7EA" w14:textId="77777777" w:rsidR="00A9336F" w:rsidRPr="00AC3823" w:rsidRDefault="00A933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03583F" w14:textId="77777777" w:rsidR="00A9336F" w:rsidRPr="00AC3823" w:rsidRDefault="00A933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E1D8C5" w14:textId="77777777" w:rsidR="00A9336F" w:rsidRPr="00AC3823" w:rsidRDefault="00A9336F">
      <w:pPr>
        <w:spacing w:line="240" w:lineRule="auto"/>
        <w:rPr>
          <w:sz w:val="2"/>
          <w:szCs w:val="2"/>
        </w:rPr>
      </w:pPr>
    </w:p>
  </w:footnote>
  <w:footnote w:id="2">
    <w:p w14:paraId="0E374D95" w14:textId="77777777" w:rsidR="0028315F" w:rsidRPr="0028315F" w:rsidRDefault="0028315F">
      <w:pPr>
        <w:pStyle w:val="FootnoteText"/>
      </w:pPr>
      <w:r>
        <w:rPr>
          <w:rStyle w:val="FootnoteReference"/>
        </w:rPr>
        <w:tab/>
      </w:r>
      <w:r w:rsidRPr="0028315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Sous-programme 2 du budget-programme pour 2020 (A/74/6 (Sect.</w:t>
      </w:r>
      <w:r w:rsidR="004E534A">
        <w:rPr>
          <w:lang w:val="fr-FR"/>
        </w:rPr>
        <w:t> </w:t>
      </w:r>
      <w:r>
        <w:rPr>
          <w:lang w:val="fr-FR"/>
        </w:rPr>
        <w:t>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D290" w14:textId="06E837BE" w:rsidR="00531711" w:rsidRPr="00531711" w:rsidRDefault="00531711">
    <w:pPr>
      <w:pStyle w:val="Header"/>
      <w:rPr>
        <w:lang w:val="en-US"/>
      </w:rPr>
    </w:pPr>
    <w:r>
      <w:fldChar w:fldCharType="begin"/>
    </w:r>
    <w:r w:rsidRPr="00531711">
      <w:rPr>
        <w:lang w:val="en-US"/>
      </w:rPr>
      <w:instrText xml:space="preserve"> TITLE  \* MERGEFORMAT </w:instrText>
    </w:r>
    <w:r>
      <w:fldChar w:fldCharType="separate"/>
    </w:r>
    <w:r w:rsidR="00F06309">
      <w:rPr>
        <w:lang w:val="en-US"/>
      </w:rPr>
      <w:t>ST/SG/AC.10/C.3/2020/33</w:t>
    </w:r>
    <w:r>
      <w:fldChar w:fldCharType="end"/>
    </w:r>
    <w:r w:rsidRPr="00531711">
      <w:rPr>
        <w:lang w:val="en-US"/>
      </w:rPr>
      <w:br/>
    </w:r>
    <w:r>
      <w:fldChar w:fldCharType="begin"/>
    </w:r>
    <w:r w:rsidRPr="00531711">
      <w:rPr>
        <w:lang w:val="en-US"/>
      </w:rPr>
      <w:instrText xml:space="preserve"> KEYWORDS  \* MERGEFORMAT </w:instrText>
    </w:r>
    <w:r>
      <w:fldChar w:fldCharType="separate"/>
    </w:r>
    <w:r w:rsidR="00F06309">
      <w:rPr>
        <w:lang w:val="en-US"/>
      </w:rPr>
      <w:t>ST/SG/AC.10/C.4/2020/10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5C5E" w14:textId="7E2A259D" w:rsidR="00531711" w:rsidRPr="00531711" w:rsidRDefault="00531711" w:rsidP="00531711">
    <w:pPr>
      <w:pStyle w:val="Header"/>
      <w:jc w:val="right"/>
      <w:rPr>
        <w:lang w:val="en-US"/>
      </w:rPr>
    </w:pPr>
    <w:r>
      <w:fldChar w:fldCharType="begin"/>
    </w:r>
    <w:r w:rsidRPr="00531711">
      <w:rPr>
        <w:lang w:val="en-US"/>
      </w:rPr>
      <w:instrText xml:space="preserve"> TITLE  \* MERGEFORMAT </w:instrText>
    </w:r>
    <w:r>
      <w:fldChar w:fldCharType="separate"/>
    </w:r>
    <w:r w:rsidR="00F06309">
      <w:rPr>
        <w:lang w:val="en-US"/>
      </w:rPr>
      <w:t>ST/SG/AC.10/C.3/2020/33</w:t>
    </w:r>
    <w:r>
      <w:fldChar w:fldCharType="end"/>
    </w:r>
    <w:r w:rsidRPr="00531711">
      <w:rPr>
        <w:lang w:val="en-US"/>
      </w:rPr>
      <w:br/>
    </w:r>
    <w:r>
      <w:fldChar w:fldCharType="begin"/>
    </w:r>
    <w:r w:rsidRPr="00531711">
      <w:rPr>
        <w:lang w:val="en-US"/>
      </w:rPr>
      <w:instrText xml:space="preserve"> KEYWORDS  \* MERGEFORMAT </w:instrText>
    </w:r>
    <w:r>
      <w:fldChar w:fldCharType="separate"/>
    </w:r>
    <w:r w:rsidR="00F06309">
      <w:rPr>
        <w:lang w:val="en-US"/>
      </w:rPr>
      <w:t>ST/SG/AC.10/C.4/2020/10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F"/>
    <w:rsid w:val="00017F94"/>
    <w:rsid w:val="00023842"/>
    <w:rsid w:val="000305D3"/>
    <w:rsid w:val="000334F9"/>
    <w:rsid w:val="0007796D"/>
    <w:rsid w:val="000B7790"/>
    <w:rsid w:val="000C542E"/>
    <w:rsid w:val="00111F2F"/>
    <w:rsid w:val="00132EA9"/>
    <w:rsid w:val="0014365E"/>
    <w:rsid w:val="00176178"/>
    <w:rsid w:val="001E3BA1"/>
    <w:rsid w:val="001F525A"/>
    <w:rsid w:val="00223272"/>
    <w:rsid w:val="0024779E"/>
    <w:rsid w:val="0028315F"/>
    <w:rsid w:val="00283190"/>
    <w:rsid w:val="002832AC"/>
    <w:rsid w:val="002D7C93"/>
    <w:rsid w:val="00417F6C"/>
    <w:rsid w:val="00441C3B"/>
    <w:rsid w:val="00446FE5"/>
    <w:rsid w:val="00452396"/>
    <w:rsid w:val="004E468C"/>
    <w:rsid w:val="004E534A"/>
    <w:rsid w:val="00531711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9336F"/>
    <w:rsid w:val="00AB755B"/>
    <w:rsid w:val="00AC3823"/>
    <w:rsid w:val="00AE323C"/>
    <w:rsid w:val="00B00181"/>
    <w:rsid w:val="00B00B0D"/>
    <w:rsid w:val="00B765F7"/>
    <w:rsid w:val="00BA0CA9"/>
    <w:rsid w:val="00C02897"/>
    <w:rsid w:val="00D3439C"/>
    <w:rsid w:val="00D65986"/>
    <w:rsid w:val="00D97698"/>
    <w:rsid w:val="00DB1831"/>
    <w:rsid w:val="00DD3BFD"/>
    <w:rsid w:val="00DF6678"/>
    <w:rsid w:val="00E971AD"/>
    <w:rsid w:val="00EF2E22"/>
    <w:rsid w:val="00F01738"/>
    <w:rsid w:val="00F06309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15185"/>
  <w15:docId w15:val="{60BB79E1-3ADA-42D9-A982-049FD23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ST/SG/AC.10/C.3/2020/33</vt:lpstr>
      <vt:lpstr>ST/SG/AC.10/C.3/2020/33</vt:lpstr>
    </vt:vector>
  </TitlesOfParts>
  <Company>DCM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ST/SG/AC.10/C.3/2020/33</dc:title>
  <dc:creator>Valerie BERTIN</dc:creator>
  <cp:keywords>ST/SG/AC.10/C.4/2020/10</cp:keywords>
  <cp:lastModifiedBy>Laurence Berthet</cp:lastModifiedBy>
  <cp:revision>2</cp:revision>
  <cp:lastPrinted>2020-05-12T13:51:00Z</cp:lastPrinted>
  <dcterms:created xsi:type="dcterms:W3CDTF">2020-05-12T15:01:00Z</dcterms:created>
  <dcterms:modified xsi:type="dcterms:W3CDTF">2020-05-12T15:01:00Z</dcterms:modified>
</cp:coreProperties>
</file>