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31E95" w14:paraId="2E15C3E1" w14:textId="77777777" w:rsidTr="00F01738">
        <w:trPr>
          <w:trHeight w:hRule="exact" w:val="851"/>
        </w:trPr>
        <w:tc>
          <w:tcPr>
            <w:tcW w:w="1276" w:type="dxa"/>
            <w:tcBorders>
              <w:bottom w:val="single" w:sz="4" w:space="0" w:color="auto"/>
            </w:tcBorders>
          </w:tcPr>
          <w:p w14:paraId="7E90268A" w14:textId="77777777" w:rsidR="00132EA9" w:rsidRPr="00DB58B5" w:rsidRDefault="00132EA9" w:rsidP="00245B05">
            <w:bookmarkStart w:id="0" w:name="_GoBack"/>
            <w:bookmarkEnd w:id="0"/>
          </w:p>
        </w:tc>
        <w:tc>
          <w:tcPr>
            <w:tcW w:w="2268" w:type="dxa"/>
            <w:tcBorders>
              <w:bottom w:val="single" w:sz="4" w:space="0" w:color="auto"/>
            </w:tcBorders>
            <w:vAlign w:val="bottom"/>
          </w:tcPr>
          <w:p w14:paraId="7B23696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8E81C9" w14:textId="77777777" w:rsidR="00245B05" w:rsidRPr="00245B05" w:rsidRDefault="00245B05" w:rsidP="00245B05">
            <w:pPr>
              <w:jc w:val="right"/>
              <w:rPr>
                <w:lang w:val="en-US"/>
              </w:rPr>
            </w:pPr>
            <w:r w:rsidRPr="00245B05">
              <w:rPr>
                <w:sz w:val="40"/>
                <w:lang w:val="en-US"/>
              </w:rPr>
              <w:t>ST</w:t>
            </w:r>
            <w:r w:rsidRPr="00245B05">
              <w:rPr>
                <w:lang w:val="en-US"/>
              </w:rPr>
              <w:t>/SG/AC.10/C.3/2020/33/Add.1−</w:t>
            </w:r>
            <w:r w:rsidRPr="00245B05">
              <w:rPr>
                <w:sz w:val="40"/>
                <w:lang w:val="en-US"/>
              </w:rPr>
              <w:t>ST</w:t>
            </w:r>
            <w:r w:rsidRPr="00245B05">
              <w:rPr>
                <w:lang w:val="en-US"/>
              </w:rPr>
              <w:t>/SG/AC.10/C.4/2020/10/Add.1</w:t>
            </w:r>
          </w:p>
        </w:tc>
      </w:tr>
      <w:tr w:rsidR="00132EA9" w:rsidRPr="00DB58B5" w14:paraId="2A077EE9" w14:textId="77777777" w:rsidTr="00F01738">
        <w:trPr>
          <w:trHeight w:hRule="exact" w:val="2835"/>
        </w:trPr>
        <w:tc>
          <w:tcPr>
            <w:tcW w:w="1276" w:type="dxa"/>
            <w:tcBorders>
              <w:top w:val="single" w:sz="4" w:space="0" w:color="auto"/>
              <w:bottom w:val="single" w:sz="12" w:space="0" w:color="auto"/>
            </w:tcBorders>
          </w:tcPr>
          <w:p w14:paraId="140849A3" w14:textId="77777777" w:rsidR="00132EA9" w:rsidRPr="00DB58B5" w:rsidRDefault="00132EA9" w:rsidP="00F01738">
            <w:pPr>
              <w:spacing w:before="120"/>
              <w:jc w:val="center"/>
            </w:pPr>
            <w:r>
              <w:rPr>
                <w:noProof/>
                <w:lang w:eastAsia="fr-CH"/>
              </w:rPr>
              <w:drawing>
                <wp:inline distT="0" distB="0" distL="0" distR="0" wp14:anchorId="3670E66C" wp14:editId="244497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D9CD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877183C" w14:textId="77777777" w:rsidR="00132EA9" w:rsidRDefault="00245B05" w:rsidP="00F01738">
            <w:pPr>
              <w:spacing w:before="240"/>
            </w:pPr>
            <w:r>
              <w:t>Distr. générale</w:t>
            </w:r>
          </w:p>
          <w:p w14:paraId="1BE982C0" w14:textId="77777777" w:rsidR="00245B05" w:rsidRDefault="00245B05" w:rsidP="00245B05">
            <w:pPr>
              <w:spacing w:line="240" w:lineRule="exact"/>
            </w:pPr>
            <w:r>
              <w:t>21 septembre 2020</w:t>
            </w:r>
          </w:p>
          <w:p w14:paraId="6849C821" w14:textId="77777777" w:rsidR="00245B05" w:rsidRDefault="00245B05" w:rsidP="00245B05">
            <w:pPr>
              <w:spacing w:line="240" w:lineRule="exact"/>
            </w:pPr>
            <w:r>
              <w:t>Français</w:t>
            </w:r>
          </w:p>
          <w:p w14:paraId="718F85A8" w14:textId="77777777" w:rsidR="00245B05" w:rsidRPr="00DB58B5" w:rsidRDefault="00245B05" w:rsidP="00245B05">
            <w:pPr>
              <w:spacing w:line="240" w:lineRule="exact"/>
            </w:pPr>
            <w:r>
              <w:t>Original : anglais</w:t>
            </w:r>
          </w:p>
        </w:tc>
      </w:tr>
    </w:tbl>
    <w:p w14:paraId="7C9C744D" w14:textId="77777777" w:rsidR="00245B05" w:rsidRPr="00CA0680" w:rsidRDefault="00245B0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45B05" w14:paraId="3569D3BF" w14:textId="77777777" w:rsidTr="009C3129">
        <w:tc>
          <w:tcPr>
            <w:tcW w:w="4820" w:type="dxa"/>
          </w:tcPr>
          <w:p w14:paraId="1926AF00" w14:textId="77777777" w:rsidR="00245B05" w:rsidRDefault="00245B05"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C1464BE" w14:textId="77777777" w:rsidR="00245B05" w:rsidRDefault="00245B05" w:rsidP="009C3129">
            <w:pPr>
              <w:spacing w:before="120"/>
              <w:rPr>
                <w:b/>
              </w:rPr>
            </w:pPr>
            <w:r>
              <w:rPr>
                <w:b/>
              </w:rPr>
              <w:t>Sous-Comité d’experts du Système général harmonisé de classification et d’étiquetage des produits chimiques</w:t>
            </w:r>
          </w:p>
        </w:tc>
      </w:tr>
      <w:tr w:rsidR="00245B05" w:rsidRPr="00E31E95" w14:paraId="63DDA327" w14:textId="77777777" w:rsidTr="009C3129">
        <w:tc>
          <w:tcPr>
            <w:tcW w:w="4820" w:type="dxa"/>
          </w:tcPr>
          <w:p w14:paraId="37ED10A4" w14:textId="77777777" w:rsidR="00245B05" w:rsidRPr="00E31E95" w:rsidRDefault="00245B05" w:rsidP="009C3129">
            <w:pPr>
              <w:spacing w:before="120"/>
              <w:rPr>
                <w:b/>
                <w:bCs/>
              </w:rPr>
            </w:pPr>
            <w:r w:rsidRPr="00E31E95">
              <w:rPr>
                <w:b/>
                <w:bCs/>
                <w:lang w:val="fr-FR"/>
              </w:rPr>
              <w:t>Cinquante-septième</w:t>
            </w:r>
            <w:r w:rsidRPr="00E31E95">
              <w:rPr>
                <w:b/>
                <w:bCs/>
              </w:rPr>
              <w:t xml:space="preserve"> session</w:t>
            </w:r>
          </w:p>
        </w:tc>
        <w:tc>
          <w:tcPr>
            <w:tcW w:w="4820" w:type="dxa"/>
          </w:tcPr>
          <w:p w14:paraId="1CA43DA5" w14:textId="77777777" w:rsidR="00245B05" w:rsidRPr="00E31E95" w:rsidRDefault="00245B05" w:rsidP="009C3129">
            <w:pPr>
              <w:spacing w:before="120"/>
              <w:rPr>
                <w:b/>
                <w:bCs/>
              </w:rPr>
            </w:pPr>
            <w:r w:rsidRPr="00E31E95">
              <w:rPr>
                <w:b/>
                <w:bCs/>
                <w:lang w:val="fr-FR"/>
              </w:rPr>
              <w:t>Trente-neuvième</w:t>
            </w:r>
            <w:r w:rsidRPr="00E31E95">
              <w:rPr>
                <w:b/>
                <w:bCs/>
              </w:rPr>
              <w:t xml:space="preserve"> session</w:t>
            </w:r>
          </w:p>
        </w:tc>
      </w:tr>
      <w:tr w:rsidR="00245B05" w14:paraId="1D715E1D" w14:textId="77777777" w:rsidTr="009C3129">
        <w:tc>
          <w:tcPr>
            <w:tcW w:w="4820" w:type="dxa"/>
          </w:tcPr>
          <w:p w14:paraId="48C9028F" w14:textId="77777777" w:rsidR="00245B05" w:rsidRDefault="00245B05" w:rsidP="009C3129">
            <w:r>
              <w:t xml:space="preserve">Genève, </w:t>
            </w:r>
            <w:r>
              <w:rPr>
                <w:lang w:val="fr-FR"/>
              </w:rPr>
              <w:t>30 novembre-8 décembre 2020</w:t>
            </w:r>
          </w:p>
          <w:p w14:paraId="6273F74C" w14:textId="77777777" w:rsidR="00245B05" w:rsidRDefault="00245B05" w:rsidP="009C3129">
            <w:r>
              <w:t xml:space="preserve">Point </w:t>
            </w:r>
            <w:r>
              <w:rPr>
                <w:lang w:val="fr-FR"/>
              </w:rPr>
              <w:t xml:space="preserve">11 b) </w:t>
            </w:r>
            <w:r>
              <w:t>de l’ordre du jour provisoire</w:t>
            </w:r>
          </w:p>
          <w:p w14:paraId="15E3062A" w14:textId="77777777" w:rsidR="00245B05" w:rsidRPr="00245B05" w:rsidRDefault="00245B05" w:rsidP="009C3129">
            <w:pPr>
              <w:rPr>
                <w:b/>
                <w:bCs/>
              </w:rPr>
            </w:pPr>
            <w:r w:rsidRPr="00245B05">
              <w:rPr>
                <w:b/>
                <w:bCs/>
                <w:lang w:val="fr-FR"/>
              </w:rPr>
              <w:t xml:space="preserve">Questions relatives au Système général harmonisé </w:t>
            </w:r>
            <w:r w:rsidRPr="00245B05">
              <w:rPr>
                <w:b/>
                <w:bCs/>
                <w:lang w:val="fr-FR"/>
              </w:rPr>
              <w:br/>
              <w:t xml:space="preserve">de classification et d’étiquetage des produits </w:t>
            </w:r>
            <w:r w:rsidRPr="00245B05">
              <w:rPr>
                <w:b/>
                <w:bCs/>
                <w:lang w:val="fr-FR"/>
              </w:rPr>
              <w:br/>
              <w:t xml:space="preserve">chimiques (SGH) : </w:t>
            </w:r>
            <w:r w:rsidRPr="00245B05">
              <w:rPr>
                <w:b/>
                <w:bCs/>
                <w:lang w:val="fr-FR"/>
              </w:rPr>
              <w:br/>
              <w:t xml:space="preserve">Précision du paragraphe 2.9.3.4.3.4 du Règlement </w:t>
            </w:r>
            <w:r w:rsidRPr="00245B05">
              <w:rPr>
                <w:b/>
                <w:bCs/>
                <w:lang w:val="fr-FR"/>
              </w:rPr>
              <w:br/>
              <w:t>type et du paragraphe 4.1.3.3.4 du SGH</w:t>
            </w:r>
          </w:p>
        </w:tc>
        <w:tc>
          <w:tcPr>
            <w:tcW w:w="4820" w:type="dxa"/>
          </w:tcPr>
          <w:p w14:paraId="41702DC8" w14:textId="77777777" w:rsidR="00245B05" w:rsidRDefault="00245B05" w:rsidP="009C3129">
            <w:r>
              <w:t xml:space="preserve">Genève, </w:t>
            </w:r>
            <w:r>
              <w:rPr>
                <w:lang w:val="fr-FR"/>
              </w:rPr>
              <w:t>9-11 décembre 2020</w:t>
            </w:r>
          </w:p>
          <w:p w14:paraId="07993829" w14:textId="77777777" w:rsidR="00245B05" w:rsidRDefault="00245B05" w:rsidP="009C3129">
            <w:r>
              <w:t xml:space="preserve">Point </w:t>
            </w:r>
            <w:r>
              <w:rPr>
                <w:lang w:val="fr-FR"/>
              </w:rPr>
              <w:t xml:space="preserve">3 c) </w:t>
            </w:r>
            <w:r>
              <w:t>de l’ordre du jour provisoire</w:t>
            </w:r>
          </w:p>
          <w:p w14:paraId="1C0C42F4" w14:textId="77777777" w:rsidR="00245B05" w:rsidRPr="00245B05" w:rsidRDefault="00245B05" w:rsidP="009C3129">
            <w:pPr>
              <w:rPr>
                <w:b/>
                <w:bCs/>
              </w:rPr>
            </w:pPr>
            <w:r w:rsidRPr="00245B05">
              <w:rPr>
                <w:b/>
                <w:bCs/>
                <w:lang w:val="fr-FR"/>
              </w:rPr>
              <w:t xml:space="preserve">Critères de classification et communication des dangers </w:t>
            </w:r>
            <w:r w:rsidRPr="00245B05">
              <w:rPr>
                <w:b/>
                <w:bCs/>
                <w:lang w:val="fr-FR"/>
              </w:rPr>
              <w:br/>
              <w:t xml:space="preserve">s’y rapportant : </w:t>
            </w:r>
            <w:r w:rsidRPr="00245B05">
              <w:rPr>
                <w:b/>
                <w:bCs/>
                <w:lang w:val="fr-FR"/>
              </w:rPr>
              <w:br/>
              <w:t>Clarification du paragraphe 2.9.3.4.3.4 du Règlement type et du paragraphe 4.1.3.3.4 du SGH</w:t>
            </w:r>
          </w:p>
        </w:tc>
      </w:tr>
    </w:tbl>
    <w:p w14:paraId="21343F5A" w14:textId="77777777" w:rsidR="00245B05" w:rsidRPr="009E1927" w:rsidRDefault="00245B05" w:rsidP="00245B05">
      <w:pPr>
        <w:pStyle w:val="HChG"/>
        <w:rPr>
          <w:lang w:val="fr-FR"/>
        </w:rPr>
      </w:pPr>
      <w:r>
        <w:rPr>
          <w:lang w:val="fr-FR"/>
        </w:rPr>
        <w:tab/>
      </w:r>
      <w:r>
        <w:rPr>
          <w:lang w:val="fr-FR"/>
        </w:rPr>
        <w:tab/>
      </w:r>
      <w:r w:rsidRPr="006D07D7">
        <w:rPr>
          <w:lang w:val="fr-FR"/>
        </w:rPr>
        <w:t xml:space="preserve">Précisions </w:t>
      </w:r>
      <w:r w:rsidRPr="009E1927">
        <w:rPr>
          <w:lang w:val="fr-FR"/>
        </w:rPr>
        <w:t xml:space="preserve">concernant le 2.9.3.4.3.4 du Règlement type </w:t>
      </w:r>
      <w:r w:rsidRPr="009E1927">
        <w:rPr>
          <w:lang w:val="fr-FR"/>
        </w:rPr>
        <w:br/>
        <w:t xml:space="preserve">et le 4.1.3.3.4 du SGH </w:t>
      </w:r>
    </w:p>
    <w:p w14:paraId="6C6F17BD" w14:textId="77777777" w:rsidR="00245B05" w:rsidRPr="009E1927" w:rsidRDefault="00245B05" w:rsidP="00245B05">
      <w:pPr>
        <w:pStyle w:val="H1G"/>
        <w:rPr>
          <w:lang w:val="fr-FR"/>
        </w:rPr>
      </w:pPr>
      <w:r w:rsidRPr="009E1927">
        <w:rPr>
          <w:lang w:val="fr-FR"/>
        </w:rPr>
        <w:tab/>
      </w:r>
      <w:r w:rsidRPr="009E1927">
        <w:rPr>
          <w:lang w:val="fr-FR"/>
        </w:rPr>
        <w:tab/>
        <w:t>Communication de l’expert de la Chine</w:t>
      </w:r>
      <w:r w:rsidRPr="009E1927">
        <w:rPr>
          <w:rStyle w:val="FootnoteReference"/>
          <w:b w:val="0"/>
          <w:bCs/>
          <w:sz w:val="20"/>
          <w:vertAlign w:val="baseline"/>
        </w:rPr>
        <w:footnoteReference w:customMarkFollows="1" w:id="2"/>
        <w:t>*</w:t>
      </w:r>
    </w:p>
    <w:p w14:paraId="7CEEA8C4" w14:textId="77777777" w:rsidR="00245B05" w:rsidRPr="009E1927" w:rsidRDefault="00245B05" w:rsidP="00245B05">
      <w:pPr>
        <w:pStyle w:val="H23G"/>
        <w:rPr>
          <w:lang w:val="fr-FR"/>
        </w:rPr>
      </w:pPr>
      <w:r w:rsidRPr="009E1927">
        <w:rPr>
          <w:lang w:val="fr-FR"/>
        </w:rPr>
        <w:tab/>
      </w:r>
      <w:r w:rsidRPr="009E1927">
        <w:rPr>
          <w:lang w:val="fr-FR"/>
        </w:rPr>
        <w:tab/>
        <w:t>Additif</w:t>
      </w:r>
    </w:p>
    <w:p w14:paraId="6ACD51D3" w14:textId="77777777" w:rsidR="00245B05" w:rsidRPr="009E1927" w:rsidRDefault="00245B05" w:rsidP="00245B05">
      <w:pPr>
        <w:pStyle w:val="HChG"/>
        <w:rPr>
          <w:rFonts w:eastAsia="MS Mincho"/>
          <w:lang w:val="fr-FR"/>
        </w:rPr>
      </w:pPr>
      <w:r w:rsidRPr="009E1927">
        <w:rPr>
          <w:lang w:val="fr-FR"/>
        </w:rPr>
        <w:tab/>
      </w:r>
      <w:r w:rsidRPr="009E1927">
        <w:rPr>
          <w:lang w:val="fr-FR"/>
        </w:rPr>
        <w:tab/>
        <w:t>Introduction</w:t>
      </w:r>
    </w:p>
    <w:p w14:paraId="61C8F7C6" w14:textId="77777777" w:rsidR="00245B05" w:rsidRPr="006D07D7" w:rsidRDefault="00245B05" w:rsidP="00245B05">
      <w:pPr>
        <w:pStyle w:val="SingleTxtG"/>
        <w:rPr>
          <w:lang w:val="fr-FR"/>
        </w:rPr>
      </w:pPr>
      <w:r w:rsidRPr="009E1927">
        <w:rPr>
          <w:lang w:val="fr-FR"/>
        </w:rPr>
        <w:t>1.</w:t>
      </w:r>
      <w:r w:rsidRPr="009E1927">
        <w:rPr>
          <w:lang w:val="fr-FR"/>
        </w:rPr>
        <w:tab/>
        <w:t>L’expert de la Chine a soumis le document ST/SG/AC.10/C.3/2020/33 pour inviter le Sous-Comité à revoir les dispositions se rapportant à la classification en tant que danger à long terme (chronique) des mélanges pour le milieu aquatique, dans le 2.9.3.4 du Règlement type.</w:t>
      </w:r>
    </w:p>
    <w:p w14:paraId="75D644F6" w14:textId="77777777" w:rsidR="00245B05" w:rsidRPr="00245B05" w:rsidRDefault="00245B05" w:rsidP="00245B05">
      <w:pPr>
        <w:pStyle w:val="SingleTxtG"/>
        <w:rPr>
          <w:lang w:val="fr-FR"/>
        </w:rPr>
      </w:pPr>
      <w:r w:rsidRPr="00245B05">
        <w:rPr>
          <w:lang w:val="fr-FR"/>
        </w:rPr>
        <w:t>2.</w:t>
      </w:r>
      <w:r w:rsidRPr="00245B05">
        <w:rPr>
          <w:lang w:val="fr-FR"/>
        </w:rPr>
        <w:tab/>
        <w:t xml:space="preserve">Dans le document ST/SG/AC.10/C.3/2020/33, la Chine a proposé deux options de </w:t>
      </w:r>
      <w:r w:rsidRPr="006D07D7">
        <w:rPr>
          <w:lang w:val="fr-FR"/>
        </w:rPr>
        <w:t>modification.</w:t>
      </w:r>
      <w:r w:rsidRPr="00245B05">
        <w:rPr>
          <w:lang w:val="fr-FR"/>
        </w:rPr>
        <w:t xml:space="preserve"> Lors des débats informels tenus pendant l’été, de nombreuses observations précieuses ont été faites par des experts d’autres pays et organisations, et une troisième option a été ajoutée.</w:t>
      </w:r>
    </w:p>
    <w:p w14:paraId="38208FFF" w14:textId="77777777" w:rsidR="00245B05" w:rsidRPr="00245B05" w:rsidRDefault="00245B05" w:rsidP="00245B05">
      <w:pPr>
        <w:pStyle w:val="SingleTxtG"/>
        <w:rPr>
          <w:lang w:val="fr-FR"/>
        </w:rPr>
      </w:pPr>
      <w:r w:rsidRPr="00245B05">
        <w:rPr>
          <w:lang w:val="fr-FR"/>
        </w:rPr>
        <w:t>3.</w:t>
      </w:r>
      <w:r w:rsidRPr="00245B05">
        <w:rPr>
          <w:lang w:val="fr-FR"/>
        </w:rPr>
        <w:tab/>
        <w:t>Les experts de la Chine sont toutefois plus favorables aux options 1 et 2, car ils jugent les modifications qu’elles contiennent plus conformes aux dispositions pertinentes du SGH. Étant donné que les futurs amendements au SGH sont susceptibles d’avoir une incidence sur le Règlement type, il serait beaucoup plus pratique de veiller à préserver la cohérence entre ces deux instruments.</w:t>
      </w:r>
    </w:p>
    <w:p w14:paraId="54410293" w14:textId="77777777" w:rsidR="00245B05" w:rsidRPr="00245B05" w:rsidRDefault="00245B05" w:rsidP="00245B05">
      <w:pPr>
        <w:pStyle w:val="HChG"/>
        <w:rPr>
          <w:rFonts w:eastAsia="MS Mincho"/>
          <w:lang w:val="fr-FR"/>
        </w:rPr>
      </w:pPr>
      <w:r w:rsidRPr="00245B05">
        <w:rPr>
          <w:lang w:val="fr-FR"/>
        </w:rPr>
        <w:lastRenderedPageBreak/>
        <w:tab/>
      </w:r>
      <w:r w:rsidRPr="00245B05">
        <w:rPr>
          <w:lang w:val="fr-FR"/>
        </w:rPr>
        <w:tab/>
        <w:t>Proposition</w:t>
      </w:r>
    </w:p>
    <w:p w14:paraId="5D0CB28B" w14:textId="77777777" w:rsidR="00245B05" w:rsidRPr="00245B05" w:rsidRDefault="00245B05" w:rsidP="00245B05">
      <w:pPr>
        <w:pStyle w:val="SingleTxtG"/>
        <w:rPr>
          <w:lang w:val="fr-FR"/>
        </w:rPr>
      </w:pPr>
      <w:r w:rsidRPr="00245B05">
        <w:rPr>
          <w:lang w:val="fr-FR"/>
        </w:rPr>
        <w:t>4.</w:t>
      </w:r>
      <w:r w:rsidRPr="00245B05">
        <w:rPr>
          <w:lang w:val="fr-FR"/>
        </w:rPr>
        <w:tab/>
        <w:t>Compte tenu des différentes observations reçues, l’expert de la Chine présente ci</w:t>
      </w:r>
      <w:r w:rsidRPr="00245B05">
        <w:rPr>
          <w:lang w:val="fr-FR"/>
        </w:rPr>
        <w:noBreakHyphen/>
        <w:t xml:space="preserve">après une troisième proposition de modification du paragraphe 2.9.3.4.3.4 du Règlement type (les modifications qu’il est proposé d’apporter au texte actuel figurent en caractères </w:t>
      </w:r>
      <w:r w:rsidRPr="00245B05">
        <w:rPr>
          <w:u w:val="single"/>
          <w:lang w:val="fr-FR"/>
        </w:rPr>
        <w:t>soulignés</w:t>
      </w:r>
      <w:r w:rsidRPr="00245B05">
        <w:rPr>
          <w:lang w:val="fr-FR"/>
        </w:rPr>
        <w:t xml:space="preserve"> pour les ajouts et </w:t>
      </w:r>
      <w:r w:rsidRPr="00245B05">
        <w:rPr>
          <w:strike/>
          <w:lang w:val="fr-FR"/>
        </w:rPr>
        <w:t>biffés</w:t>
      </w:r>
      <w:r w:rsidRPr="00245B05">
        <w:rPr>
          <w:lang w:val="fr-FR"/>
        </w:rPr>
        <w:t xml:space="preserve"> pour les suppressions).</w:t>
      </w:r>
    </w:p>
    <w:p w14:paraId="4B2A62F9" w14:textId="77777777" w:rsidR="00245B05" w:rsidRPr="00245B05" w:rsidRDefault="00245B05" w:rsidP="00245B05">
      <w:pPr>
        <w:pStyle w:val="SingleTxtG"/>
        <w:rPr>
          <w:lang w:val="fr-FR"/>
        </w:rPr>
      </w:pPr>
      <w:r w:rsidRPr="00245B05">
        <w:rPr>
          <w:lang w:val="fr-FR"/>
        </w:rPr>
        <w:t>5.</w:t>
      </w:r>
      <w:r w:rsidRPr="00245B05">
        <w:rPr>
          <w:lang w:val="fr-FR"/>
        </w:rPr>
        <w:tab/>
        <w:t>Cette option supplémentaire, qui ne concerne que le Règlement type, est soumise au Sous-Comité d’experts du transport des marchandises dangereuses pour examen. La proposition relative au SGH, qui figure dans le document ST/SG/AC.10/C.4/2020/10, reste inchangée.</w:t>
      </w:r>
    </w:p>
    <w:p w14:paraId="3423DA8D" w14:textId="77777777" w:rsidR="00245B05" w:rsidRPr="00245B05" w:rsidRDefault="00245B05" w:rsidP="00245B05">
      <w:pPr>
        <w:pStyle w:val="H56G"/>
        <w:rPr>
          <w:lang w:val="fr-FR"/>
        </w:rPr>
      </w:pPr>
      <w:r w:rsidRPr="00245B05">
        <w:rPr>
          <w:lang w:val="fr-FR"/>
        </w:rPr>
        <w:tab/>
      </w:r>
      <w:r>
        <w:rPr>
          <w:lang w:val="fr-FR"/>
        </w:rPr>
        <w:tab/>
      </w:r>
      <w:r w:rsidRPr="00245B05">
        <w:rPr>
          <w:lang w:val="fr-FR"/>
        </w:rPr>
        <w:t>Option 3</w:t>
      </w:r>
    </w:p>
    <w:p w14:paraId="5E8422DF" w14:textId="77777777" w:rsidR="00245B05" w:rsidRPr="00245B05" w:rsidRDefault="00245B05" w:rsidP="00245B05">
      <w:pPr>
        <w:pStyle w:val="SingleTxtG"/>
        <w:rPr>
          <w:lang w:val="fr-FR"/>
        </w:rPr>
      </w:pPr>
      <w:r w:rsidRPr="00245B05">
        <w:rPr>
          <w:lang w:val="fr-FR"/>
        </w:rPr>
        <w:t>« 2.9.3.4.3.4</w:t>
      </w:r>
      <w:r w:rsidRPr="00245B05">
        <w:rPr>
          <w:lang w:val="fr-FR"/>
        </w:rPr>
        <w:tab/>
        <w:t xml:space="preserve">Classification dans les catégories « Chronique 1 » et « Chronique 2 » </w:t>
      </w:r>
    </w:p>
    <w:p w14:paraId="0E3AA213" w14:textId="77777777" w:rsidR="00245B05" w:rsidRPr="00245B05" w:rsidRDefault="00245B05" w:rsidP="00245B05">
      <w:pPr>
        <w:pStyle w:val="SingleTxtG"/>
        <w:ind w:left="2835" w:hanging="567"/>
        <w:rPr>
          <w:strike/>
          <w:lang w:val="fr-FR"/>
        </w:rPr>
      </w:pPr>
      <w:r w:rsidRPr="00245B05">
        <w:rPr>
          <w:strike/>
          <w:lang w:val="fr-FR"/>
        </w:rPr>
        <w:t>a)</w:t>
      </w:r>
      <w:r w:rsidRPr="00245B05">
        <w:rPr>
          <w:strike/>
          <w:lang w:val="fr-FR"/>
        </w:rPr>
        <w:tab/>
        <w:t>Si l’on dispose de données appropriées sur la toxicité chronique (CE</w:t>
      </w:r>
      <w:r w:rsidRPr="00245B05">
        <w:rPr>
          <w:strike/>
          <w:vertAlign w:val="subscript"/>
          <w:lang w:val="fr-FR"/>
        </w:rPr>
        <w:t>x</w:t>
      </w:r>
      <w:r w:rsidRPr="00245B05">
        <w:rPr>
          <w:strike/>
          <w:lang w:val="fr-FR"/>
        </w:rPr>
        <w:t xml:space="preserve"> ou CSEO) du mélange testé en tant que tel indiquant CE</w:t>
      </w:r>
      <w:r w:rsidRPr="00245B05">
        <w:rPr>
          <w:strike/>
          <w:vertAlign w:val="subscript"/>
          <w:lang w:val="fr-FR"/>
        </w:rPr>
        <w:t>x</w:t>
      </w:r>
      <w:r w:rsidRPr="00245B05">
        <w:rPr>
          <w:strike/>
          <w:lang w:val="fr-FR"/>
        </w:rPr>
        <w:t xml:space="preserve"> ou CSEO ≤ 1 mg/l :</w:t>
      </w:r>
      <w:r w:rsidRPr="00245B05">
        <w:rPr>
          <w:lang w:val="fr-FR"/>
        </w:rPr>
        <w:t xml:space="preserve"> </w:t>
      </w:r>
    </w:p>
    <w:p w14:paraId="7A687D4E" w14:textId="77777777" w:rsidR="00245B05" w:rsidRPr="00245B05" w:rsidRDefault="00245B05" w:rsidP="00245B05">
      <w:pPr>
        <w:pStyle w:val="SingleTxtG"/>
        <w:ind w:left="3402" w:hanging="567"/>
        <w:rPr>
          <w:strike/>
          <w:lang w:val="fr-FR"/>
        </w:rPr>
      </w:pPr>
      <w:r w:rsidRPr="00245B05">
        <w:rPr>
          <w:strike/>
          <w:lang w:val="fr-FR"/>
        </w:rPr>
        <w:t>i)</w:t>
      </w:r>
      <w:r w:rsidRPr="00245B05">
        <w:rPr>
          <w:strike/>
          <w:lang w:val="fr-FR"/>
        </w:rPr>
        <w:tab/>
        <w:t>Classer le mélange dans les catégories Chronique 1 ou 2 conformément au tableau 2.9.1 b) ii) (rapidement dégradable) si les informations disponibles permettent de conclure que tous les composants pertinents du mélange sont rapidement dégradables ;</w:t>
      </w:r>
      <w:r w:rsidRPr="00245B05">
        <w:rPr>
          <w:lang w:val="fr-FR"/>
        </w:rPr>
        <w:t xml:space="preserve"> </w:t>
      </w:r>
    </w:p>
    <w:p w14:paraId="159C0157" w14:textId="77777777" w:rsidR="00245B05" w:rsidRPr="00245B05" w:rsidRDefault="00245B05" w:rsidP="00245B05">
      <w:pPr>
        <w:pStyle w:val="SingleTxtG"/>
        <w:ind w:left="3402" w:hanging="567"/>
        <w:rPr>
          <w:strike/>
          <w:lang w:val="fr-FR"/>
        </w:rPr>
      </w:pPr>
      <w:r w:rsidRPr="00245B05">
        <w:rPr>
          <w:strike/>
          <w:lang w:val="fr-FR"/>
        </w:rPr>
        <w:t>ii)</w:t>
      </w:r>
      <w:r w:rsidRPr="00245B05">
        <w:rPr>
          <w:strike/>
          <w:lang w:val="fr-FR"/>
        </w:rPr>
        <w:tab/>
        <w:t>Classer le mélange dans les catégories Chronique 1 ou 2 dans tous les autres cas conformément au tableau 2.9.1 b) i) (non rapidement dégradable) ;</w:t>
      </w:r>
      <w:r w:rsidRPr="00245B05">
        <w:rPr>
          <w:lang w:val="fr-FR"/>
        </w:rPr>
        <w:t xml:space="preserve"> </w:t>
      </w:r>
    </w:p>
    <w:p w14:paraId="1CEC1E94" w14:textId="77777777" w:rsidR="00245B05" w:rsidRPr="00245B05" w:rsidRDefault="00245B05" w:rsidP="00245B05">
      <w:pPr>
        <w:pStyle w:val="SingleTxtG"/>
        <w:ind w:left="2835" w:hanging="567"/>
        <w:rPr>
          <w:strike/>
          <w:lang w:val="fr-FR"/>
        </w:rPr>
      </w:pPr>
      <w:r w:rsidRPr="00245B05">
        <w:rPr>
          <w:strike/>
          <w:lang w:val="fr-FR"/>
        </w:rPr>
        <w:t>b)</w:t>
      </w:r>
      <w:r w:rsidRPr="00245B05">
        <w:rPr>
          <w:strike/>
          <w:lang w:val="fr-FR"/>
        </w:rPr>
        <w:tab/>
        <w:t>Si l’on dispose de données appropriées sur la toxicité chronique (CE</w:t>
      </w:r>
      <w:r w:rsidRPr="00245B05">
        <w:rPr>
          <w:strike/>
          <w:vertAlign w:val="subscript"/>
          <w:lang w:val="fr-FR"/>
        </w:rPr>
        <w:t>x</w:t>
      </w:r>
      <w:r w:rsidRPr="00245B05">
        <w:rPr>
          <w:strike/>
          <w:lang w:val="fr-FR"/>
        </w:rPr>
        <w:t xml:space="preserve"> ou CSEO) du mélange testé en tant que tel indiquant CE</w:t>
      </w:r>
      <w:r w:rsidRPr="00245B05">
        <w:rPr>
          <w:strike/>
          <w:vertAlign w:val="subscript"/>
          <w:lang w:val="fr-FR"/>
        </w:rPr>
        <w:t>x</w:t>
      </w:r>
      <w:r w:rsidRPr="00245B05">
        <w:rPr>
          <w:strike/>
          <w:lang w:val="fr-FR"/>
        </w:rPr>
        <w:t>(s) ou CSEO(s) &gt; 1 mg/l ou une concentration supérieure à celle qui est soluble dans l’eau :</w:t>
      </w:r>
      <w:r w:rsidRPr="00245B05">
        <w:rPr>
          <w:lang w:val="fr-FR"/>
        </w:rPr>
        <w:t xml:space="preserve"> </w:t>
      </w:r>
    </w:p>
    <w:p w14:paraId="295DE18B" w14:textId="77777777" w:rsidR="00245B05" w:rsidRPr="00245B05" w:rsidRDefault="00245B05" w:rsidP="00245B05">
      <w:pPr>
        <w:pStyle w:val="SingleTxtG"/>
        <w:ind w:left="2835"/>
        <w:rPr>
          <w:strike/>
          <w:lang w:val="fr-FR"/>
        </w:rPr>
      </w:pPr>
      <w:r w:rsidRPr="00245B05">
        <w:rPr>
          <w:strike/>
          <w:lang w:val="fr-FR"/>
        </w:rPr>
        <w:t>Il n’est pas nécessaire de classer le mélange dans une catégorie de danger à long terme conformément au présent Règlement.</w:t>
      </w:r>
    </w:p>
    <w:p w14:paraId="11A259CE" w14:textId="77777777" w:rsidR="00245B05" w:rsidRPr="00245B05" w:rsidRDefault="00245B05" w:rsidP="00245B05">
      <w:pPr>
        <w:pStyle w:val="SingleTxtG"/>
        <w:ind w:left="2835" w:hanging="567"/>
        <w:rPr>
          <w:u w:val="single"/>
          <w:lang w:val="fr-FR"/>
        </w:rPr>
      </w:pPr>
      <w:r w:rsidRPr="00245B05">
        <w:rPr>
          <w:lang w:val="fr-FR"/>
        </w:rPr>
        <w:t>a)</w:t>
      </w:r>
      <w:r w:rsidRPr="00245B05">
        <w:rPr>
          <w:lang w:val="fr-FR"/>
        </w:rPr>
        <w:tab/>
      </w:r>
      <w:r w:rsidRPr="00245B05">
        <w:rPr>
          <w:u w:val="single"/>
          <w:lang w:val="fr-FR"/>
        </w:rPr>
        <w:t>Si les informations disponibles permettent de conclure que tous les composants pertinents du mélange testé sont rapidement dégradables :</w:t>
      </w:r>
    </w:p>
    <w:p w14:paraId="1C5BF22E" w14:textId="77777777" w:rsidR="00245B05" w:rsidRPr="00245B05" w:rsidRDefault="00245B05" w:rsidP="00245B05">
      <w:pPr>
        <w:pStyle w:val="SingleTxtG"/>
        <w:ind w:left="3402" w:hanging="567"/>
        <w:rPr>
          <w:u w:val="single"/>
          <w:lang w:val="fr-FR"/>
        </w:rPr>
      </w:pPr>
      <w:r w:rsidRPr="00245B05">
        <w:rPr>
          <w:lang w:val="fr-FR"/>
        </w:rPr>
        <w:t>i)</w:t>
      </w:r>
      <w:r w:rsidRPr="00245B05">
        <w:rPr>
          <w:lang w:val="fr-FR"/>
        </w:rPr>
        <w:tab/>
      </w:r>
      <w:r w:rsidRPr="00245B05">
        <w:rPr>
          <w:u w:val="single"/>
          <w:lang w:val="fr-FR"/>
        </w:rPr>
        <w:t>Si l’on dispose de données valables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w:t>
      </w:r>
      <w:r>
        <w:rPr>
          <w:u w:val="single"/>
          <w:lang w:val="fr-FR"/>
        </w:rPr>
        <w:t xml:space="preserve"> </w:t>
      </w:r>
      <w:r w:rsidRPr="00245B05">
        <w:rPr>
          <w:u w:val="single"/>
          <w:lang w:val="fr-FR"/>
        </w:rPr>
        <w:t>≤ 0,1 mg/l</w:t>
      </w:r>
      <w:r>
        <w:rPr>
          <w:u w:val="single"/>
          <w:lang w:val="fr-FR"/>
        </w:rPr>
        <w:t> </w:t>
      </w:r>
      <w:r w:rsidRPr="00245B05">
        <w:rPr>
          <w:u w:val="single"/>
          <w:lang w:val="fr-FR"/>
        </w:rPr>
        <w:t>:</w:t>
      </w:r>
      <w:r w:rsidRPr="00245B05">
        <w:rPr>
          <w:lang w:val="fr-FR"/>
        </w:rPr>
        <w:t xml:space="preserve"> </w:t>
      </w:r>
    </w:p>
    <w:p w14:paraId="0E6686FC" w14:textId="77777777" w:rsidR="00245B05" w:rsidRPr="00245B05" w:rsidRDefault="00245B05" w:rsidP="00245B05">
      <w:pPr>
        <w:pStyle w:val="SingleTxtG"/>
        <w:ind w:left="3402" w:hanging="567"/>
        <w:rPr>
          <w:u w:val="single"/>
          <w:lang w:val="fr-FR"/>
        </w:rPr>
      </w:pPr>
      <w:r w:rsidRPr="00245B05">
        <w:rPr>
          <w:lang w:val="fr-FR"/>
        </w:rPr>
        <w:tab/>
      </w:r>
      <w:r w:rsidRPr="00245B05">
        <w:rPr>
          <w:u w:val="single"/>
          <w:lang w:val="fr-FR"/>
        </w:rPr>
        <w:t>Classer le mélange dans les catégories « Chronique 1 » ou « Chronique 2 » conformément au tableau 2.9.1 b) ii) (rapidement dégradable)</w:t>
      </w:r>
      <w:r>
        <w:rPr>
          <w:u w:val="single"/>
          <w:lang w:val="fr-FR"/>
        </w:rPr>
        <w:t> </w:t>
      </w:r>
      <w:r w:rsidRPr="00245B05">
        <w:rPr>
          <w:u w:val="single"/>
          <w:lang w:val="fr-FR"/>
        </w:rPr>
        <w:t>;</w:t>
      </w:r>
    </w:p>
    <w:p w14:paraId="0E5534D6" w14:textId="77777777" w:rsidR="00245B05" w:rsidRPr="00245B05" w:rsidRDefault="00245B05" w:rsidP="00245B05">
      <w:pPr>
        <w:pStyle w:val="SingleTxtG"/>
        <w:ind w:left="3402" w:hanging="567"/>
        <w:rPr>
          <w:u w:val="single"/>
          <w:lang w:val="fr-FR"/>
        </w:rPr>
      </w:pPr>
      <w:r w:rsidRPr="00245B05">
        <w:rPr>
          <w:lang w:val="fr-FR"/>
        </w:rPr>
        <w:t>ii)</w:t>
      </w:r>
      <w:r w:rsidRPr="00245B05">
        <w:rPr>
          <w:lang w:val="fr-FR"/>
        </w:rPr>
        <w:tab/>
      </w:r>
      <w:r w:rsidRPr="00245B05">
        <w:rPr>
          <w:u w:val="single"/>
          <w:lang w:val="fr-FR"/>
        </w:rPr>
        <w:t>Si l’on dispose de données appropriées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 &gt; 0,1 mg/l ou une concentration supérieure à celle qui est soluble dans l’eau : il n’est pas nécessaire de classer le mélange dans une catégorie de danger à long terme conformément au présent Règlement.</w:t>
      </w:r>
    </w:p>
    <w:p w14:paraId="75D8AD90" w14:textId="77777777" w:rsidR="00245B05" w:rsidRPr="00245B05" w:rsidRDefault="00245B05" w:rsidP="00245B05">
      <w:pPr>
        <w:pStyle w:val="SingleTxtG"/>
        <w:ind w:left="2835" w:hanging="567"/>
        <w:rPr>
          <w:u w:val="single"/>
          <w:lang w:val="fr-FR"/>
        </w:rPr>
      </w:pPr>
      <w:r w:rsidRPr="00245B05">
        <w:rPr>
          <w:lang w:val="fr-FR"/>
        </w:rPr>
        <w:t>b)</w:t>
      </w:r>
      <w:r w:rsidRPr="00245B05">
        <w:rPr>
          <w:lang w:val="fr-FR"/>
        </w:rPr>
        <w:tab/>
      </w:r>
      <w:r w:rsidRPr="00245B05">
        <w:rPr>
          <w:u w:val="single"/>
          <w:lang w:val="fr-FR"/>
        </w:rPr>
        <w:t>Si les informations disponibles ne permettent pas de conclure que tous les composants pertinents du mélange testé sont rapidement dégradables</w:t>
      </w:r>
      <w:r w:rsidR="006D07D7">
        <w:rPr>
          <w:u w:val="single"/>
          <w:lang w:val="fr-FR"/>
        </w:rPr>
        <w:t> </w:t>
      </w:r>
      <w:r w:rsidRPr="00245B05">
        <w:rPr>
          <w:u w:val="single"/>
          <w:lang w:val="fr-FR"/>
        </w:rPr>
        <w:t>:</w:t>
      </w:r>
    </w:p>
    <w:p w14:paraId="14875385" w14:textId="77777777" w:rsidR="00245B05" w:rsidRPr="00245B05" w:rsidRDefault="00245B05" w:rsidP="00245B05">
      <w:pPr>
        <w:pStyle w:val="SingleTxtG"/>
        <w:ind w:left="3402" w:hanging="567"/>
        <w:rPr>
          <w:u w:val="single"/>
          <w:lang w:val="fr-FR"/>
        </w:rPr>
      </w:pPr>
      <w:r w:rsidRPr="00245B05">
        <w:rPr>
          <w:lang w:val="fr-FR"/>
        </w:rPr>
        <w:t>i)</w:t>
      </w:r>
      <w:r w:rsidRPr="00245B05">
        <w:rPr>
          <w:lang w:val="fr-FR"/>
        </w:rPr>
        <w:tab/>
      </w:r>
      <w:r w:rsidRPr="00245B05">
        <w:rPr>
          <w:u w:val="single"/>
          <w:lang w:val="fr-FR"/>
        </w:rPr>
        <w:t>Si l’on dispose de données valables sur la toxicité chronique (CE</w:t>
      </w:r>
      <w:r w:rsidRPr="00245B05">
        <w:rPr>
          <w:u w:val="single"/>
          <w:vertAlign w:val="subscript"/>
          <w:lang w:val="fr-FR"/>
        </w:rPr>
        <w:t>x</w:t>
      </w:r>
      <w:r w:rsidRPr="00245B05">
        <w:rPr>
          <w:u w:val="single"/>
          <w:lang w:val="fr-FR"/>
        </w:rPr>
        <w:t xml:space="preserve"> ou CSEO) du mélange testé en tant que tel indiquant</w:t>
      </w:r>
      <w:r>
        <w:rPr>
          <w:u w:val="single"/>
          <w:lang w:val="fr-FR"/>
        </w:rPr>
        <w:t xml:space="preserve"> </w:t>
      </w:r>
      <w:r w:rsidRPr="00245B05">
        <w:rPr>
          <w:u w:val="single"/>
          <w:lang w:val="fr-FR"/>
        </w:rPr>
        <w:t>CE</w:t>
      </w:r>
      <w:r w:rsidRPr="00245B05">
        <w:rPr>
          <w:u w:val="single"/>
          <w:vertAlign w:val="subscript"/>
          <w:lang w:val="fr-FR"/>
        </w:rPr>
        <w:t>x</w:t>
      </w:r>
      <w:r w:rsidRPr="00245B05">
        <w:rPr>
          <w:u w:val="single"/>
          <w:lang w:val="fr-FR"/>
        </w:rPr>
        <w:t xml:space="preserve"> ou CSEO</w:t>
      </w:r>
      <w:r>
        <w:rPr>
          <w:u w:val="single"/>
          <w:lang w:val="fr-FR"/>
        </w:rPr>
        <w:t xml:space="preserve"> </w:t>
      </w:r>
      <w:r w:rsidRPr="00245B05">
        <w:rPr>
          <w:u w:val="single"/>
          <w:lang w:val="fr-FR"/>
        </w:rPr>
        <w:t>≤ 1 mg/l</w:t>
      </w:r>
      <w:r w:rsidR="006D07D7">
        <w:rPr>
          <w:u w:val="single"/>
          <w:lang w:val="fr-FR"/>
        </w:rPr>
        <w:t> </w:t>
      </w:r>
      <w:r w:rsidRPr="00245B05">
        <w:rPr>
          <w:u w:val="single"/>
          <w:lang w:val="fr-FR"/>
        </w:rPr>
        <w:t>:</w:t>
      </w:r>
      <w:r w:rsidRPr="00245B05">
        <w:rPr>
          <w:lang w:val="fr-FR"/>
        </w:rPr>
        <w:t xml:space="preserve"> </w:t>
      </w:r>
    </w:p>
    <w:p w14:paraId="269BBF81" w14:textId="77777777" w:rsidR="00245B05" w:rsidRPr="00245B05" w:rsidRDefault="00245B05" w:rsidP="00245B05">
      <w:pPr>
        <w:pStyle w:val="SingleTxtG"/>
        <w:ind w:left="3402" w:hanging="567"/>
        <w:rPr>
          <w:u w:val="single"/>
          <w:lang w:val="fr-FR"/>
        </w:rPr>
      </w:pPr>
      <w:r w:rsidRPr="00245B05">
        <w:rPr>
          <w:lang w:val="fr-FR"/>
        </w:rPr>
        <w:lastRenderedPageBreak/>
        <w:tab/>
      </w:r>
      <w:r w:rsidRPr="00245B05">
        <w:rPr>
          <w:u w:val="single"/>
          <w:lang w:val="fr-FR"/>
        </w:rPr>
        <w:t>Classer le mélange dans les catégories « Chronique 1 » ou « Chronique 2 » conformément au tableau 2.9.1 b) i) (non rapidement dégradable)</w:t>
      </w:r>
      <w:r w:rsidR="006D07D7">
        <w:rPr>
          <w:u w:val="single"/>
          <w:lang w:val="fr-FR"/>
        </w:rPr>
        <w:t> </w:t>
      </w:r>
      <w:r w:rsidRPr="00245B05">
        <w:rPr>
          <w:u w:val="single"/>
          <w:lang w:val="fr-FR"/>
        </w:rPr>
        <w:t>;</w:t>
      </w:r>
    </w:p>
    <w:p w14:paraId="400E7574" w14:textId="77777777" w:rsidR="00245B05" w:rsidRDefault="00245B05" w:rsidP="00245B05">
      <w:pPr>
        <w:pStyle w:val="SingleTxtG"/>
        <w:ind w:left="3402" w:hanging="567"/>
      </w:pPr>
      <w:r w:rsidRPr="00245B05">
        <w:rPr>
          <w:lang w:val="fr-FR"/>
        </w:rPr>
        <w:t>ii)</w:t>
      </w:r>
      <w:r w:rsidRPr="00245B05">
        <w:rPr>
          <w:lang w:val="fr-FR"/>
        </w:rPr>
        <w:tab/>
      </w:r>
      <w:r w:rsidRPr="00245B05">
        <w:rPr>
          <w:u w:val="single"/>
          <w:lang w:val="fr-FR"/>
        </w:rPr>
        <w:t>Si l’on dispose de données appropriées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 &gt; 1 mg/l ou une concentration supérieure à celle qui est soluble dans l’eau</w:t>
      </w:r>
      <w:r w:rsidR="006D07D7">
        <w:rPr>
          <w:u w:val="single"/>
          <w:lang w:val="fr-FR"/>
        </w:rPr>
        <w:t> </w:t>
      </w:r>
      <w:r w:rsidRPr="00245B05">
        <w:rPr>
          <w:u w:val="single"/>
          <w:lang w:val="fr-FR"/>
        </w:rPr>
        <w:t>: il n’est pas nécessaire de classer le mélange dans une catégorie de danger à long terme conformément au présent Règlement.</w:t>
      </w:r>
      <w:r w:rsidRPr="00245B05">
        <w:rPr>
          <w:lang w:val="fr-FR"/>
        </w:rPr>
        <w:t> ».</w:t>
      </w:r>
    </w:p>
    <w:p w14:paraId="05BCC8D2" w14:textId="77777777" w:rsidR="00446FE5" w:rsidRPr="00245B05" w:rsidRDefault="00245B05" w:rsidP="00245B05">
      <w:pPr>
        <w:pStyle w:val="SingleTxtG"/>
        <w:spacing w:before="240" w:after="0"/>
        <w:jc w:val="center"/>
        <w:rPr>
          <w:u w:val="single"/>
        </w:rPr>
      </w:pPr>
      <w:r>
        <w:rPr>
          <w:u w:val="single"/>
        </w:rPr>
        <w:tab/>
      </w:r>
      <w:r>
        <w:rPr>
          <w:u w:val="single"/>
        </w:rPr>
        <w:tab/>
      </w:r>
      <w:r>
        <w:rPr>
          <w:u w:val="single"/>
        </w:rPr>
        <w:tab/>
      </w:r>
    </w:p>
    <w:sectPr w:rsidR="00446FE5" w:rsidRPr="00245B05" w:rsidSect="00245B0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391B" w14:textId="77777777" w:rsidR="00D56EBE" w:rsidRDefault="00D56EBE" w:rsidP="00F95C08">
      <w:pPr>
        <w:spacing w:line="240" w:lineRule="auto"/>
      </w:pPr>
    </w:p>
  </w:endnote>
  <w:endnote w:type="continuationSeparator" w:id="0">
    <w:p w14:paraId="3D257031" w14:textId="77777777" w:rsidR="00D56EBE" w:rsidRPr="00AC3823" w:rsidRDefault="00D56EBE" w:rsidP="00AC3823">
      <w:pPr>
        <w:pStyle w:val="Footer"/>
      </w:pPr>
    </w:p>
  </w:endnote>
  <w:endnote w:type="continuationNotice" w:id="1">
    <w:p w14:paraId="2443DFDE" w14:textId="77777777" w:rsidR="00D56EBE" w:rsidRDefault="00D56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9C78" w14:textId="77777777" w:rsidR="00245B05" w:rsidRPr="00245B05" w:rsidRDefault="00245B05" w:rsidP="00245B05">
    <w:pPr>
      <w:pStyle w:val="Footer"/>
      <w:tabs>
        <w:tab w:val="right" w:pos="9638"/>
      </w:tabs>
    </w:pPr>
    <w:r w:rsidRPr="00245B05">
      <w:rPr>
        <w:b/>
        <w:sz w:val="18"/>
      </w:rPr>
      <w:fldChar w:fldCharType="begin"/>
    </w:r>
    <w:r w:rsidRPr="00245B05">
      <w:rPr>
        <w:b/>
        <w:sz w:val="18"/>
      </w:rPr>
      <w:instrText xml:space="preserve"> PAGE  \* MERGEFORMAT </w:instrText>
    </w:r>
    <w:r w:rsidRPr="00245B05">
      <w:rPr>
        <w:b/>
        <w:sz w:val="18"/>
      </w:rPr>
      <w:fldChar w:fldCharType="separate"/>
    </w:r>
    <w:r w:rsidRPr="00245B05">
      <w:rPr>
        <w:b/>
        <w:noProof/>
        <w:sz w:val="18"/>
      </w:rPr>
      <w:t>2</w:t>
    </w:r>
    <w:r w:rsidRPr="00245B05">
      <w:rPr>
        <w:b/>
        <w:sz w:val="18"/>
      </w:rPr>
      <w:fldChar w:fldCharType="end"/>
    </w:r>
    <w:r>
      <w:rPr>
        <w:b/>
        <w:sz w:val="18"/>
      </w:rPr>
      <w:tab/>
    </w:r>
    <w:r>
      <w:t>GE.20-12190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F8E2" w14:textId="77777777" w:rsidR="00245B05" w:rsidRPr="00245B05" w:rsidRDefault="00245B05" w:rsidP="00245B05">
    <w:pPr>
      <w:pStyle w:val="Footer"/>
      <w:tabs>
        <w:tab w:val="right" w:pos="9638"/>
      </w:tabs>
      <w:rPr>
        <w:b/>
        <w:sz w:val="18"/>
      </w:rPr>
    </w:pPr>
    <w:r>
      <w:t>GE.20-12190</w:t>
    </w:r>
    <w:r>
      <w:tab/>
    </w:r>
    <w:r w:rsidRPr="00245B05">
      <w:rPr>
        <w:b/>
        <w:sz w:val="18"/>
      </w:rPr>
      <w:fldChar w:fldCharType="begin"/>
    </w:r>
    <w:r w:rsidRPr="00245B05">
      <w:rPr>
        <w:b/>
        <w:sz w:val="18"/>
      </w:rPr>
      <w:instrText xml:space="preserve"> PAGE  \* MERGEFORMAT </w:instrText>
    </w:r>
    <w:r w:rsidRPr="00245B05">
      <w:rPr>
        <w:b/>
        <w:sz w:val="18"/>
      </w:rPr>
      <w:fldChar w:fldCharType="separate"/>
    </w:r>
    <w:r w:rsidRPr="00245B05">
      <w:rPr>
        <w:b/>
        <w:noProof/>
        <w:sz w:val="18"/>
      </w:rPr>
      <w:t>3</w:t>
    </w:r>
    <w:r w:rsidRPr="00245B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5E65" w14:textId="77777777" w:rsidR="0068456F" w:rsidRPr="00245B05" w:rsidRDefault="00245B05" w:rsidP="00245B05">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020E5C6E" wp14:editId="7BFC92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20-12190  (F)    201120    201120</w:t>
    </w:r>
    <w:r>
      <w:rPr>
        <w:sz w:val="20"/>
      </w:rPr>
      <w:br/>
    </w:r>
    <w:r w:rsidRPr="00245B05">
      <w:rPr>
        <w:rFonts w:ascii="C39T30Lfz" w:hAnsi="C39T30Lfz"/>
        <w:sz w:val="56"/>
      </w:rPr>
      <w:t>*2012190*</w:t>
    </w:r>
    <w:r>
      <w:rPr>
        <w:noProof/>
        <w:sz w:val="20"/>
      </w:rPr>
      <w:drawing>
        <wp:anchor distT="0" distB="0" distL="114300" distR="114300" simplePos="0" relativeHeight="251660288" behindDoc="0" locked="0" layoutInCell="1" allowOverlap="1" wp14:anchorId="238544A3" wp14:editId="4AA6F66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269D" w14:textId="77777777" w:rsidR="00D56EBE" w:rsidRPr="00AC3823" w:rsidRDefault="00D56EBE" w:rsidP="00AC3823">
      <w:pPr>
        <w:pStyle w:val="Footer"/>
        <w:tabs>
          <w:tab w:val="right" w:pos="2155"/>
        </w:tabs>
        <w:spacing w:after="80" w:line="240" w:lineRule="atLeast"/>
        <w:ind w:left="680"/>
        <w:rPr>
          <w:u w:val="single"/>
        </w:rPr>
      </w:pPr>
      <w:r>
        <w:rPr>
          <w:u w:val="single"/>
        </w:rPr>
        <w:tab/>
      </w:r>
    </w:p>
  </w:footnote>
  <w:footnote w:type="continuationSeparator" w:id="0">
    <w:p w14:paraId="7519FDEC" w14:textId="77777777" w:rsidR="00D56EBE" w:rsidRPr="00AC3823" w:rsidRDefault="00D56EBE" w:rsidP="00AC3823">
      <w:pPr>
        <w:pStyle w:val="Footer"/>
        <w:tabs>
          <w:tab w:val="right" w:pos="2155"/>
        </w:tabs>
        <w:spacing w:after="80" w:line="240" w:lineRule="atLeast"/>
        <w:ind w:left="680"/>
        <w:rPr>
          <w:u w:val="single"/>
        </w:rPr>
      </w:pPr>
      <w:r>
        <w:rPr>
          <w:u w:val="single"/>
        </w:rPr>
        <w:tab/>
      </w:r>
    </w:p>
  </w:footnote>
  <w:footnote w:type="continuationNotice" w:id="1">
    <w:p w14:paraId="0A2C401E" w14:textId="77777777" w:rsidR="00D56EBE" w:rsidRPr="00AC3823" w:rsidRDefault="00D56EBE">
      <w:pPr>
        <w:spacing w:line="240" w:lineRule="auto"/>
        <w:rPr>
          <w:sz w:val="2"/>
          <w:szCs w:val="2"/>
        </w:rPr>
      </w:pPr>
    </w:p>
  </w:footnote>
  <w:footnote w:id="2">
    <w:p w14:paraId="0247E1C8" w14:textId="77777777" w:rsidR="00245B05" w:rsidRPr="00245B05" w:rsidRDefault="00245B05">
      <w:pPr>
        <w:pStyle w:val="FootnoteText"/>
      </w:pPr>
      <w:r>
        <w:rPr>
          <w:rStyle w:val="FootnoteReference"/>
        </w:rPr>
        <w:tab/>
      </w:r>
      <w:r w:rsidRPr="00245B05">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055F" w14:textId="3EC65F72" w:rsidR="00245B05" w:rsidRPr="00245B05" w:rsidRDefault="00245B05">
    <w:pPr>
      <w:pStyle w:val="Header"/>
      <w:rPr>
        <w:lang w:val="en-US"/>
      </w:rPr>
    </w:pPr>
    <w:r>
      <w:fldChar w:fldCharType="begin"/>
    </w:r>
    <w:r w:rsidRPr="00245B05">
      <w:rPr>
        <w:lang w:val="en-US"/>
      </w:rPr>
      <w:instrText xml:space="preserve"> TITLE  \* MERGEFORMAT </w:instrText>
    </w:r>
    <w:r>
      <w:fldChar w:fldCharType="separate"/>
    </w:r>
    <w:r w:rsidR="00B435C8">
      <w:rPr>
        <w:lang w:val="en-US"/>
      </w:rPr>
      <w:t>ST/SG/AC.10/C.3/2020/33/Add.1</w:t>
    </w:r>
    <w:r>
      <w:fldChar w:fldCharType="end"/>
    </w:r>
    <w:r w:rsidRPr="00245B05">
      <w:rPr>
        <w:lang w:val="en-US"/>
      </w:rPr>
      <w:br/>
    </w:r>
    <w:r>
      <w:fldChar w:fldCharType="begin"/>
    </w:r>
    <w:r w:rsidRPr="00245B05">
      <w:rPr>
        <w:lang w:val="en-US"/>
      </w:rPr>
      <w:instrText xml:space="preserve"> KEYWORDS  \* MERGEFORMAT </w:instrText>
    </w:r>
    <w:r>
      <w:fldChar w:fldCharType="separate"/>
    </w:r>
    <w:r w:rsidR="00B435C8">
      <w:rPr>
        <w:lang w:val="en-US"/>
      </w:rPr>
      <w:t>ST/SG/AC.10/C.4/2020/10/Add.1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7041" w14:textId="61708D7C" w:rsidR="00245B05" w:rsidRPr="00245B05" w:rsidRDefault="00245B05" w:rsidP="00245B05">
    <w:pPr>
      <w:pStyle w:val="Header"/>
      <w:jc w:val="right"/>
      <w:rPr>
        <w:lang w:val="en-US"/>
      </w:rPr>
    </w:pPr>
    <w:r>
      <w:fldChar w:fldCharType="begin"/>
    </w:r>
    <w:r w:rsidRPr="00245B05">
      <w:rPr>
        <w:lang w:val="en-US"/>
      </w:rPr>
      <w:instrText xml:space="preserve"> TITLE  \* MERGEFORMAT </w:instrText>
    </w:r>
    <w:r>
      <w:fldChar w:fldCharType="separate"/>
    </w:r>
    <w:r w:rsidR="00B435C8">
      <w:rPr>
        <w:lang w:val="en-US"/>
      </w:rPr>
      <w:t>ST/SG/AC.10/C.3/2020/33/Add.1</w:t>
    </w:r>
    <w:r>
      <w:fldChar w:fldCharType="end"/>
    </w:r>
    <w:r w:rsidRPr="00245B05">
      <w:rPr>
        <w:lang w:val="en-US"/>
      </w:rPr>
      <w:br/>
    </w:r>
    <w:r>
      <w:fldChar w:fldCharType="begin"/>
    </w:r>
    <w:r w:rsidRPr="00245B05">
      <w:rPr>
        <w:lang w:val="en-US"/>
      </w:rPr>
      <w:instrText xml:space="preserve"> KEYWORDS  \* MERGEFORMAT </w:instrText>
    </w:r>
    <w:r>
      <w:fldChar w:fldCharType="separate"/>
    </w:r>
    <w:r w:rsidR="00B435C8">
      <w:rPr>
        <w:lang w:val="en-US"/>
      </w:rPr>
      <w:t>ST/SG/AC.10/C.4/2020/10/Add.1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E"/>
    <w:rsid w:val="00017F94"/>
    <w:rsid w:val="00023842"/>
    <w:rsid w:val="000305D3"/>
    <w:rsid w:val="000334F9"/>
    <w:rsid w:val="0007796D"/>
    <w:rsid w:val="000B7790"/>
    <w:rsid w:val="00111F2F"/>
    <w:rsid w:val="00132EA9"/>
    <w:rsid w:val="0014365E"/>
    <w:rsid w:val="00176178"/>
    <w:rsid w:val="001F525A"/>
    <w:rsid w:val="00223272"/>
    <w:rsid w:val="00245B05"/>
    <w:rsid w:val="0024779E"/>
    <w:rsid w:val="00255CD0"/>
    <w:rsid w:val="00283190"/>
    <w:rsid w:val="002832AC"/>
    <w:rsid w:val="002D7C93"/>
    <w:rsid w:val="00441C3B"/>
    <w:rsid w:val="00446FE5"/>
    <w:rsid w:val="00452396"/>
    <w:rsid w:val="004E468C"/>
    <w:rsid w:val="005505B7"/>
    <w:rsid w:val="00573BE5"/>
    <w:rsid w:val="00584DC4"/>
    <w:rsid w:val="00586ED3"/>
    <w:rsid w:val="00596AA9"/>
    <w:rsid w:val="0068456F"/>
    <w:rsid w:val="006D07D7"/>
    <w:rsid w:val="0071601D"/>
    <w:rsid w:val="007A62E6"/>
    <w:rsid w:val="0080684C"/>
    <w:rsid w:val="008227CD"/>
    <w:rsid w:val="00871C75"/>
    <w:rsid w:val="008776DC"/>
    <w:rsid w:val="008B40CD"/>
    <w:rsid w:val="009705C8"/>
    <w:rsid w:val="009C1CF4"/>
    <w:rsid w:val="009E1927"/>
    <w:rsid w:val="00A30353"/>
    <w:rsid w:val="00AC3823"/>
    <w:rsid w:val="00AE323C"/>
    <w:rsid w:val="00B00181"/>
    <w:rsid w:val="00B00B0D"/>
    <w:rsid w:val="00B435C8"/>
    <w:rsid w:val="00B765F7"/>
    <w:rsid w:val="00BA0CA9"/>
    <w:rsid w:val="00C02897"/>
    <w:rsid w:val="00D3439C"/>
    <w:rsid w:val="00D56EBE"/>
    <w:rsid w:val="00DB1831"/>
    <w:rsid w:val="00DD3BFD"/>
    <w:rsid w:val="00DF6678"/>
    <w:rsid w:val="00E31E9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5D540"/>
  <w15:docId w15:val="{8D2405FE-BDC9-4757-8B09-49182866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ACC8D-C16C-4A0C-B2B8-ABC13A13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147B4-EBBA-4675-98C9-BDDA6D6EE26E}">
  <ds:schemaRefs>
    <ds:schemaRef ds:uri="http://schemas.microsoft.com/sharepoint/v3/contenttype/forms"/>
  </ds:schemaRefs>
</ds:datastoreItem>
</file>

<file path=customXml/itemProps3.xml><?xml version="1.0" encoding="utf-8"?>
<ds:datastoreItem xmlns:ds="http://schemas.openxmlformats.org/officeDocument/2006/customXml" ds:itemID="{FE242FF9-0985-4073-8B49-7E28A8C77F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ST/SG/AC.10/C.3/2020/33/Add.1</vt:lpstr>
    </vt:vector>
  </TitlesOfParts>
  <Company>DCM</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ST/SG/AC.10/C.3/2020/33/Add.1</dc:title>
  <dc:creator>Valerie BERTIN</dc:creator>
  <cp:keywords>ST/SG/AC.10/C.4/2020/10/Add.1</cp:keywords>
  <cp:lastModifiedBy>Laurence Berthet</cp:lastModifiedBy>
  <cp:revision>2</cp:revision>
  <cp:lastPrinted>2020-11-20T15:45:00Z</cp:lastPrinted>
  <dcterms:created xsi:type="dcterms:W3CDTF">2020-11-20T15:46:00Z</dcterms:created>
  <dcterms:modified xsi:type="dcterms:W3CDTF">2020-11-20T15:46:00Z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