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DEB3E42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A564C" w14:textId="77777777" w:rsidR="00E52109" w:rsidRPr="002A32CB" w:rsidRDefault="00E52109" w:rsidP="004858F5"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D7AB4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8FDBE" w14:textId="77777777" w:rsidR="00E52109" w:rsidRDefault="00597376" w:rsidP="00597376">
            <w:pPr>
              <w:suppressAutoHyphens w:val="0"/>
              <w:jc w:val="right"/>
            </w:pPr>
            <w:r w:rsidRPr="00597376">
              <w:rPr>
                <w:sz w:val="40"/>
              </w:rPr>
              <w:t>ST</w:t>
            </w:r>
            <w:r>
              <w:t>/SG/AC.10/C.3/2020/26</w:t>
            </w:r>
          </w:p>
        </w:tc>
      </w:tr>
      <w:tr w:rsidR="00E52109" w14:paraId="0BF76CE4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4C05AD2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0537938" wp14:editId="6D5E131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268F30C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F40D526" w14:textId="77777777" w:rsidR="00D94B05" w:rsidRDefault="00597376" w:rsidP="00597376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653DD8B6" w14:textId="77777777" w:rsidR="00597376" w:rsidRDefault="00A8357C" w:rsidP="00597376">
            <w:pPr>
              <w:suppressAutoHyphens w:val="0"/>
              <w:spacing w:line="240" w:lineRule="exact"/>
            </w:pPr>
            <w:r>
              <w:t xml:space="preserve">8 </w:t>
            </w:r>
            <w:r w:rsidR="00597376">
              <w:t>April 2020</w:t>
            </w:r>
          </w:p>
          <w:p w14:paraId="10AFAA04" w14:textId="77777777" w:rsidR="00597376" w:rsidRDefault="00597376" w:rsidP="00597376">
            <w:pPr>
              <w:suppressAutoHyphens w:val="0"/>
              <w:spacing w:line="240" w:lineRule="exact"/>
            </w:pPr>
          </w:p>
          <w:p w14:paraId="3E1A2482" w14:textId="77777777" w:rsidR="00597376" w:rsidRDefault="00597376" w:rsidP="00597376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E191C41" w14:textId="77777777" w:rsidR="003F675F" w:rsidRPr="006500BA" w:rsidRDefault="003F675F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45DB0A6" w14:textId="77777777" w:rsidR="003F675F" w:rsidRPr="006500BA" w:rsidRDefault="003F675F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694E8B45" w14:textId="77777777" w:rsidR="003F675F" w:rsidRPr="006500BA" w:rsidRDefault="003F675F" w:rsidP="003F675F">
      <w:pPr>
        <w:spacing w:before="120"/>
        <w:rPr>
          <w:b/>
        </w:rPr>
      </w:pPr>
      <w:r>
        <w:rPr>
          <w:b/>
        </w:rPr>
        <w:t xml:space="preserve">Fifty-seventh </w:t>
      </w:r>
      <w:r w:rsidRPr="006500BA">
        <w:rPr>
          <w:b/>
        </w:rPr>
        <w:t>session</w:t>
      </w:r>
    </w:p>
    <w:p w14:paraId="0541D466" w14:textId="77777777" w:rsidR="003F675F" w:rsidRPr="001B6E7B" w:rsidRDefault="003F675F" w:rsidP="003F675F">
      <w:r w:rsidRPr="006500BA">
        <w:t>Geneva,</w:t>
      </w:r>
      <w:r>
        <w:t xml:space="preserve"> 29 June-8 July 2020</w:t>
      </w:r>
      <w:r>
        <w:br/>
      </w:r>
      <w:r w:rsidRPr="001B6E7B">
        <w:t xml:space="preserve">Item 6 </w:t>
      </w:r>
      <w:r w:rsidR="004A08B9" w:rsidRPr="001B6E7B">
        <w:t xml:space="preserve">(e) </w:t>
      </w:r>
      <w:r w:rsidRPr="001B6E7B">
        <w:t>of the provisional agenda</w:t>
      </w:r>
    </w:p>
    <w:p w14:paraId="497E09F9" w14:textId="77777777" w:rsidR="00AF5DE1" w:rsidRPr="003F675F" w:rsidRDefault="003F675F" w:rsidP="004858F5">
      <w:pPr>
        <w:rPr>
          <w:b/>
          <w:bCs/>
        </w:rPr>
      </w:pPr>
      <w:r w:rsidRPr="001B6E7B">
        <w:rPr>
          <w:b/>
          <w:bCs/>
        </w:rPr>
        <w:t xml:space="preserve">Miscellaneous proposals for amendments to the Model Regulations </w:t>
      </w:r>
      <w:r w:rsidRPr="001B6E7B">
        <w:rPr>
          <w:b/>
          <w:bCs/>
        </w:rPr>
        <w:br/>
        <w:t xml:space="preserve">on the Transport of Dangerous Goods: </w:t>
      </w:r>
      <w:r w:rsidR="004A08B9" w:rsidRPr="00650566">
        <w:rPr>
          <w:b/>
          <w:bCs/>
        </w:rPr>
        <w:t>Other miscellaneous proposals</w:t>
      </w:r>
    </w:p>
    <w:p w14:paraId="035162C9" w14:textId="77777777" w:rsidR="003F675F" w:rsidRPr="00BB235C" w:rsidRDefault="003F675F" w:rsidP="003F675F">
      <w:pPr>
        <w:pStyle w:val="HChG"/>
      </w:pPr>
      <w:r>
        <w:tab/>
      </w:r>
      <w:r>
        <w:tab/>
      </w:r>
      <w:r w:rsidRPr="002D079F">
        <w:t>Miscellaneous proposals for amendments to the Model Regulations on the Transport of Dangerous Goods</w:t>
      </w:r>
    </w:p>
    <w:p w14:paraId="64477DE0" w14:textId="77777777" w:rsidR="003F675F" w:rsidRPr="00704A02" w:rsidRDefault="003F675F" w:rsidP="003F675F">
      <w:pPr>
        <w:pStyle w:val="H1G"/>
        <w:rPr>
          <w:lang w:eastAsia="en-GB" w:bidi="en-GB"/>
        </w:rPr>
      </w:pPr>
      <w:r>
        <w:rPr>
          <w:lang w:eastAsia="en-GB" w:bidi="en-GB"/>
        </w:rPr>
        <w:tab/>
      </w:r>
      <w:r>
        <w:rPr>
          <w:lang w:eastAsia="en-GB" w:bidi="en-GB"/>
        </w:rPr>
        <w:tab/>
      </w:r>
      <w:r w:rsidRPr="00A15AF5">
        <w:rPr>
          <w:lang w:eastAsia="en-GB" w:bidi="en-GB"/>
        </w:rPr>
        <w:t xml:space="preserve">Submitted by the </w:t>
      </w:r>
      <w:r w:rsidRPr="00704A02">
        <w:rPr>
          <w:lang w:eastAsia="en-GB" w:bidi="en-GB"/>
        </w:rPr>
        <w:t>International Civil Aviation Organization (ICAO)</w:t>
      </w:r>
      <w:r>
        <w:rPr>
          <w:rStyle w:val="FootnoteReference"/>
          <w:lang w:eastAsia="en-GB" w:bidi="en-GB"/>
        </w:rPr>
        <w:footnoteReference w:id="2"/>
      </w:r>
    </w:p>
    <w:p w14:paraId="25B4F7CF" w14:textId="77777777" w:rsidR="003F675F" w:rsidRPr="00A27407" w:rsidRDefault="003F675F" w:rsidP="003F675F">
      <w:pPr>
        <w:pStyle w:val="HChG"/>
        <w:rPr>
          <w:rFonts w:eastAsia="MS Mincho"/>
          <w:lang w:val="en-US"/>
        </w:rPr>
      </w:pPr>
      <w:r>
        <w:rPr>
          <w:rFonts w:eastAsia="MS Mincho"/>
          <w:lang w:val="en-US"/>
        </w:rPr>
        <w:tab/>
      </w:r>
      <w:r w:rsidRPr="00A27407">
        <w:rPr>
          <w:rFonts w:eastAsia="MS Mincho"/>
          <w:lang w:val="x-none"/>
        </w:rPr>
        <w:tab/>
      </w:r>
      <w:r>
        <w:t>Introduction</w:t>
      </w:r>
    </w:p>
    <w:p w14:paraId="2A938D3A" w14:textId="77777777" w:rsidR="003F675F" w:rsidRDefault="003F675F" w:rsidP="003F675F">
      <w:pPr>
        <w:pStyle w:val="SingleTxtG"/>
        <w:rPr>
          <w:lang w:val="en-US"/>
        </w:rPr>
      </w:pPr>
      <w:r>
        <w:t>1.</w:t>
      </w:r>
      <w:r>
        <w:tab/>
        <w:t xml:space="preserve">At its fifty-sixth session, the Sub-Committee supported in principle amendments to special provision 388 and 6.1.3.13 as contained in </w:t>
      </w:r>
      <w:r w:rsidRPr="003F7024">
        <w:rPr>
          <w:lang w:val="en-US"/>
        </w:rPr>
        <w:t>ST/SG/AC.10/C.3/2019/58</w:t>
      </w:r>
      <w:r>
        <w:rPr>
          <w:lang w:val="en-US"/>
        </w:rPr>
        <w:t xml:space="preserve">; these amendments were based on decisions taken by the </w:t>
      </w:r>
      <w:r w:rsidRPr="003F7024">
        <w:rPr>
          <w:lang w:val="en-US"/>
        </w:rPr>
        <w:t>ICAO</w:t>
      </w:r>
      <w:r>
        <w:t xml:space="preserve"> Dangerous Goods Panel Working Group Meeting in April 2019 when reviewing amendments proposed to the </w:t>
      </w:r>
      <w:r w:rsidRPr="00414CC4">
        <w:rPr>
          <w:i/>
          <w:iCs/>
        </w:rPr>
        <w:t>Technical Instructions for the Safe Transport of Dangerous Goods by Air</w:t>
      </w:r>
      <w:r w:rsidRPr="00414CC4">
        <w:t xml:space="preserve"> </w:t>
      </w:r>
      <w:r>
        <w:t xml:space="preserve">(Doc 9284) to harmonize with the 21st revised edition of the UN Model Regulations. </w:t>
      </w:r>
      <w:r>
        <w:rPr>
          <w:lang w:val="en-US"/>
        </w:rPr>
        <w:t>The relevant amendments are contained in the proposals below.</w:t>
      </w:r>
    </w:p>
    <w:p w14:paraId="799DB96B" w14:textId="77777777" w:rsidR="003F675F" w:rsidRDefault="003F675F" w:rsidP="003F675F">
      <w:pPr>
        <w:pStyle w:val="HChG"/>
        <w:spacing w:before="120" w:after="120"/>
      </w:pPr>
      <w:r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ab/>
      </w:r>
      <w:r w:rsidRPr="004A1DAD">
        <w:t>Proposal</w:t>
      </w:r>
    </w:p>
    <w:p w14:paraId="32DF256C" w14:textId="77777777" w:rsidR="003F675F" w:rsidRDefault="003F675F" w:rsidP="003F675F">
      <w:pPr>
        <w:pStyle w:val="SingleTxtG"/>
      </w:pPr>
      <w:r>
        <w:t>2.</w:t>
      </w:r>
      <w:r>
        <w:tab/>
      </w:r>
      <w:r w:rsidRPr="007A6193">
        <w:rPr>
          <w:i/>
          <w:iCs/>
        </w:rPr>
        <w:t>Amend</w:t>
      </w:r>
      <w:r>
        <w:t xml:space="preserve"> special provision 388 (last sentence of the seventh paragraph) to read:</w:t>
      </w:r>
    </w:p>
    <w:p w14:paraId="35AB7B46" w14:textId="77777777" w:rsidR="003F675F" w:rsidRDefault="004A08B9" w:rsidP="003F675F">
      <w:pPr>
        <w:pStyle w:val="SingleTxtG"/>
        <w:ind w:left="1701"/>
        <w:rPr>
          <w:rFonts w:asciiTheme="majorBidi" w:hAnsiTheme="majorBidi" w:cstheme="majorBidi"/>
          <w:szCs w:val="22"/>
        </w:rPr>
      </w:pPr>
      <w:r>
        <w:t>“</w:t>
      </w:r>
      <w:r w:rsidR="003F675F">
        <w:t xml:space="preserve">Lithium ion batteries or lithium metal batteries installed in a cargo transport unit and designed only to provide power external to the cargo transport unit shall be assigned to the entry UN 3536 </w:t>
      </w:r>
      <w:r w:rsidR="003F675F" w:rsidRPr="000F5DEE">
        <w:rPr>
          <w:rFonts w:asciiTheme="majorBidi" w:hAnsiTheme="majorBidi" w:cstheme="majorBidi"/>
          <w:szCs w:val="22"/>
        </w:rPr>
        <w:t>LITHIUM BATTERIES INSTALLED IN CARGO TRANSPORT UNIT</w:t>
      </w:r>
      <w:r w:rsidR="003F675F" w:rsidRPr="006E27BE">
        <w:rPr>
          <w:rFonts w:asciiTheme="majorBidi" w:hAnsiTheme="majorBidi" w:cstheme="majorBidi"/>
          <w:szCs w:val="22"/>
        </w:rPr>
        <w:t xml:space="preserve"> </w:t>
      </w:r>
      <w:r w:rsidR="003F675F" w:rsidRPr="007A6193">
        <w:rPr>
          <w:rFonts w:asciiTheme="majorBidi" w:hAnsiTheme="majorBidi" w:cstheme="majorBidi"/>
          <w:strike/>
          <w:szCs w:val="22"/>
        </w:rPr>
        <w:t>lithium ion batteries or lithium metal batteries</w:t>
      </w:r>
      <w:r w:rsidR="003F675F">
        <w:rPr>
          <w:rFonts w:asciiTheme="majorBidi" w:hAnsiTheme="majorBidi" w:cstheme="majorBidi"/>
          <w:szCs w:val="22"/>
        </w:rPr>
        <w:t>.</w:t>
      </w:r>
      <w:r>
        <w:rPr>
          <w:rFonts w:asciiTheme="majorBidi" w:hAnsiTheme="majorBidi" w:cstheme="majorBidi"/>
          <w:szCs w:val="22"/>
        </w:rPr>
        <w:t>”</w:t>
      </w:r>
    </w:p>
    <w:p w14:paraId="0EA4FA82" w14:textId="77777777" w:rsidR="003F675F" w:rsidRPr="004A1DAD" w:rsidRDefault="003F675F" w:rsidP="003F675F">
      <w:pPr>
        <w:pStyle w:val="H1G"/>
        <w:rPr>
          <w:b w:val="0"/>
          <w:bCs/>
          <w:sz w:val="20"/>
        </w:rPr>
      </w:pPr>
      <w:r>
        <w:rPr>
          <w:rFonts w:eastAsia="MS Mincho"/>
          <w:lang w:val="en-US"/>
        </w:rPr>
        <w:tab/>
      </w:r>
      <w:r>
        <w:rPr>
          <w:rFonts w:eastAsia="MS Mincho"/>
          <w:lang w:val="en-US"/>
        </w:rPr>
        <w:tab/>
      </w:r>
      <w:r w:rsidRPr="001B6E7B">
        <w:rPr>
          <w:rFonts w:eastAsia="MS Mincho"/>
          <w:b w:val="0"/>
          <w:bCs/>
          <w:sz w:val="20"/>
          <w:lang w:val="en-US"/>
        </w:rPr>
        <w:t>3</w:t>
      </w:r>
      <w:r w:rsidRPr="004A1DAD">
        <w:rPr>
          <w:rFonts w:eastAsia="MS Mincho"/>
          <w:b w:val="0"/>
          <w:bCs/>
          <w:sz w:val="20"/>
          <w:lang w:val="en-US"/>
        </w:rPr>
        <w:t>.</w:t>
      </w:r>
      <w:r w:rsidR="009657F1">
        <w:rPr>
          <w:rFonts w:eastAsia="MS Mincho"/>
          <w:b w:val="0"/>
          <w:bCs/>
          <w:sz w:val="20"/>
          <w:lang w:val="en-US"/>
        </w:rPr>
        <w:tab/>
      </w:r>
      <w:r w:rsidRPr="007A6193">
        <w:rPr>
          <w:rFonts w:eastAsia="MS Mincho"/>
          <w:b w:val="0"/>
          <w:bCs/>
          <w:i/>
          <w:iCs/>
          <w:sz w:val="20"/>
          <w:lang w:val="en-US"/>
        </w:rPr>
        <w:t>Amend</w:t>
      </w:r>
      <w:r w:rsidRPr="004A1DAD">
        <w:rPr>
          <w:rFonts w:eastAsia="MS Mincho"/>
          <w:b w:val="0"/>
          <w:bCs/>
          <w:sz w:val="20"/>
          <w:lang w:val="en-US"/>
        </w:rPr>
        <w:t xml:space="preserve"> paragraph 6.1.3.13 </w:t>
      </w:r>
      <w:r w:rsidR="00A8357C">
        <w:rPr>
          <w:rFonts w:eastAsia="MS Mincho"/>
          <w:b w:val="0"/>
          <w:bCs/>
          <w:sz w:val="20"/>
          <w:lang w:val="en-US"/>
        </w:rPr>
        <w:t>to read</w:t>
      </w:r>
      <w:r w:rsidRPr="004A1DAD">
        <w:rPr>
          <w:rFonts w:eastAsia="MS Mincho"/>
          <w:b w:val="0"/>
          <w:bCs/>
          <w:sz w:val="20"/>
          <w:lang w:val="en-US"/>
        </w:rPr>
        <w:t>:</w:t>
      </w:r>
      <w:r w:rsidRPr="004A1DAD">
        <w:rPr>
          <w:b w:val="0"/>
          <w:bCs/>
          <w:sz w:val="20"/>
        </w:rPr>
        <w:t xml:space="preserve"> </w:t>
      </w:r>
    </w:p>
    <w:p w14:paraId="6A2B0B0A" w14:textId="77777777" w:rsidR="003F675F" w:rsidRPr="00597376" w:rsidRDefault="003F675F" w:rsidP="009657F1">
      <w:pPr>
        <w:pStyle w:val="SingleTxtG"/>
        <w:ind w:left="170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72115" wp14:editId="20FCE47E">
                <wp:simplePos x="0" y="0"/>
                <wp:positionH relativeFrom="column">
                  <wp:posOffset>2873679</wp:posOffset>
                </wp:positionH>
                <wp:positionV relativeFrom="page">
                  <wp:posOffset>9548799</wp:posOffset>
                </wp:positionV>
                <wp:extent cx="1351280" cy="252730"/>
                <wp:effectExtent l="0" t="0" r="2032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C8CAB" w14:textId="77777777" w:rsidR="003F675F" w:rsidRDefault="003F675F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72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25pt;margin-top:751.85pt;width:106.4pt;height:1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" strokecolor="white [3212]">
                <v:textbox style="mso-fit-shape-to-text:t">
                  <w:txbxContent>
                    <w:p w14:paraId="79FC8CAB" w14:textId="77777777" w:rsidR="003F675F" w:rsidRDefault="003F675F">
                      <w:r>
                        <w:t>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A08B9">
        <w:rPr>
          <w:noProof/>
        </w:rPr>
        <w:t>“</w:t>
      </w:r>
      <w:r w:rsidRPr="004A1DAD">
        <w:rPr>
          <w:noProof/>
        </w:rPr>
        <w:t>6.1.3.13</w:t>
      </w:r>
      <w:r w:rsidRPr="004A1DAD">
        <w:rPr>
          <w:noProof/>
        </w:rPr>
        <w:tab/>
        <w:t>Where a packaging conforms to</w:t>
      </w:r>
      <w:r w:rsidRPr="004A1DAD">
        <w:rPr>
          <w:iCs/>
        </w:rPr>
        <w:t xml:space="preserve"> </w:t>
      </w:r>
      <w:r w:rsidRPr="004A1DAD">
        <w:rPr>
          <w:iCs/>
          <w:strike/>
        </w:rPr>
        <w:t>one or</w:t>
      </w:r>
      <w:r w:rsidRPr="004A1DAD">
        <w:rPr>
          <w:iCs/>
        </w:rPr>
        <w:t xml:space="preserve"> </w:t>
      </w:r>
      <w:r w:rsidRPr="004A1DAD">
        <w:rPr>
          <w:noProof/>
        </w:rPr>
        <w:t>more than one tested</w:t>
      </w:r>
      <w:r w:rsidRPr="004A1DAD">
        <w:rPr>
          <w:iCs/>
        </w:rPr>
        <w:t xml:space="preserve"> packaging design type</w:t>
      </w:r>
      <w:r w:rsidRPr="004A1DAD">
        <w:rPr>
          <w:noProof/>
        </w:rPr>
        <w:t xml:space="preserve">, including </w:t>
      </w:r>
      <w:r w:rsidRPr="004A1DAD">
        <w:rPr>
          <w:strike/>
          <w:noProof/>
        </w:rPr>
        <w:t>one or</w:t>
      </w:r>
      <w:r w:rsidRPr="004A1DAD">
        <w:rPr>
          <w:noProof/>
        </w:rPr>
        <w:t xml:space="preserve"> more than one tested IBC or large packaging design type, the packaging may bear more than one mark to indicate the relevant performance test requirements that have been met.</w:t>
      </w:r>
      <w:r w:rsidRPr="004A1DAD">
        <w:rPr>
          <w:iCs/>
        </w:rPr>
        <w:t xml:space="preserve"> </w:t>
      </w:r>
      <w:r w:rsidRPr="004A1DAD">
        <w:rPr>
          <w:iCs/>
          <w:strike/>
        </w:rPr>
        <w:t>Where more than one mark appears on a packaging, t</w:t>
      </w:r>
      <w:r w:rsidRPr="004A1DAD">
        <w:rPr>
          <w:strike/>
          <w:noProof/>
        </w:rPr>
        <w:t>he</w:t>
      </w:r>
      <w:r w:rsidRPr="004A1DAD">
        <w:rPr>
          <w:noProof/>
        </w:rPr>
        <w:t xml:space="preserve"> </w:t>
      </w:r>
      <w:r w:rsidRPr="004A1DAD">
        <w:rPr>
          <w:noProof/>
          <w:u w:val="single"/>
        </w:rPr>
        <w:t>The</w:t>
      </w:r>
      <w:r w:rsidRPr="004A1DAD">
        <w:rPr>
          <w:noProof/>
        </w:rPr>
        <w:t xml:space="preserve"> marks must appear in close proximity to one another and each mark must appear in its</w:t>
      </w:r>
      <w:r w:rsidR="009657F1">
        <w:rPr>
          <w:noProof/>
        </w:rPr>
        <w:t xml:space="preserve"> </w:t>
      </w:r>
      <w:r w:rsidRPr="004A1DAD">
        <w:rPr>
          <w:noProof/>
        </w:rPr>
        <w:t>entirety.”</w:t>
      </w:r>
    </w:p>
    <w:sectPr w:rsidR="003F675F" w:rsidRPr="00597376" w:rsidSect="0059737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C3DB" w14:textId="77777777" w:rsidR="00597376" w:rsidRPr="00C47B2E" w:rsidRDefault="00597376" w:rsidP="00C47B2E">
      <w:pPr>
        <w:pStyle w:val="Footer"/>
      </w:pPr>
    </w:p>
  </w:endnote>
  <w:endnote w:type="continuationSeparator" w:id="0">
    <w:p w14:paraId="17F54324" w14:textId="77777777" w:rsidR="00597376" w:rsidRPr="00C47B2E" w:rsidRDefault="00597376" w:rsidP="00C47B2E">
      <w:pPr>
        <w:pStyle w:val="Footer"/>
      </w:pPr>
    </w:p>
  </w:endnote>
  <w:endnote w:type="continuationNotice" w:id="1">
    <w:p w14:paraId="0180D2EA" w14:textId="77777777" w:rsidR="00597376" w:rsidRPr="00C47B2E" w:rsidRDefault="00597376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7A01" w14:textId="77777777" w:rsidR="00D94B05" w:rsidRPr="00597376" w:rsidRDefault="00597376" w:rsidP="00597376">
    <w:pPr>
      <w:pStyle w:val="Footer"/>
      <w:tabs>
        <w:tab w:val="right" w:pos="9598"/>
        <w:tab w:val="right" w:pos="9638"/>
      </w:tabs>
      <w:rPr>
        <w:sz w:val="18"/>
      </w:rPr>
    </w:pPr>
    <w:r w:rsidRPr="00597376">
      <w:rPr>
        <w:b/>
        <w:sz w:val="18"/>
      </w:rPr>
      <w:fldChar w:fldCharType="begin"/>
    </w:r>
    <w:r w:rsidRPr="00597376">
      <w:rPr>
        <w:b/>
        <w:sz w:val="18"/>
      </w:rPr>
      <w:instrText xml:space="preserve"> PAGE  \* MERGEFORMAT </w:instrText>
    </w:r>
    <w:r w:rsidRPr="00597376">
      <w:rPr>
        <w:b/>
        <w:sz w:val="18"/>
      </w:rPr>
      <w:fldChar w:fldCharType="separate"/>
    </w:r>
    <w:r w:rsidRPr="00597376">
      <w:rPr>
        <w:b/>
        <w:noProof/>
        <w:sz w:val="18"/>
      </w:rPr>
      <w:t>2</w:t>
    </w:r>
    <w:r w:rsidRPr="0059737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A6E0" w14:textId="77777777" w:rsidR="00D94B05" w:rsidRPr="00597376" w:rsidRDefault="00597376" w:rsidP="00597376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597376">
      <w:rPr>
        <w:sz w:val="18"/>
      </w:rPr>
      <w:fldChar w:fldCharType="begin"/>
    </w:r>
    <w:r w:rsidRPr="00597376">
      <w:rPr>
        <w:sz w:val="18"/>
      </w:rPr>
      <w:instrText xml:space="preserve"> PAGE  \* MERGEFORMAT </w:instrText>
    </w:r>
    <w:r w:rsidRPr="00597376">
      <w:rPr>
        <w:sz w:val="18"/>
      </w:rPr>
      <w:fldChar w:fldCharType="separate"/>
    </w:r>
    <w:r w:rsidRPr="00597376">
      <w:rPr>
        <w:noProof/>
        <w:sz w:val="18"/>
      </w:rPr>
      <w:t>3</w:t>
    </w:r>
    <w:r w:rsidRPr="00597376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384B" w14:textId="77777777" w:rsidR="00D94B05" w:rsidRPr="00597376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22F1352B" wp14:editId="1A9175D6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682A7" w14:textId="77777777" w:rsidR="00597376" w:rsidRPr="00C47B2E" w:rsidRDefault="00597376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7DFA90F" w14:textId="77777777" w:rsidR="00597376" w:rsidRPr="00C47B2E" w:rsidRDefault="00597376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42B62E0A" w14:textId="77777777" w:rsidR="00597376" w:rsidRPr="00C47B2E" w:rsidRDefault="00597376" w:rsidP="00C47B2E">
      <w:pPr>
        <w:pStyle w:val="Footer"/>
      </w:pPr>
    </w:p>
  </w:footnote>
  <w:footnote w:id="2">
    <w:p w14:paraId="59624398" w14:textId="77777777" w:rsidR="003F675F" w:rsidRPr="003F675F" w:rsidRDefault="003F675F" w:rsidP="003F675F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93B59">
        <w:rPr>
          <w:lang w:val="en-US"/>
        </w:rPr>
        <w:t xml:space="preserve">2020 (A/74/6 (Sect.20) and Supplementary, </w:t>
      </w:r>
      <w:proofErr w:type="spellStart"/>
      <w:r w:rsidRPr="00493B59">
        <w:rPr>
          <w:lang w:val="en-US"/>
        </w:rPr>
        <w:t>Subprogramme</w:t>
      </w:r>
      <w:proofErr w:type="spellEnd"/>
      <w:r w:rsidRPr="00493B59">
        <w:rPr>
          <w:lang w:val="en-US"/>
        </w:rPr>
        <w:t xml:space="preserve"> 2</w:t>
      </w:r>
      <w:r w:rsidR="00A8357C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C11F" w14:textId="3F4AC63D" w:rsidR="00597376" w:rsidRPr="00597376" w:rsidRDefault="00EC4FB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ST/SG/AC.10/C.3/2020/26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F8957" w14:textId="53FDE08D" w:rsidR="00D94B05" w:rsidRPr="00597376" w:rsidRDefault="00EC4FB4" w:rsidP="0059737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ST/SG/AC.10/C.3/2020/26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trackRevisions/>
  <w:defaultTabStop w:val="567"/>
  <w:hyphenationZone w:val="425"/>
  <w:evenAndOddHeaders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76"/>
    <w:rsid w:val="00046E92"/>
    <w:rsid w:val="00063C90"/>
    <w:rsid w:val="00101B98"/>
    <w:rsid w:val="001514D1"/>
    <w:rsid w:val="001B6E7B"/>
    <w:rsid w:val="00247E2C"/>
    <w:rsid w:val="002A32CB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3F675F"/>
    <w:rsid w:val="00413386"/>
    <w:rsid w:val="00461253"/>
    <w:rsid w:val="004858F5"/>
    <w:rsid w:val="004A08B9"/>
    <w:rsid w:val="004A2814"/>
    <w:rsid w:val="004C0622"/>
    <w:rsid w:val="005042C2"/>
    <w:rsid w:val="00597376"/>
    <w:rsid w:val="005E716E"/>
    <w:rsid w:val="006476E1"/>
    <w:rsid w:val="00650566"/>
    <w:rsid w:val="006604DF"/>
    <w:rsid w:val="00671529"/>
    <w:rsid w:val="0070489D"/>
    <w:rsid w:val="007268F9"/>
    <w:rsid w:val="00750282"/>
    <w:rsid w:val="00764440"/>
    <w:rsid w:val="0077101B"/>
    <w:rsid w:val="007C52B0"/>
    <w:rsid w:val="007C6033"/>
    <w:rsid w:val="008147C8"/>
    <w:rsid w:val="0081753A"/>
    <w:rsid w:val="00857D23"/>
    <w:rsid w:val="009411B4"/>
    <w:rsid w:val="00946F1D"/>
    <w:rsid w:val="009657F1"/>
    <w:rsid w:val="009D0139"/>
    <w:rsid w:val="009D717D"/>
    <w:rsid w:val="009F5CDC"/>
    <w:rsid w:val="00A072D7"/>
    <w:rsid w:val="00A775CF"/>
    <w:rsid w:val="00A8357C"/>
    <w:rsid w:val="00AD1A9C"/>
    <w:rsid w:val="00AF5DE1"/>
    <w:rsid w:val="00B06045"/>
    <w:rsid w:val="00B206DD"/>
    <w:rsid w:val="00B52EF4"/>
    <w:rsid w:val="00B777AD"/>
    <w:rsid w:val="00C03015"/>
    <w:rsid w:val="00C0358D"/>
    <w:rsid w:val="00C35A27"/>
    <w:rsid w:val="00C47B2E"/>
    <w:rsid w:val="00D63CD2"/>
    <w:rsid w:val="00D87DC2"/>
    <w:rsid w:val="00D94B05"/>
    <w:rsid w:val="00E02C2B"/>
    <w:rsid w:val="00E11B28"/>
    <w:rsid w:val="00E21C27"/>
    <w:rsid w:val="00E26BCF"/>
    <w:rsid w:val="00E52109"/>
    <w:rsid w:val="00E75317"/>
    <w:rsid w:val="00EC0CE6"/>
    <w:rsid w:val="00EC4FB4"/>
    <w:rsid w:val="00EC7C1D"/>
    <w:rsid w:val="00ED6C48"/>
    <w:rsid w:val="00EE3045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A4B983"/>
  <w15:docId w15:val="{BC064A06-B3AD-4478-8742-BBE3F6EC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3F675F"/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3F675F"/>
  </w:style>
  <w:style w:type="character" w:customStyle="1" w:styleId="H1GChar">
    <w:name w:val="_ H_1_G Char"/>
    <w:link w:val="H1G"/>
    <w:rsid w:val="003F675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2523-BDE7-47F9-9DD7-71BD0A9F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ST/SG/AC.10/C.3/2020/26</vt:lpstr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ST/SG/AC.10/C.3/2020/26</dc:title>
  <dc:subject/>
  <dc:creator>Editorial</dc:creator>
  <cp:lastModifiedBy>Laurence Berthet</cp:lastModifiedBy>
  <cp:revision>9</cp:revision>
  <cp:lastPrinted>2020-04-08T05:45:00Z</cp:lastPrinted>
  <dcterms:created xsi:type="dcterms:W3CDTF">2020-04-03T07:17:00Z</dcterms:created>
  <dcterms:modified xsi:type="dcterms:W3CDTF">2020-04-08T05:45:00Z</dcterms:modified>
</cp:coreProperties>
</file>