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657A24" w14:paraId="5DFD0425" w14:textId="77777777" w:rsidTr="00F01738">
        <w:trPr>
          <w:trHeight w:hRule="exact" w:val="851"/>
        </w:trPr>
        <w:tc>
          <w:tcPr>
            <w:tcW w:w="1276" w:type="dxa"/>
            <w:tcBorders>
              <w:bottom w:val="single" w:sz="4" w:space="0" w:color="auto"/>
            </w:tcBorders>
          </w:tcPr>
          <w:p w14:paraId="0CED3D1A" w14:textId="77777777" w:rsidR="00132EA9" w:rsidRPr="00657A24" w:rsidRDefault="00132EA9" w:rsidP="005F2BED">
            <w:bookmarkStart w:id="0" w:name="_GoBack"/>
            <w:bookmarkEnd w:id="0"/>
          </w:p>
        </w:tc>
        <w:tc>
          <w:tcPr>
            <w:tcW w:w="2268" w:type="dxa"/>
            <w:tcBorders>
              <w:bottom w:val="single" w:sz="4" w:space="0" w:color="auto"/>
            </w:tcBorders>
            <w:vAlign w:val="bottom"/>
          </w:tcPr>
          <w:p w14:paraId="044DCEF6" w14:textId="77777777" w:rsidR="00132EA9" w:rsidRPr="00657A24" w:rsidRDefault="00132EA9" w:rsidP="00F01738">
            <w:pPr>
              <w:spacing w:after="80" w:line="300" w:lineRule="exact"/>
              <w:rPr>
                <w:sz w:val="28"/>
              </w:rPr>
            </w:pPr>
            <w:r w:rsidRPr="00657A24">
              <w:rPr>
                <w:sz w:val="28"/>
              </w:rPr>
              <w:t>Nations Unies</w:t>
            </w:r>
          </w:p>
        </w:tc>
        <w:tc>
          <w:tcPr>
            <w:tcW w:w="6095" w:type="dxa"/>
            <w:gridSpan w:val="2"/>
            <w:tcBorders>
              <w:bottom w:val="single" w:sz="4" w:space="0" w:color="auto"/>
            </w:tcBorders>
            <w:vAlign w:val="bottom"/>
          </w:tcPr>
          <w:p w14:paraId="380975E8" w14:textId="77777777" w:rsidR="00132EA9" w:rsidRPr="00657A24" w:rsidRDefault="005F2BED" w:rsidP="005F2BED">
            <w:pPr>
              <w:jc w:val="right"/>
            </w:pPr>
            <w:r w:rsidRPr="00657A24">
              <w:rPr>
                <w:sz w:val="40"/>
              </w:rPr>
              <w:t>ST</w:t>
            </w:r>
            <w:r w:rsidRPr="00657A24">
              <w:t>/SG/AC.10/C.3/2020/24/Rev.1</w:t>
            </w:r>
          </w:p>
        </w:tc>
      </w:tr>
      <w:tr w:rsidR="00132EA9" w:rsidRPr="00657A24" w14:paraId="24C31FB5" w14:textId="77777777" w:rsidTr="00F01738">
        <w:trPr>
          <w:trHeight w:hRule="exact" w:val="2835"/>
        </w:trPr>
        <w:tc>
          <w:tcPr>
            <w:tcW w:w="1276" w:type="dxa"/>
            <w:tcBorders>
              <w:top w:val="single" w:sz="4" w:space="0" w:color="auto"/>
              <w:bottom w:val="single" w:sz="12" w:space="0" w:color="auto"/>
            </w:tcBorders>
          </w:tcPr>
          <w:p w14:paraId="4E94E87E" w14:textId="77777777" w:rsidR="00132EA9" w:rsidRPr="00657A24" w:rsidRDefault="00132EA9" w:rsidP="00F01738">
            <w:pPr>
              <w:spacing w:before="120"/>
              <w:jc w:val="center"/>
            </w:pPr>
            <w:r w:rsidRPr="00657A24">
              <w:rPr>
                <w:noProof/>
                <w:lang w:eastAsia="fr-CH"/>
              </w:rPr>
              <w:drawing>
                <wp:inline distT="0" distB="0" distL="0" distR="0" wp14:anchorId="43484BD2" wp14:editId="479183A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1A7F693" w14:textId="77777777" w:rsidR="00132EA9" w:rsidRPr="00657A24" w:rsidRDefault="00132EA9" w:rsidP="00F01738">
            <w:pPr>
              <w:spacing w:before="120" w:line="420" w:lineRule="exact"/>
              <w:rPr>
                <w:b/>
                <w:sz w:val="40"/>
                <w:szCs w:val="40"/>
              </w:rPr>
            </w:pPr>
            <w:r w:rsidRPr="00657A24">
              <w:rPr>
                <w:b/>
                <w:sz w:val="40"/>
                <w:szCs w:val="40"/>
              </w:rPr>
              <w:t>Secrétariat</w:t>
            </w:r>
          </w:p>
        </w:tc>
        <w:tc>
          <w:tcPr>
            <w:tcW w:w="2835" w:type="dxa"/>
            <w:tcBorders>
              <w:top w:val="single" w:sz="4" w:space="0" w:color="auto"/>
              <w:bottom w:val="single" w:sz="12" w:space="0" w:color="auto"/>
            </w:tcBorders>
          </w:tcPr>
          <w:p w14:paraId="63AB4635" w14:textId="77777777" w:rsidR="00132EA9" w:rsidRPr="00657A24" w:rsidRDefault="005F2BED" w:rsidP="00F01738">
            <w:pPr>
              <w:spacing w:before="240"/>
            </w:pPr>
            <w:r w:rsidRPr="00657A24">
              <w:t>Distr. générale</w:t>
            </w:r>
          </w:p>
          <w:p w14:paraId="3CB1532B" w14:textId="77777777" w:rsidR="005F2BED" w:rsidRPr="00657A24" w:rsidRDefault="005F2BED" w:rsidP="005F2BED">
            <w:pPr>
              <w:spacing w:line="240" w:lineRule="exact"/>
            </w:pPr>
            <w:r w:rsidRPr="00657A24">
              <w:t>7 septembre 2020</w:t>
            </w:r>
          </w:p>
          <w:p w14:paraId="79D07262" w14:textId="77777777" w:rsidR="005F2BED" w:rsidRPr="00657A24" w:rsidRDefault="005F2BED" w:rsidP="005F2BED">
            <w:pPr>
              <w:spacing w:line="240" w:lineRule="exact"/>
            </w:pPr>
            <w:r w:rsidRPr="00657A24">
              <w:t>Français</w:t>
            </w:r>
          </w:p>
          <w:p w14:paraId="4CC10AAB" w14:textId="77777777" w:rsidR="005F2BED" w:rsidRPr="00657A24" w:rsidRDefault="005F2BED" w:rsidP="005F2BED">
            <w:pPr>
              <w:spacing w:line="240" w:lineRule="exact"/>
            </w:pPr>
            <w:r w:rsidRPr="00657A24">
              <w:t>Original</w:t>
            </w:r>
            <w:r w:rsidR="00657A24" w:rsidRPr="00657A24">
              <w:t> </w:t>
            </w:r>
            <w:r w:rsidRPr="00657A24">
              <w:t>: anglais</w:t>
            </w:r>
          </w:p>
        </w:tc>
      </w:tr>
    </w:tbl>
    <w:p w14:paraId="6CA43792" w14:textId="77777777" w:rsidR="00861938" w:rsidRPr="00657A24" w:rsidRDefault="00861938" w:rsidP="00861938">
      <w:pPr>
        <w:spacing w:before="120"/>
        <w:rPr>
          <w:b/>
          <w:sz w:val="24"/>
          <w:szCs w:val="24"/>
          <w:lang w:val="fr-FR"/>
        </w:rPr>
      </w:pPr>
      <w:r w:rsidRPr="00657A24">
        <w:rPr>
          <w:b/>
          <w:bCs/>
          <w:sz w:val="24"/>
          <w:szCs w:val="24"/>
          <w:lang w:val="fr-FR"/>
        </w:rPr>
        <w:t xml:space="preserve">Comité d’experts du transport des marchandises dangereuses </w:t>
      </w:r>
      <w:r w:rsidRPr="00657A24">
        <w:rPr>
          <w:b/>
          <w:bCs/>
          <w:sz w:val="24"/>
          <w:szCs w:val="24"/>
          <w:lang w:val="fr-FR"/>
        </w:rPr>
        <w:br/>
        <w:t xml:space="preserve">et du Système général harmonisé de classification </w:t>
      </w:r>
      <w:r w:rsidRPr="00657A24">
        <w:rPr>
          <w:b/>
          <w:bCs/>
          <w:sz w:val="24"/>
          <w:szCs w:val="24"/>
          <w:lang w:val="fr-FR"/>
        </w:rPr>
        <w:br/>
        <w:t>et d’étiquetage des produits chimiques</w:t>
      </w:r>
    </w:p>
    <w:p w14:paraId="72F4CD8D" w14:textId="77777777" w:rsidR="00861938" w:rsidRPr="00657A24" w:rsidRDefault="00861938" w:rsidP="00861938">
      <w:pPr>
        <w:spacing w:before="120"/>
        <w:rPr>
          <w:b/>
          <w:color w:val="000000"/>
          <w:lang w:val="fr-FR"/>
        </w:rPr>
      </w:pPr>
      <w:r w:rsidRPr="00657A24">
        <w:rPr>
          <w:b/>
          <w:bCs/>
          <w:lang w:val="fr-FR"/>
        </w:rPr>
        <w:t>Sous-Comité d’experts du transport des marchandises dangereuses</w:t>
      </w:r>
    </w:p>
    <w:p w14:paraId="347EA19E" w14:textId="77777777" w:rsidR="00861938" w:rsidRPr="00657A24" w:rsidRDefault="00861938" w:rsidP="00861938">
      <w:pPr>
        <w:spacing w:before="120"/>
        <w:rPr>
          <w:b/>
          <w:bCs/>
          <w:lang w:val="fr-FR"/>
        </w:rPr>
      </w:pPr>
      <w:r w:rsidRPr="00657A24">
        <w:rPr>
          <w:b/>
          <w:bCs/>
          <w:lang w:val="fr-FR"/>
        </w:rPr>
        <w:t>Cinquante-septième session</w:t>
      </w:r>
    </w:p>
    <w:p w14:paraId="790B0CED" w14:textId="77777777" w:rsidR="00861938" w:rsidRPr="00657A24" w:rsidRDefault="00861938" w:rsidP="00861938">
      <w:pPr>
        <w:rPr>
          <w:lang w:val="fr-FR"/>
        </w:rPr>
      </w:pPr>
      <w:r w:rsidRPr="00657A24">
        <w:rPr>
          <w:lang w:val="fr-FR"/>
        </w:rPr>
        <w:t xml:space="preserve">Genève, 30 novembre-8 décembre 2020 </w:t>
      </w:r>
    </w:p>
    <w:p w14:paraId="37FBDAD5" w14:textId="77777777" w:rsidR="00861938" w:rsidRPr="00657A24" w:rsidRDefault="00861938" w:rsidP="00861938">
      <w:pPr>
        <w:rPr>
          <w:lang w:val="fr-FR"/>
        </w:rPr>
      </w:pPr>
      <w:r w:rsidRPr="00657A24">
        <w:rPr>
          <w:lang w:val="fr-FR"/>
        </w:rPr>
        <w:t>Point 3 de l’ordre du jour provisoire</w:t>
      </w:r>
    </w:p>
    <w:p w14:paraId="5406E53C" w14:textId="77777777" w:rsidR="00861938" w:rsidRPr="00657A24" w:rsidRDefault="00861938" w:rsidP="00861938">
      <w:pPr>
        <w:rPr>
          <w:b/>
          <w:bCs/>
          <w:lang w:val="fr-FR"/>
        </w:rPr>
      </w:pPr>
      <w:r w:rsidRPr="00657A24">
        <w:rPr>
          <w:b/>
          <w:bCs/>
          <w:lang w:val="fr-FR"/>
        </w:rPr>
        <w:t>Inscription, classement et emballage</w:t>
      </w:r>
    </w:p>
    <w:p w14:paraId="2795100E" w14:textId="77777777" w:rsidR="00861938" w:rsidRPr="00657A24" w:rsidRDefault="00861938" w:rsidP="00861938">
      <w:pPr>
        <w:pStyle w:val="HChG"/>
        <w:rPr>
          <w:lang w:val="fr-FR"/>
        </w:rPr>
      </w:pPr>
      <w:r w:rsidRPr="00657A24">
        <w:rPr>
          <w:lang w:val="fr-FR"/>
        </w:rPr>
        <w:tab/>
      </w:r>
      <w:r w:rsidRPr="00657A24">
        <w:rPr>
          <w:lang w:val="fr-FR"/>
        </w:rPr>
        <w:tab/>
        <w:t>Amendements à l’instruction d’emballage P621</w:t>
      </w:r>
    </w:p>
    <w:p w14:paraId="1C95BA16" w14:textId="77777777" w:rsidR="00D77BBE" w:rsidRPr="00657A24" w:rsidRDefault="00861938" w:rsidP="00861938">
      <w:pPr>
        <w:pStyle w:val="H1G"/>
        <w:rPr>
          <w:bCs/>
          <w:sz w:val="20"/>
        </w:rPr>
      </w:pPr>
      <w:r w:rsidRPr="00657A24">
        <w:rPr>
          <w:lang w:val="fr-FR"/>
        </w:rPr>
        <w:tab/>
      </w:r>
      <w:r w:rsidRPr="00657A24">
        <w:rPr>
          <w:lang w:val="fr-FR"/>
        </w:rPr>
        <w:tab/>
        <w:t>Communication de l’expert de la Belgique</w:t>
      </w:r>
      <w:r w:rsidR="00D77BBE" w:rsidRPr="00657A24">
        <w:rPr>
          <w:rStyle w:val="FootnoteReference"/>
          <w:b w:val="0"/>
          <w:bCs/>
          <w:sz w:val="20"/>
          <w:vertAlign w:val="baseline"/>
        </w:rPr>
        <w:footnoteReference w:customMarkFollows="1" w:id="2"/>
        <w:t>*</w:t>
      </w:r>
    </w:p>
    <w:p w14:paraId="37109F08" w14:textId="77777777" w:rsidR="00D77BBE" w:rsidRPr="00657A24" w:rsidRDefault="00D77BBE" w:rsidP="00861938">
      <w:pPr>
        <w:pStyle w:val="H23G"/>
      </w:pPr>
      <w:r w:rsidRPr="00657A24">
        <w:tab/>
      </w:r>
      <w:r w:rsidRPr="00657A24">
        <w:tab/>
        <w:t>Révision</w:t>
      </w:r>
    </w:p>
    <w:p w14:paraId="13B1C2DC" w14:textId="77777777" w:rsidR="00D77BBE" w:rsidRPr="00657A24" w:rsidRDefault="00D77BBE" w:rsidP="00861938">
      <w:pPr>
        <w:pStyle w:val="HChG"/>
      </w:pPr>
      <w:r w:rsidRPr="00657A24">
        <w:tab/>
      </w:r>
      <w:r w:rsidRPr="00657A24">
        <w:tab/>
        <w:t>Introduction</w:t>
      </w:r>
    </w:p>
    <w:p w14:paraId="258D3A4E" w14:textId="77777777" w:rsidR="00D77BBE" w:rsidRPr="00657A24" w:rsidRDefault="00D77BBE" w:rsidP="00861938">
      <w:pPr>
        <w:pStyle w:val="SingleTxtG"/>
      </w:pPr>
      <w:r w:rsidRPr="00657A24">
        <w:t>1.</w:t>
      </w:r>
      <w:r w:rsidRPr="00657A24">
        <w:tab/>
        <w:t xml:space="preserve">L’instruction d’emballage P621 s’applique au No ONU 3291, DÉCHET D’HÔPITAL, NON SPÉCIFIÉ, N.S.A. ou DÉCHET (BIO)MÉDICAL, N.S.A. ou DÉCHET MÉDICAL RÉGLEMENTÉ, N.S.A. Elle autorise l’utilisation d’emballages satisfaisant au niveau d’épreuve du groupe d’emballage II pour les matières solides, à condition qu’il y ait suffisamment de matériau absorbant pour absorber la totalité du liquide présent et que l’emballage soit capable de retenir les liquides. </w:t>
      </w:r>
    </w:p>
    <w:p w14:paraId="360287A5" w14:textId="77777777" w:rsidR="00D77BBE" w:rsidRPr="00657A24" w:rsidRDefault="00D77BBE" w:rsidP="00861938">
      <w:pPr>
        <w:pStyle w:val="SingleTxtG"/>
      </w:pPr>
      <w:r w:rsidRPr="00657A24">
        <w:t>2.</w:t>
      </w:r>
      <w:r w:rsidRPr="00657A24">
        <w:tab/>
        <w:t>La plupart des emballages pour les déchets médicaux sont munis d’une ouverture d’un diamètre de plus de 7</w:t>
      </w:r>
      <w:r w:rsidR="00657A24">
        <w:t> </w:t>
      </w:r>
      <w:r w:rsidRPr="00657A24">
        <w:t>cm et sont donc, par définition, considérés comme étant du type à dessus amovible, tel que le type 3H2. Certains emballages plus petits pour les déchets médicaux, comme les petits conteneurs pour aiguilles, peuvent toutefois être munis d’une ouverture d’un diamètre ne dépassant pas 7</w:t>
      </w:r>
      <w:r w:rsidR="00657A24">
        <w:t> </w:t>
      </w:r>
      <w:r w:rsidRPr="00657A24">
        <w:t xml:space="preserve">cm (voir illustration 1). Ils sont, par définition, du type à dessus non amovible, tel que le type 3H1. </w:t>
      </w:r>
      <w:bookmarkStart w:id="2" w:name="_Hlk36634850"/>
      <w:bookmarkEnd w:id="2"/>
    </w:p>
    <w:p w14:paraId="1A1A9F75" w14:textId="77777777" w:rsidR="00D77BBE" w:rsidRPr="00657A24" w:rsidRDefault="00D77BBE" w:rsidP="00861938">
      <w:pPr>
        <w:pStyle w:val="SingleTxtG"/>
      </w:pPr>
      <w:r w:rsidRPr="00657A24">
        <w:t>3.</w:t>
      </w:r>
      <w:r w:rsidRPr="00657A24">
        <w:tab/>
        <w:t>Sachant que les prescriptions de construction et d’épreuve applicables aux emballages du type à dessus non amovible sont au moins équivalentes à celles applicables aux emballages du type à dessus amovible, il est entendu que les emballages du type à dessus non amovible offrent un niveau de sécurité au moins équivalent pour le transport du No ONU 3291.</w:t>
      </w:r>
    </w:p>
    <w:p w14:paraId="0A640F2B" w14:textId="77777777" w:rsidR="00D77BBE" w:rsidRPr="00657A24" w:rsidRDefault="00D77BBE" w:rsidP="00861938">
      <w:pPr>
        <w:pStyle w:val="SingleTxtG"/>
      </w:pPr>
      <w:r w:rsidRPr="00657A24">
        <w:t>4.</w:t>
      </w:r>
      <w:r w:rsidRPr="00657A24">
        <w:tab/>
        <w:t>Actuellement, l’instruction d’emballage P621 (2) autorise l’utilisation d’emballages à dessus non amovible uniquement pour les colis contenant des quantités plus importantes de liquide. Il est proposé d’autoriser les emballages de ce type de façon générale dans ladite instruction (1).</w:t>
      </w:r>
    </w:p>
    <w:p w14:paraId="3BA698EC" w14:textId="77777777" w:rsidR="00D77BBE" w:rsidRPr="00657A24" w:rsidRDefault="00D77BBE" w:rsidP="00861938">
      <w:pPr>
        <w:pStyle w:val="SingleTxtG"/>
        <w:jc w:val="center"/>
      </w:pPr>
      <w:r w:rsidRPr="00657A24">
        <w:lastRenderedPageBreak/>
        <w:br/>
      </w:r>
      <w:r w:rsidRPr="00657A24">
        <w:rPr>
          <w:noProof/>
        </w:rPr>
        <w:drawing>
          <wp:inline distT="0" distB="0" distL="0" distR="0" wp14:anchorId="347407F1" wp14:editId="62616876">
            <wp:extent cx="1542415" cy="2059305"/>
            <wp:effectExtent l="0" t="0" r="635" b="0"/>
            <wp:docPr id="4" name="Picture 4" descr="G05.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5.067"/>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542415" cy="2059305"/>
                    </a:xfrm>
                    <a:prstGeom prst="rect">
                      <a:avLst/>
                    </a:prstGeom>
                    <a:noFill/>
                    <a:ln>
                      <a:noFill/>
                    </a:ln>
                  </pic:spPr>
                </pic:pic>
              </a:graphicData>
            </a:graphic>
          </wp:inline>
        </w:drawing>
      </w:r>
      <w:r w:rsidRPr="00657A24">
        <w:t xml:space="preserve"> </w:t>
      </w:r>
      <w:r w:rsidRPr="00657A24">
        <w:rPr>
          <w:noProof/>
          <w:color w:val="2962FF"/>
        </w:rPr>
        <w:drawing>
          <wp:inline distT="0" distB="0" distL="0" distR="0" wp14:anchorId="4DF174BF" wp14:editId="4318A338">
            <wp:extent cx="1288415" cy="1987550"/>
            <wp:effectExtent l="0" t="0" r="6985" b="0"/>
            <wp:docPr id="5" name="Picture 3" descr="Needle collector KONTAMED-chen | Waste disposal containers ...">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edle collector KONTAMED-chen | Waste disposal containers ...">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8415" cy="1987550"/>
                    </a:xfrm>
                    <a:prstGeom prst="rect">
                      <a:avLst/>
                    </a:prstGeom>
                    <a:noFill/>
                    <a:ln>
                      <a:noFill/>
                    </a:ln>
                  </pic:spPr>
                </pic:pic>
              </a:graphicData>
            </a:graphic>
          </wp:inline>
        </w:drawing>
      </w:r>
    </w:p>
    <w:p w14:paraId="01456756" w14:textId="77777777" w:rsidR="00D77BBE" w:rsidRPr="00657A24" w:rsidRDefault="00D77BBE" w:rsidP="00861938">
      <w:pPr>
        <w:pStyle w:val="SingleTxtG"/>
      </w:pPr>
      <w:r w:rsidRPr="00657A24">
        <w:t>Illustration 1 : petits conteneurs à aiguilles munis d’une ouverture d’un diamètre ne dépassant pas 7</w:t>
      </w:r>
      <w:r w:rsidR="00657A24">
        <w:t> </w:t>
      </w:r>
      <w:r w:rsidRPr="00657A24">
        <w:t>cm.</w:t>
      </w:r>
    </w:p>
    <w:p w14:paraId="5E99FA4C" w14:textId="77777777" w:rsidR="00D77BBE" w:rsidRPr="00657A24" w:rsidRDefault="00D77BBE" w:rsidP="00861938">
      <w:pPr>
        <w:pStyle w:val="HChG"/>
      </w:pPr>
      <w:r w:rsidRPr="00657A24">
        <w:tab/>
      </w:r>
      <w:r w:rsidRPr="00657A24">
        <w:tab/>
        <w:t>Proposition</w:t>
      </w:r>
    </w:p>
    <w:p w14:paraId="54242E52" w14:textId="77777777" w:rsidR="00D77BBE" w:rsidRPr="00657A24" w:rsidRDefault="00D77BBE" w:rsidP="00861938">
      <w:pPr>
        <w:pStyle w:val="SingleTxtG"/>
        <w:spacing w:after="240"/>
      </w:pPr>
      <w:r w:rsidRPr="00657A24">
        <w:t>5.</w:t>
      </w:r>
      <w:r w:rsidRPr="00657A24">
        <w:tab/>
        <w:t>Ajouter les emballages du type à dessus non amovible à l’instruction P621 comme indiqué ci-après (le texte ajouté est souligné) :</w:t>
      </w:r>
    </w:p>
    <w:tbl>
      <w:tblPr>
        <w:tblW w:w="9641" w:type="dxa"/>
        <w:tblLayout w:type="fixed"/>
        <w:tblCellMar>
          <w:left w:w="0" w:type="dxa"/>
          <w:right w:w="0" w:type="dxa"/>
        </w:tblCellMar>
        <w:tblLook w:val="04A0" w:firstRow="1" w:lastRow="0" w:firstColumn="1" w:lastColumn="0" w:noHBand="0" w:noVBand="1"/>
      </w:tblPr>
      <w:tblGrid>
        <w:gridCol w:w="930"/>
        <w:gridCol w:w="7859"/>
        <w:gridCol w:w="852"/>
      </w:tblGrid>
      <w:tr w:rsidR="00D77BBE" w:rsidRPr="00657A24" w14:paraId="6752BBA2" w14:textId="77777777" w:rsidTr="00D77BBE">
        <w:trPr>
          <w:cantSplit/>
          <w:trHeight w:val="284"/>
        </w:trPr>
        <w:tc>
          <w:tcPr>
            <w:tcW w:w="930" w:type="dxa"/>
            <w:tcBorders>
              <w:top w:val="single" w:sz="4" w:space="0" w:color="auto"/>
              <w:left w:val="single" w:sz="2" w:space="0" w:color="auto"/>
              <w:bottom w:val="single" w:sz="2" w:space="0" w:color="auto"/>
              <w:right w:val="nil"/>
            </w:tcBorders>
            <w:hideMark/>
          </w:tcPr>
          <w:p w14:paraId="0B11D6A2" w14:textId="77777777" w:rsidR="00D77BBE" w:rsidRPr="00657A24" w:rsidRDefault="00D77BBE" w:rsidP="00D77BBE">
            <w:pPr>
              <w:keepNext/>
              <w:keepLines/>
              <w:tabs>
                <w:tab w:val="right" w:pos="9623"/>
              </w:tabs>
              <w:suppressAutoHyphens w:val="0"/>
              <w:spacing w:line="240" w:lineRule="auto"/>
              <w:ind w:left="113" w:right="113"/>
              <w:jc w:val="both"/>
              <w:outlineLvl w:val="8"/>
              <w:rPr>
                <w:b/>
                <w:bCs/>
              </w:rPr>
            </w:pPr>
            <w:r w:rsidRPr="00657A24">
              <w:rPr>
                <w:b/>
                <w:bCs/>
              </w:rPr>
              <w:t>P621</w:t>
            </w:r>
          </w:p>
        </w:tc>
        <w:tc>
          <w:tcPr>
            <w:tcW w:w="7859" w:type="dxa"/>
            <w:tcBorders>
              <w:top w:val="single" w:sz="4" w:space="0" w:color="auto"/>
              <w:left w:val="nil"/>
              <w:bottom w:val="single" w:sz="2" w:space="0" w:color="auto"/>
              <w:right w:val="nil"/>
            </w:tcBorders>
            <w:hideMark/>
          </w:tcPr>
          <w:p w14:paraId="4663CC55" w14:textId="77777777" w:rsidR="00D77BBE" w:rsidRPr="00657A24" w:rsidRDefault="00D77BBE" w:rsidP="00D77BBE">
            <w:pPr>
              <w:keepNext/>
              <w:keepLines/>
              <w:tabs>
                <w:tab w:val="right" w:pos="9623"/>
              </w:tabs>
              <w:suppressAutoHyphens w:val="0"/>
              <w:spacing w:line="240" w:lineRule="auto"/>
              <w:ind w:left="113" w:right="113"/>
              <w:jc w:val="center"/>
              <w:outlineLvl w:val="8"/>
              <w:rPr>
                <w:b/>
                <w:bCs/>
              </w:rPr>
            </w:pPr>
            <w:r w:rsidRPr="00657A24">
              <w:rPr>
                <w:b/>
                <w:bCs/>
              </w:rPr>
              <w:t>INSTRUCTION D’EMBALLAGE</w:t>
            </w:r>
            <w:r w:rsidRPr="00657A24">
              <w:t xml:space="preserve"> </w:t>
            </w:r>
          </w:p>
        </w:tc>
        <w:tc>
          <w:tcPr>
            <w:tcW w:w="852" w:type="dxa"/>
            <w:tcBorders>
              <w:top w:val="single" w:sz="4" w:space="0" w:color="auto"/>
              <w:left w:val="nil"/>
              <w:bottom w:val="single" w:sz="2" w:space="0" w:color="auto"/>
              <w:right w:val="single" w:sz="2" w:space="0" w:color="auto"/>
            </w:tcBorders>
            <w:hideMark/>
          </w:tcPr>
          <w:p w14:paraId="7DA2BDA7" w14:textId="77777777" w:rsidR="00D77BBE" w:rsidRPr="00657A24" w:rsidRDefault="00D77BBE" w:rsidP="00D77BBE">
            <w:pPr>
              <w:keepNext/>
              <w:keepLines/>
              <w:tabs>
                <w:tab w:val="right" w:pos="9623"/>
              </w:tabs>
              <w:suppressAutoHyphens w:val="0"/>
              <w:spacing w:line="240" w:lineRule="auto"/>
              <w:ind w:left="113" w:right="113"/>
              <w:jc w:val="right"/>
              <w:outlineLvl w:val="8"/>
              <w:rPr>
                <w:b/>
                <w:bCs/>
              </w:rPr>
            </w:pPr>
            <w:r w:rsidRPr="00657A24">
              <w:rPr>
                <w:b/>
                <w:bCs/>
              </w:rPr>
              <w:t>P621</w:t>
            </w:r>
          </w:p>
        </w:tc>
      </w:tr>
      <w:tr w:rsidR="00D77BBE" w:rsidRPr="00657A24" w14:paraId="352836CC" w14:textId="77777777" w:rsidTr="00D77BBE">
        <w:trPr>
          <w:cantSplit/>
          <w:trHeight w:val="65"/>
        </w:trPr>
        <w:tc>
          <w:tcPr>
            <w:tcW w:w="9641"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14:paraId="6BF51B61" w14:textId="77777777" w:rsidR="00D77BBE" w:rsidRPr="00657A24" w:rsidRDefault="00D77BBE" w:rsidP="00D77BBE">
            <w:pPr>
              <w:keepNext/>
              <w:keepLines/>
              <w:suppressAutoHyphens w:val="0"/>
              <w:spacing w:before="40" w:after="40" w:line="240" w:lineRule="auto"/>
              <w:ind w:left="113" w:right="113"/>
              <w:jc w:val="both"/>
            </w:pPr>
            <w:r w:rsidRPr="00657A24">
              <w:t>Cette instruction s’applique au No ONU 3291.</w:t>
            </w:r>
          </w:p>
        </w:tc>
      </w:tr>
      <w:tr w:rsidR="00D77BBE" w:rsidRPr="00657A24" w14:paraId="6CC33A8B" w14:textId="77777777" w:rsidTr="00D77BBE">
        <w:trPr>
          <w:cantSplit/>
          <w:trHeight w:val="4614"/>
        </w:trPr>
        <w:tc>
          <w:tcPr>
            <w:tcW w:w="9641"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62CB12F0" w14:textId="77777777" w:rsidR="00D77BBE" w:rsidRPr="00657A24" w:rsidRDefault="00D77BBE" w:rsidP="00D77BBE">
            <w:pPr>
              <w:keepNext/>
              <w:tabs>
                <w:tab w:val="left" w:pos="0"/>
              </w:tabs>
              <w:suppressAutoHyphens w:val="0"/>
              <w:spacing w:before="40" w:after="40" w:line="240" w:lineRule="auto"/>
              <w:ind w:left="113" w:right="113"/>
              <w:jc w:val="both"/>
            </w:pPr>
            <w:r w:rsidRPr="00657A24">
              <w:t>Les emballages suivants sont autorisés s’il est satisfait aux dispositions générales des 4.1.1, à l’exception du 4.1.1.15, et 4.1.3 :</w:t>
            </w:r>
          </w:p>
          <w:p w14:paraId="23A2716F" w14:textId="77777777" w:rsidR="00D77BBE" w:rsidRPr="00657A24" w:rsidRDefault="00D77BBE" w:rsidP="00657A24">
            <w:pPr>
              <w:keepNext/>
              <w:tabs>
                <w:tab w:val="left" w:pos="566"/>
              </w:tabs>
              <w:suppressAutoHyphens w:val="0"/>
              <w:spacing w:before="40" w:after="40" w:line="240" w:lineRule="auto"/>
              <w:ind w:left="567" w:right="113" w:hanging="454"/>
              <w:jc w:val="both"/>
            </w:pPr>
            <w:r w:rsidRPr="00657A24">
              <w:t>1)</w:t>
            </w:r>
            <w:r w:rsidRPr="00657A24">
              <w:tab/>
              <w:t>À condition qu’il y ait suffisamment de matériau absorbant pour absorber la totalité du liquide présent et que l’emballage soit capable de retenir les liquides :</w:t>
            </w:r>
          </w:p>
          <w:p w14:paraId="29E6668C" w14:textId="77777777" w:rsidR="00D77BBE" w:rsidRPr="00657A24" w:rsidRDefault="00D77BBE" w:rsidP="00657A24">
            <w:pPr>
              <w:keepNext/>
              <w:tabs>
                <w:tab w:val="left" w:pos="566"/>
              </w:tabs>
              <w:suppressAutoHyphens w:val="0"/>
              <w:spacing w:before="40" w:after="40" w:line="240" w:lineRule="auto"/>
              <w:ind w:left="851" w:right="113"/>
              <w:jc w:val="both"/>
            </w:pPr>
            <w:r w:rsidRPr="00657A24">
              <w:t>Fûts (</w:t>
            </w:r>
            <w:r w:rsidRPr="00657A24">
              <w:rPr>
                <w:u w:val="single"/>
              </w:rPr>
              <w:t xml:space="preserve">1A1, </w:t>
            </w:r>
            <w:r w:rsidRPr="00657A24">
              <w:t xml:space="preserve">1A2, </w:t>
            </w:r>
            <w:r w:rsidRPr="00657A24">
              <w:rPr>
                <w:u w:val="single"/>
              </w:rPr>
              <w:t xml:space="preserve">1B1, </w:t>
            </w:r>
            <w:r w:rsidRPr="00657A24">
              <w:t xml:space="preserve">1B2, </w:t>
            </w:r>
            <w:r w:rsidRPr="00657A24">
              <w:rPr>
                <w:u w:val="single"/>
              </w:rPr>
              <w:t xml:space="preserve">1N1, </w:t>
            </w:r>
            <w:r w:rsidRPr="00657A24">
              <w:t xml:space="preserve">1N2, </w:t>
            </w:r>
            <w:r w:rsidRPr="00657A24">
              <w:rPr>
                <w:u w:val="single"/>
              </w:rPr>
              <w:t xml:space="preserve">1H1, </w:t>
            </w:r>
            <w:r w:rsidRPr="00657A24">
              <w:t>1H2, 1D, 1G) ;</w:t>
            </w:r>
          </w:p>
          <w:p w14:paraId="06F8DDAF" w14:textId="77777777" w:rsidR="00D77BBE" w:rsidRPr="00657A24" w:rsidRDefault="00D77BBE" w:rsidP="00657A24">
            <w:pPr>
              <w:keepNext/>
              <w:tabs>
                <w:tab w:val="left" w:pos="566"/>
              </w:tabs>
              <w:suppressAutoHyphens w:val="0"/>
              <w:spacing w:before="40" w:after="40" w:line="240" w:lineRule="auto"/>
              <w:ind w:left="851" w:right="113"/>
              <w:jc w:val="both"/>
            </w:pPr>
            <w:r w:rsidRPr="00657A24">
              <w:t>Caisses (4A, 4B, 4N, 4C1, 4C2, 4D, 4F, 4G, 4H1, 4H2) ;</w:t>
            </w:r>
          </w:p>
          <w:p w14:paraId="145D275E" w14:textId="77777777" w:rsidR="00D77BBE" w:rsidRPr="00657A24" w:rsidRDefault="00D77BBE" w:rsidP="00657A24">
            <w:pPr>
              <w:keepNext/>
              <w:tabs>
                <w:tab w:val="left" w:pos="566"/>
              </w:tabs>
              <w:suppressAutoHyphens w:val="0"/>
              <w:spacing w:before="40" w:after="40" w:line="240" w:lineRule="auto"/>
              <w:ind w:left="851" w:right="113"/>
              <w:jc w:val="both"/>
            </w:pPr>
            <w:r w:rsidRPr="00657A24">
              <w:t>Bidons (jerricanes) (</w:t>
            </w:r>
            <w:r w:rsidRPr="00657A24">
              <w:rPr>
                <w:u w:val="single"/>
              </w:rPr>
              <w:t xml:space="preserve">3A1, </w:t>
            </w:r>
            <w:r w:rsidRPr="00657A24">
              <w:t xml:space="preserve">3A2, </w:t>
            </w:r>
            <w:r w:rsidRPr="00657A24">
              <w:rPr>
                <w:u w:val="single"/>
              </w:rPr>
              <w:t xml:space="preserve">3B1, </w:t>
            </w:r>
            <w:r w:rsidRPr="00657A24">
              <w:t xml:space="preserve">3B2, </w:t>
            </w:r>
            <w:r w:rsidRPr="00657A24">
              <w:rPr>
                <w:u w:val="single"/>
              </w:rPr>
              <w:t xml:space="preserve">3H1, </w:t>
            </w:r>
            <w:r w:rsidRPr="00657A24">
              <w:t>3H2).</w:t>
            </w:r>
          </w:p>
          <w:p w14:paraId="54BBFBBE" w14:textId="77777777" w:rsidR="00D77BBE" w:rsidRPr="00657A24" w:rsidRDefault="00D77BBE" w:rsidP="00657A24">
            <w:pPr>
              <w:keepNext/>
              <w:keepLines/>
              <w:suppressAutoHyphens w:val="0"/>
              <w:spacing w:before="120" w:after="120" w:line="240" w:lineRule="auto"/>
              <w:ind w:left="567" w:right="113"/>
              <w:jc w:val="both"/>
            </w:pPr>
            <w:r w:rsidRPr="00657A24">
              <w:t>Les emballages doivent satisfaire au niveau d’épreuve du groupe d’emballage II pour les matières solides.</w:t>
            </w:r>
          </w:p>
          <w:p w14:paraId="4AB58383" w14:textId="77777777" w:rsidR="00D77BBE" w:rsidRPr="00657A24" w:rsidRDefault="00D77BBE" w:rsidP="00657A24">
            <w:pPr>
              <w:keepNext/>
              <w:tabs>
                <w:tab w:val="left" w:pos="566"/>
              </w:tabs>
              <w:suppressAutoHyphens w:val="0"/>
              <w:spacing w:before="40" w:after="40" w:line="240" w:lineRule="auto"/>
              <w:ind w:left="567" w:right="113" w:hanging="454"/>
              <w:jc w:val="both"/>
            </w:pPr>
            <w:r w:rsidRPr="00657A24">
              <w:t>2)</w:t>
            </w:r>
            <w:r w:rsidRPr="00657A24">
              <w:tab/>
              <w:t>Pour les colis contenant des quantités plus importantes de liquide :</w:t>
            </w:r>
          </w:p>
          <w:p w14:paraId="30830A1D" w14:textId="77777777" w:rsidR="00D77BBE" w:rsidRPr="00657A24" w:rsidRDefault="00D77BBE" w:rsidP="00657A24">
            <w:pPr>
              <w:keepNext/>
              <w:tabs>
                <w:tab w:val="left" w:pos="566"/>
              </w:tabs>
              <w:suppressAutoHyphens w:val="0"/>
              <w:spacing w:before="40" w:after="40" w:line="240" w:lineRule="auto"/>
              <w:ind w:left="851" w:right="113"/>
              <w:jc w:val="both"/>
            </w:pPr>
            <w:r w:rsidRPr="00657A24">
              <w:t>Fûts (1A1, 1A2, 1B1, 1B2, 1N1, 1N2, 1H1, 1H2, 1D, 1G) ;</w:t>
            </w:r>
          </w:p>
          <w:p w14:paraId="2E27C5FD" w14:textId="77777777" w:rsidR="00D77BBE" w:rsidRPr="00657A24" w:rsidRDefault="00D77BBE" w:rsidP="00657A24">
            <w:pPr>
              <w:keepNext/>
              <w:tabs>
                <w:tab w:val="left" w:pos="566"/>
              </w:tabs>
              <w:suppressAutoHyphens w:val="0"/>
              <w:spacing w:before="40" w:after="40" w:line="240" w:lineRule="auto"/>
              <w:ind w:left="851" w:right="113"/>
              <w:jc w:val="both"/>
            </w:pPr>
            <w:r w:rsidRPr="00657A24">
              <w:t>Bidons (jerricanes) (3A1, 3A2, 3B1, 3B2, 3H1, 3H2) ;</w:t>
            </w:r>
          </w:p>
          <w:p w14:paraId="46E35161" w14:textId="77777777" w:rsidR="00D77BBE" w:rsidRPr="00657A24" w:rsidRDefault="00D77BBE" w:rsidP="00657A24">
            <w:pPr>
              <w:keepNext/>
              <w:tabs>
                <w:tab w:val="left" w:pos="566"/>
              </w:tabs>
              <w:suppressAutoHyphens w:val="0"/>
              <w:spacing w:before="40" w:after="40" w:line="240" w:lineRule="auto"/>
              <w:ind w:left="851" w:right="113"/>
              <w:jc w:val="both"/>
            </w:pPr>
            <w:r w:rsidRPr="00657A24">
              <w:t>Emballages composites (6HA1, 6HB1, 6HG1, 6HH1, 6HD1, 6HA2, 6HB2, 6HC, 6HD2, 6HG2, 6HH2, 6PA1, 6PB1, 6PG1, 6PD1, 6PH1, 6PH2, 6PA2, 6PB2, 6PC, 6PG2 ou 6PD2).</w:t>
            </w:r>
          </w:p>
          <w:p w14:paraId="19B5C13F" w14:textId="77777777" w:rsidR="00D77BBE" w:rsidRPr="00657A24" w:rsidRDefault="00D77BBE" w:rsidP="00657A24">
            <w:pPr>
              <w:keepNext/>
              <w:keepLines/>
              <w:suppressAutoHyphens w:val="0"/>
              <w:spacing w:before="120" w:after="120" w:line="240" w:lineRule="auto"/>
              <w:ind w:left="567" w:right="113"/>
              <w:jc w:val="both"/>
            </w:pPr>
            <w:r w:rsidRPr="00657A24">
              <w:t>Les emballages doivent satisfaire au niveau d’épreuve du groupe d’emballage II pour les liquides.</w:t>
            </w:r>
          </w:p>
        </w:tc>
      </w:tr>
      <w:tr w:rsidR="00D77BBE" w:rsidRPr="00657A24" w14:paraId="109787D7" w14:textId="77777777" w:rsidTr="00D77BBE">
        <w:trPr>
          <w:cantSplit/>
          <w:trHeight w:val="1050"/>
        </w:trPr>
        <w:tc>
          <w:tcPr>
            <w:tcW w:w="9641"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14:paraId="18A9CA3A" w14:textId="77777777" w:rsidR="00D77BBE" w:rsidRPr="00657A24" w:rsidRDefault="00D77BBE" w:rsidP="00D77BBE">
            <w:pPr>
              <w:suppressAutoHyphens w:val="0"/>
              <w:spacing w:before="120" w:line="240" w:lineRule="auto"/>
              <w:ind w:left="113" w:right="113"/>
              <w:jc w:val="both"/>
              <w:rPr>
                <w:b/>
              </w:rPr>
            </w:pPr>
            <w:r w:rsidRPr="00657A24">
              <w:rPr>
                <w:b/>
                <w:bCs/>
              </w:rPr>
              <w:t>Disposition supplémentaire :</w:t>
            </w:r>
          </w:p>
          <w:p w14:paraId="44BFE3EB" w14:textId="77777777" w:rsidR="00D77BBE" w:rsidRPr="00657A24" w:rsidRDefault="00D77BBE" w:rsidP="00D77BBE">
            <w:pPr>
              <w:suppressAutoHyphens w:val="0"/>
              <w:spacing w:before="120" w:line="240" w:lineRule="auto"/>
              <w:ind w:left="113" w:right="113"/>
              <w:jc w:val="both"/>
            </w:pPr>
            <w:r w:rsidRPr="00657A24">
              <w:t>Les emballages destinés à contenir des objets tranchants ou pointus tels que verre brisé et aiguilles doivent résister aux perforations et retenir les liquides dans les conditions d’épreuve du chapitre 6.1.</w:t>
            </w:r>
          </w:p>
        </w:tc>
      </w:tr>
    </w:tbl>
    <w:p w14:paraId="2042F1F0" w14:textId="77777777" w:rsidR="005F2BED" w:rsidRPr="00657A24" w:rsidRDefault="00D77BBE" w:rsidP="00D77BBE">
      <w:pPr>
        <w:pStyle w:val="SingleTxtG"/>
        <w:spacing w:before="240" w:after="0"/>
        <w:jc w:val="center"/>
        <w:rPr>
          <w:u w:val="single"/>
        </w:rPr>
      </w:pPr>
      <w:r w:rsidRPr="00657A24">
        <w:rPr>
          <w:u w:val="single"/>
        </w:rPr>
        <w:tab/>
      </w:r>
      <w:r w:rsidRPr="00657A24">
        <w:rPr>
          <w:u w:val="single"/>
        </w:rPr>
        <w:tab/>
      </w:r>
      <w:r w:rsidRPr="00657A24">
        <w:rPr>
          <w:u w:val="single"/>
        </w:rPr>
        <w:tab/>
      </w:r>
    </w:p>
    <w:sectPr w:rsidR="005F2BED" w:rsidRPr="00657A24" w:rsidSect="005F2BED">
      <w:headerReference w:type="even" r:id="rId15"/>
      <w:headerReference w:type="default" r:id="rId16"/>
      <w:footerReference w:type="even" r:id="rId17"/>
      <w:footerReference w:type="default" r:id="rId18"/>
      <w:footerReference w:type="first" r:id="rId1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065BA" w14:textId="77777777" w:rsidR="0096468F" w:rsidRDefault="0096468F" w:rsidP="00F95C08">
      <w:pPr>
        <w:spacing w:line="240" w:lineRule="auto"/>
      </w:pPr>
    </w:p>
  </w:endnote>
  <w:endnote w:type="continuationSeparator" w:id="0">
    <w:p w14:paraId="4F75A61E" w14:textId="77777777" w:rsidR="0096468F" w:rsidRPr="00AC3823" w:rsidRDefault="0096468F" w:rsidP="00AC3823">
      <w:pPr>
        <w:pStyle w:val="Footer"/>
      </w:pPr>
    </w:p>
  </w:endnote>
  <w:endnote w:type="continuationNotice" w:id="1">
    <w:p w14:paraId="1C0ED6DC" w14:textId="77777777" w:rsidR="0096468F" w:rsidRDefault="009646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3A168" w14:textId="77777777" w:rsidR="005F2BED" w:rsidRPr="005F2BED" w:rsidRDefault="005F2BED" w:rsidP="005F2BED">
    <w:pPr>
      <w:pStyle w:val="Footer"/>
      <w:tabs>
        <w:tab w:val="right" w:pos="9638"/>
      </w:tabs>
    </w:pPr>
    <w:r w:rsidRPr="005F2BED">
      <w:rPr>
        <w:b/>
        <w:sz w:val="18"/>
      </w:rPr>
      <w:fldChar w:fldCharType="begin"/>
    </w:r>
    <w:r w:rsidRPr="005F2BED">
      <w:rPr>
        <w:b/>
        <w:sz w:val="18"/>
      </w:rPr>
      <w:instrText xml:space="preserve"> PAGE  \* MERGEFORMAT </w:instrText>
    </w:r>
    <w:r w:rsidRPr="005F2BED">
      <w:rPr>
        <w:b/>
        <w:sz w:val="18"/>
      </w:rPr>
      <w:fldChar w:fldCharType="separate"/>
    </w:r>
    <w:r w:rsidRPr="005F2BED">
      <w:rPr>
        <w:b/>
        <w:noProof/>
        <w:sz w:val="18"/>
      </w:rPr>
      <w:t>2</w:t>
    </w:r>
    <w:r w:rsidRPr="005F2BED">
      <w:rPr>
        <w:b/>
        <w:sz w:val="18"/>
      </w:rPr>
      <w:fldChar w:fldCharType="end"/>
    </w:r>
    <w:r>
      <w:rPr>
        <w:b/>
        <w:sz w:val="18"/>
      </w:rPr>
      <w:tab/>
    </w:r>
    <w:r>
      <w:t>GE.20-11594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E0D76" w14:textId="77777777" w:rsidR="005F2BED" w:rsidRPr="005F2BED" w:rsidRDefault="005F2BED" w:rsidP="005F2BED">
    <w:pPr>
      <w:pStyle w:val="Footer"/>
      <w:tabs>
        <w:tab w:val="right" w:pos="9638"/>
      </w:tabs>
      <w:rPr>
        <w:b/>
        <w:sz w:val="18"/>
      </w:rPr>
    </w:pPr>
    <w:r>
      <w:t>GE.20-11594</w:t>
    </w:r>
    <w:r>
      <w:tab/>
    </w:r>
    <w:r w:rsidRPr="005F2BED">
      <w:rPr>
        <w:b/>
        <w:sz w:val="18"/>
      </w:rPr>
      <w:fldChar w:fldCharType="begin"/>
    </w:r>
    <w:r w:rsidRPr="005F2BED">
      <w:rPr>
        <w:b/>
        <w:sz w:val="18"/>
      </w:rPr>
      <w:instrText xml:space="preserve"> PAGE  \* MERGEFORMAT </w:instrText>
    </w:r>
    <w:r w:rsidRPr="005F2BED">
      <w:rPr>
        <w:b/>
        <w:sz w:val="18"/>
      </w:rPr>
      <w:fldChar w:fldCharType="separate"/>
    </w:r>
    <w:r w:rsidRPr="005F2BED">
      <w:rPr>
        <w:b/>
        <w:noProof/>
        <w:sz w:val="18"/>
      </w:rPr>
      <w:t>3</w:t>
    </w:r>
    <w:r w:rsidRPr="005F2BE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0EFD9" w14:textId="77777777" w:rsidR="0068456F" w:rsidRPr="005F2BED" w:rsidRDefault="005F2BED" w:rsidP="005F2BED">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7A7D4539" wp14:editId="32D5894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20-11594</w:t>
    </w:r>
    <w:r w:rsidR="0026292B">
      <w:rPr>
        <w:sz w:val="20"/>
      </w:rPr>
      <w:t xml:space="preserve"> </w:t>
    </w:r>
    <w:r w:rsidR="00D77BBE">
      <w:rPr>
        <w:sz w:val="20"/>
      </w:rPr>
      <w:t xml:space="preserve"> </w:t>
    </w:r>
    <w:r>
      <w:rPr>
        <w:sz w:val="20"/>
      </w:rPr>
      <w:t>(F)</w:t>
    </w:r>
    <w:r w:rsidR="0026292B">
      <w:rPr>
        <w:sz w:val="20"/>
      </w:rPr>
      <w:t xml:space="preserve">   </w:t>
    </w:r>
    <w:r w:rsidR="00D77BBE">
      <w:rPr>
        <w:sz w:val="20"/>
      </w:rPr>
      <w:t xml:space="preserve"> </w:t>
    </w:r>
    <w:r>
      <w:rPr>
        <w:sz w:val="20"/>
      </w:rPr>
      <w:t>231120</w:t>
    </w:r>
    <w:r w:rsidR="00D77BBE">
      <w:rPr>
        <w:sz w:val="20"/>
      </w:rPr>
      <w:t xml:space="preserve"> </w:t>
    </w:r>
    <w:r w:rsidR="0026292B">
      <w:rPr>
        <w:sz w:val="20"/>
      </w:rPr>
      <w:t xml:space="preserve">   </w:t>
    </w:r>
    <w:r>
      <w:rPr>
        <w:sz w:val="20"/>
      </w:rPr>
      <w:t>231120</w:t>
    </w:r>
    <w:r>
      <w:rPr>
        <w:sz w:val="20"/>
      </w:rPr>
      <w:br/>
    </w:r>
    <w:r w:rsidRPr="005F2BED">
      <w:rPr>
        <w:rFonts w:ascii="C39T30Lfz" w:hAnsi="C39T30Lfz"/>
        <w:sz w:val="56"/>
      </w:rPr>
      <w:t>*2011594*</w:t>
    </w:r>
    <w:r>
      <w:rPr>
        <w:noProof/>
        <w:sz w:val="20"/>
      </w:rPr>
      <w:drawing>
        <wp:anchor distT="0" distB="0" distL="114300" distR="114300" simplePos="0" relativeHeight="251658240" behindDoc="0" locked="0" layoutInCell="1" allowOverlap="1" wp14:anchorId="44FF4BAB" wp14:editId="1106BCC9">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2E8AB" w14:textId="77777777" w:rsidR="0096468F" w:rsidRPr="00AC3823" w:rsidRDefault="0096468F" w:rsidP="00AC3823">
      <w:pPr>
        <w:pStyle w:val="Footer"/>
        <w:tabs>
          <w:tab w:val="right" w:pos="2155"/>
        </w:tabs>
        <w:spacing w:after="80" w:line="240" w:lineRule="atLeast"/>
        <w:ind w:left="680"/>
        <w:rPr>
          <w:u w:val="single"/>
        </w:rPr>
      </w:pPr>
      <w:r>
        <w:rPr>
          <w:u w:val="single"/>
        </w:rPr>
        <w:tab/>
      </w:r>
    </w:p>
  </w:footnote>
  <w:footnote w:type="continuationSeparator" w:id="0">
    <w:p w14:paraId="15324E92" w14:textId="77777777" w:rsidR="0096468F" w:rsidRPr="00AC3823" w:rsidRDefault="0096468F" w:rsidP="00AC3823">
      <w:pPr>
        <w:pStyle w:val="Footer"/>
        <w:tabs>
          <w:tab w:val="right" w:pos="2155"/>
        </w:tabs>
        <w:spacing w:after="80" w:line="240" w:lineRule="atLeast"/>
        <w:ind w:left="680"/>
        <w:rPr>
          <w:u w:val="single"/>
        </w:rPr>
      </w:pPr>
      <w:r>
        <w:rPr>
          <w:u w:val="single"/>
        </w:rPr>
        <w:tab/>
      </w:r>
    </w:p>
  </w:footnote>
  <w:footnote w:type="continuationNotice" w:id="1">
    <w:p w14:paraId="16978F45" w14:textId="77777777" w:rsidR="0096468F" w:rsidRPr="00AC3823" w:rsidRDefault="0096468F">
      <w:pPr>
        <w:spacing w:line="240" w:lineRule="auto"/>
        <w:rPr>
          <w:sz w:val="2"/>
          <w:szCs w:val="2"/>
        </w:rPr>
      </w:pPr>
    </w:p>
  </w:footnote>
  <w:footnote w:id="2">
    <w:p w14:paraId="4A852071" w14:textId="77777777" w:rsidR="00D77BBE" w:rsidRPr="00E272F8" w:rsidRDefault="00D77BBE" w:rsidP="00D77BBE">
      <w:pPr>
        <w:pStyle w:val="FootnoteText"/>
      </w:pPr>
      <w:r>
        <w:rPr>
          <w:rStyle w:val="FootnoteReference"/>
        </w:rPr>
        <w:tab/>
      </w:r>
      <w:r w:rsidRPr="00E272F8">
        <w:rPr>
          <w:rStyle w:val="FootnoteReference"/>
          <w:sz w:val="20"/>
          <w:vertAlign w:val="baseline"/>
        </w:rPr>
        <w:t>*</w:t>
      </w:r>
      <w:r>
        <w:rPr>
          <w:rStyle w:val="FootnoteReference"/>
          <w:sz w:val="20"/>
          <w:vertAlign w:val="baseline"/>
        </w:rPr>
        <w:tab/>
      </w:r>
      <w:bookmarkStart w:id="1" w:name="_Hlk53393949"/>
      <w:r w:rsidRPr="00E272F8">
        <w:rPr>
          <w:lang w:val="fr-FR"/>
        </w:rPr>
        <w:t>Sous-programme 2 du budget-programme pour 2020 (A/74/6 (Sect.</w:t>
      </w:r>
      <w:r w:rsidR="00657A24">
        <w:rPr>
          <w:lang w:val="fr-FR"/>
        </w:rPr>
        <w:t> </w:t>
      </w:r>
      <w:r w:rsidRPr="00E272F8">
        <w:rPr>
          <w:lang w:val="fr-FR"/>
        </w:rPr>
        <w:t>20)) et informations complémentaires.</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90E10" w14:textId="77777777" w:rsidR="005F2BED" w:rsidRPr="005F2BED" w:rsidRDefault="001B70DF">
    <w:pPr>
      <w:pStyle w:val="Header"/>
    </w:pPr>
    <w:r>
      <w:fldChar w:fldCharType="begin"/>
    </w:r>
    <w:r>
      <w:instrText xml:space="preserve"> TITLE  \* MERGEFORMAT </w:instrText>
    </w:r>
    <w:r>
      <w:fldChar w:fldCharType="separate"/>
    </w:r>
    <w:r w:rsidR="005F2BED">
      <w:t>ST/SG/AC.10/C.3/2020/24/Rev.1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A56EB" w14:textId="77777777" w:rsidR="005F2BED" w:rsidRPr="005F2BED" w:rsidRDefault="001B70DF" w:rsidP="005F2BED">
    <w:pPr>
      <w:pStyle w:val="Header"/>
      <w:jc w:val="right"/>
    </w:pPr>
    <w:r>
      <w:fldChar w:fldCharType="begin"/>
    </w:r>
    <w:r>
      <w:instrText xml:space="preserve"> TITLE  \* MERGEFORMAT </w:instrText>
    </w:r>
    <w:r>
      <w:fldChar w:fldCharType="separate"/>
    </w:r>
    <w:r w:rsidR="005F2BED">
      <w:t>ST/SG/AC.10/C.3/2020/24/Rev.1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68F"/>
    <w:rsid w:val="00017F94"/>
    <w:rsid w:val="00023842"/>
    <w:rsid w:val="000305D3"/>
    <w:rsid w:val="000334F9"/>
    <w:rsid w:val="0007796D"/>
    <w:rsid w:val="000B7790"/>
    <w:rsid w:val="00111F2F"/>
    <w:rsid w:val="00132EA9"/>
    <w:rsid w:val="0014365E"/>
    <w:rsid w:val="00176178"/>
    <w:rsid w:val="001B70DF"/>
    <w:rsid w:val="001F525A"/>
    <w:rsid w:val="00223272"/>
    <w:rsid w:val="0024779E"/>
    <w:rsid w:val="0026292B"/>
    <w:rsid w:val="00283190"/>
    <w:rsid w:val="002832AC"/>
    <w:rsid w:val="002D7C93"/>
    <w:rsid w:val="00441C3B"/>
    <w:rsid w:val="00446FE5"/>
    <w:rsid w:val="00452396"/>
    <w:rsid w:val="004E468C"/>
    <w:rsid w:val="005505B7"/>
    <w:rsid w:val="00573BE5"/>
    <w:rsid w:val="00584DC4"/>
    <w:rsid w:val="00586ED3"/>
    <w:rsid w:val="00596AA9"/>
    <w:rsid w:val="005F2BED"/>
    <w:rsid w:val="00657A24"/>
    <w:rsid w:val="0068456F"/>
    <w:rsid w:val="0071601D"/>
    <w:rsid w:val="007A62E6"/>
    <w:rsid w:val="0080684C"/>
    <w:rsid w:val="00861938"/>
    <w:rsid w:val="00871C75"/>
    <w:rsid w:val="008776DC"/>
    <w:rsid w:val="008B40CD"/>
    <w:rsid w:val="0096468F"/>
    <w:rsid w:val="009705C8"/>
    <w:rsid w:val="009C1CF4"/>
    <w:rsid w:val="00A30353"/>
    <w:rsid w:val="00AC3823"/>
    <w:rsid w:val="00AE323C"/>
    <w:rsid w:val="00B00181"/>
    <w:rsid w:val="00B00B0D"/>
    <w:rsid w:val="00B37557"/>
    <w:rsid w:val="00B765F7"/>
    <w:rsid w:val="00BA0CA9"/>
    <w:rsid w:val="00C02897"/>
    <w:rsid w:val="00D3439C"/>
    <w:rsid w:val="00D77BBE"/>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07316E"/>
  <w15:docId w15:val="{A48BDA53-513F-4CFC-BF3B-6581E61F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paragraph" w:styleId="ListParagraph">
    <w:name w:val="List Paragraph"/>
    <w:basedOn w:val="Normal"/>
    <w:uiPriority w:val="34"/>
    <w:qFormat/>
    <w:rsid w:val="00D77BBE"/>
    <w:pPr>
      <w:suppressAutoHyphens w:val="0"/>
      <w:kinsoku/>
      <w:overflowPunct/>
      <w:autoSpaceDE/>
      <w:autoSpaceDN/>
      <w:adjustRightInd/>
      <w:snapToGrid/>
      <w:spacing w:line="240" w:lineRule="auto"/>
      <w:ind w:left="720"/>
      <w:jc w:val="both"/>
    </w:pPr>
    <w:rPr>
      <w:rFonts w:eastAsia="Times New Roman"/>
      <w:sz w:val="24"/>
      <w:szCs w:val="24"/>
      <w:lang w:val="en-US"/>
    </w:rPr>
  </w:style>
  <w:style w:type="character" w:customStyle="1" w:styleId="HChGChar">
    <w:name w:val="_ H _Ch_G Char"/>
    <w:link w:val="HChG"/>
    <w:locked/>
    <w:rsid w:val="00D77BBE"/>
    <w:rPr>
      <w:rFonts w:ascii="Times New Roman" w:eastAsiaTheme="minorHAnsi" w:hAnsi="Times New Roman" w:cs="Times New Roman"/>
      <w:b/>
      <w:sz w:val="28"/>
      <w:szCs w:val="20"/>
      <w:lang w:eastAsia="en-US"/>
    </w:rPr>
  </w:style>
  <w:style w:type="character" w:customStyle="1" w:styleId="H1GChar">
    <w:name w:val="_ H_1_G Char"/>
    <w:link w:val="H1G"/>
    <w:locked/>
    <w:rsid w:val="00D77BBE"/>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locked/>
    <w:rsid w:val="00D77BBE"/>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ogle.be/url?sa=i&amp;url=https%3A%2F%2Fwww.carlroth.com%2Fcom%2Fen%2Fwaste-disposal-containers%2Fneedle-collector-kontamed-chen%2Fp%2Fha52.1&amp;psig=AOvVaw2tzde824ylWyDFgAwZIAl9&amp;ust=1585824837067000&amp;source=images&amp;cd=vfe&amp;ved=0CAIQjRxqFwoTCIDsrIeIx-gCFQAAAAAdAAAAABAD"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cid:image001.jpg@01D5F7B6.187F6B9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D687E4-44CC-4FB2-BB6A-E2D1B6B6F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56695E-3AEB-47D7-B7AD-6DDBFBC2F231}">
  <ds:schemaRefs>
    <ds:schemaRef ds:uri="http://schemas.microsoft.com/sharepoint/v3/contenttype/forms"/>
  </ds:schemaRefs>
</ds:datastoreItem>
</file>

<file path=customXml/itemProps3.xml><?xml version="1.0" encoding="utf-8"?>
<ds:datastoreItem xmlns:ds="http://schemas.openxmlformats.org/officeDocument/2006/customXml" ds:itemID="{317D1DF0-4390-4DF1-82F9-2697069F5E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ST/SG/AC.10/C.3/2020/24/Rev.1</vt:lpstr>
    </vt:vector>
  </TitlesOfParts>
  <Company>DCM</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ST/SG/AC.10/C.3/2020/24/Rev.1</dc:title>
  <dc:subject/>
  <dc:creator>Nicolas MORIN</dc:creator>
  <cp:keywords/>
  <cp:lastModifiedBy>Laurence Berthet</cp:lastModifiedBy>
  <cp:revision>2</cp:revision>
  <cp:lastPrinted>2014-05-14T10:59:00Z</cp:lastPrinted>
  <dcterms:created xsi:type="dcterms:W3CDTF">2020-11-24T13:23:00Z</dcterms:created>
  <dcterms:modified xsi:type="dcterms:W3CDTF">2020-11-24T13:23:00Z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