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4858F5"/>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D05DE0" w:rsidRDefault="00D05DE0" w:rsidP="00D05DE0">
            <w:pPr>
              <w:suppressAutoHyphens w:val="0"/>
              <w:jc w:val="right"/>
            </w:pPr>
            <w:r w:rsidRPr="00D05DE0">
              <w:rPr>
                <w:sz w:val="40"/>
              </w:rPr>
              <w:t>ST</w:t>
            </w:r>
            <w:r>
              <w:t>/SG/AC.10/C.3/2020/23−</w:t>
            </w:r>
            <w:r w:rsidRPr="00D05DE0">
              <w:rPr>
                <w:sz w:val="40"/>
              </w:rPr>
              <w:t>ST</w:t>
            </w:r>
            <w:r>
              <w:t>/SG/AC.10/C.4/2020/8</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val="fr-CH" w:eastAsia="fr-CH"/>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D05DE0" w:rsidP="00D05DE0">
            <w:pPr>
              <w:suppressAutoHyphens w:val="0"/>
              <w:spacing w:before="240" w:line="240" w:lineRule="exact"/>
            </w:pPr>
            <w:r>
              <w:t>Distr.: General</w:t>
            </w:r>
          </w:p>
          <w:p w:rsidR="00D05DE0" w:rsidRDefault="00BB6949" w:rsidP="00D05DE0">
            <w:pPr>
              <w:suppressAutoHyphens w:val="0"/>
              <w:spacing w:line="240" w:lineRule="exact"/>
            </w:pPr>
            <w:r>
              <w:t>7</w:t>
            </w:r>
            <w:r w:rsidR="00D05DE0">
              <w:t xml:space="preserve"> April 2020</w:t>
            </w:r>
          </w:p>
          <w:p w:rsidR="00D05DE0" w:rsidRDefault="00D05DE0" w:rsidP="00D05DE0">
            <w:pPr>
              <w:suppressAutoHyphens w:val="0"/>
              <w:spacing w:line="240" w:lineRule="exact"/>
            </w:pPr>
          </w:p>
          <w:p w:rsidR="00D05DE0" w:rsidRDefault="00D05DE0" w:rsidP="00D05DE0">
            <w:pPr>
              <w:suppressAutoHyphens w:val="0"/>
              <w:spacing w:line="240" w:lineRule="exact"/>
            </w:pPr>
            <w:r>
              <w:t>Original: English</w:t>
            </w:r>
          </w:p>
        </w:tc>
      </w:tr>
    </w:tbl>
    <w:p w:rsidR="007C4CB0" w:rsidRPr="006500BA" w:rsidRDefault="007C4CB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7C4CB0" w:rsidRPr="00302456" w:rsidTr="007C4CB0">
        <w:tc>
          <w:tcPr>
            <w:tcW w:w="4593" w:type="dxa"/>
            <w:shd w:val="clear" w:color="auto" w:fill="auto"/>
          </w:tcPr>
          <w:p w:rsidR="007C4CB0" w:rsidRPr="00302456" w:rsidRDefault="007C4CB0" w:rsidP="007736FC">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rsidR="007C4CB0" w:rsidRPr="00302456" w:rsidRDefault="007C4CB0" w:rsidP="007736FC">
            <w:pPr>
              <w:spacing w:before="120"/>
              <w:rPr>
                <w:b/>
              </w:rPr>
            </w:pPr>
            <w:r w:rsidRPr="00302456">
              <w:rPr>
                <w:b/>
              </w:rPr>
              <w:t xml:space="preserve">Sub-Committee of Experts on the Globally Harmonized System of Classification and Labelling of Chemicals </w:t>
            </w:r>
          </w:p>
        </w:tc>
      </w:tr>
      <w:tr w:rsidR="007C4CB0" w:rsidRPr="00302456" w:rsidTr="007C4CB0">
        <w:tc>
          <w:tcPr>
            <w:tcW w:w="4593" w:type="dxa"/>
            <w:shd w:val="clear" w:color="auto" w:fill="auto"/>
          </w:tcPr>
          <w:p w:rsidR="007C4CB0" w:rsidRPr="00302456" w:rsidRDefault="007C4CB0" w:rsidP="007736FC">
            <w:pPr>
              <w:spacing w:before="120"/>
              <w:rPr>
                <w:b/>
              </w:rPr>
            </w:pPr>
            <w:r>
              <w:rPr>
                <w:b/>
              </w:rPr>
              <w:t>Fifty-seventh</w:t>
            </w:r>
            <w:r w:rsidRPr="00302456">
              <w:rPr>
                <w:b/>
              </w:rPr>
              <w:t xml:space="preserve"> session</w:t>
            </w:r>
          </w:p>
        </w:tc>
        <w:tc>
          <w:tcPr>
            <w:tcW w:w="5046" w:type="dxa"/>
            <w:shd w:val="clear" w:color="auto" w:fill="auto"/>
          </w:tcPr>
          <w:p w:rsidR="007C4CB0" w:rsidRPr="00302456" w:rsidRDefault="007C4CB0" w:rsidP="007736FC">
            <w:pPr>
              <w:spacing w:before="120"/>
              <w:rPr>
                <w:b/>
              </w:rPr>
            </w:pPr>
            <w:r>
              <w:rPr>
                <w:b/>
              </w:rPr>
              <w:t>Thirty-</w:t>
            </w:r>
            <w:bookmarkStart w:id="0" w:name="_GoBack"/>
            <w:bookmarkEnd w:id="0"/>
            <w:r>
              <w:rPr>
                <w:b/>
              </w:rPr>
              <w:t>ninth</w:t>
            </w:r>
            <w:r w:rsidRPr="00302456">
              <w:rPr>
                <w:b/>
              </w:rPr>
              <w:t xml:space="preserve"> session</w:t>
            </w:r>
          </w:p>
        </w:tc>
      </w:tr>
      <w:tr w:rsidR="007C4CB0" w:rsidRPr="00302456" w:rsidTr="007C4CB0">
        <w:tc>
          <w:tcPr>
            <w:tcW w:w="4593" w:type="dxa"/>
            <w:shd w:val="clear" w:color="auto" w:fill="auto"/>
          </w:tcPr>
          <w:p w:rsidR="007C4CB0" w:rsidRPr="00302456" w:rsidRDefault="007C4CB0" w:rsidP="007736FC">
            <w:pPr>
              <w:rPr>
                <w:b/>
              </w:rPr>
            </w:pPr>
            <w:r>
              <w:t xml:space="preserve">Geneva, </w:t>
            </w:r>
            <w:r>
              <w:rPr>
                <w:lang w:val="fr-FR"/>
              </w:rPr>
              <w:t>29 June-8 July 2020</w:t>
            </w:r>
            <w:r>
              <w:t xml:space="preserve"> </w:t>
            </w:r>
          </w:p>
        </w:tc>
        <w:tc>
          <w:tcPr>
            <w:tcW w:w="5046" w:type="dxa"/>
            <w:shd w:val="clear" w:color="auto" w:fill="auto"/>
          </w:tcPr>
          <w:p w:rsidR="007C4CB0" w:rsidRPr="00302456" w:rsidRDefault="007C4CB0" w:rsidP="007736FC">
            <w:pPr>
              <w:rPr>
                <w:b/>
              </w:rPr>
            </w:pPr>
            <w:r>
              <w:t xml:space="preserve">Geneva, </w:t>
            </w:r>
            <w:r>
              <w:rPr>
                <w:lang w:val="fr-FR"/>
              </w:rPr>
              <w:t>8-10 July 2020</w:t>
            </w:r>
          </w:p>
        </w:tc>
      </w:tr>
      <w:tr w:rsidR="007C4CB0" w:rsidRPr="00302456" w:rsidTr="007C4CB0">
        <w:tc>
          <w:tcPr>
            <w:tcW w:w="4593" w:type="dxa"/>
            <w:shd w:val="clear" w:color="auto" w:fill="auto"/>
          </w:tcPr>
          <w:p w:rsidR="007C4CB0" w:rsidRDefault="007C4CB0" w:rsidP="007736FC">
            <w:r w:rsidRPr="006500BA">
              <w:t xml:space="preserve">Item </w:t>
            </w:r>
            <w:r>
              <w:t>10 (</w:t>
            </w:r>
            <w:r w:rsidR="00431037">
              <w:t>a</w:t>
            </w:r>
            <w:r>
              <w:t>)</w:t>
            </w:r>
            <w:r w:rsidRPr="006500BA">
              <w:t xml:space="preserve"> of the provisional agenda</w:t>
            </w:r>
          </w:p>
        </w:tc>
        <w:tc>
          <w:tcPr>
            <w:tcW w:w="5046" w:type="dxa"/>
            <w:shd w:val="clear" w:color="auto" w:fill="auto"/>
          </w:tcPr>
          <w:p w:rsidR="007C4CB0" w:rsidRDefault="007C4CB0" w:rsidP="007736FC">
            <w:r w:rsidRPr="006500BA">
              <w:t xml:space="preserve">Item </w:t>
            </w:r>
            <w:r>
              <w:t>2 (b)</w:t>
            </w:r>
            <w:r w:rsidRPr="006500BA">
              <w:t xml:space="preserve"> of the provisional agenda</w:t>
            </w:r>
          </w:p>
        </w:tc>
      </w:tr>
      <w:tr w:rsidR="007C4CB0" w:rsidRPr="00E66746" w:rsidTr="007C4CB0">
        <w:tc>
          <w:tcPr>
            <w:tcW w:w="4593" w:type="dxa"/>
            <w:shd w:val="clear" w:color="auto" w:fill="auto"/>
          </w:tcPr>
          <w:p w:rsidR="007C4CB0" w:rsidRPr="00E66746" w:rsidRDefault="007C4CB0" w:rsidP="007736FC">
            <w:pPr>
              <w:rPr>
                <w:b/>
              </w:rPr>
            </w:pPr>
            <w:r>
              <w:rPr>
                <w:b/>
                <w:lang w:val="fr-FR"/>
              </w:rPr>
              <w:t xml:space="preserve">Issues </w:t>
            </w:r>
            <w:proofErr w:type="spellStart"/>
            <w:r>
              <w:rPr>
                <w:b/>
                <w:lang w:val="fr-FR"/>
              </w:rPr>
              <w:t>relating</w:t>
            </w:r>
            <w:proofErr w:type="spellEnd"/>
            <w:r>
              <w:rPr>
                <w:b/>
                <w:lang w:val="fr-FR"/>
              </w:rPr>
              <w:t xml:space="preserve"> to the </w:t>
            </w:r>
            <w:proofErr w:type="spellStart"/>
            <w:r>
              <w:rPr>
                <w:b/>
                <w:lang w:val="fr-FR"/>
              </w:rPr>
              <w:t>Globally</w:t>
            </w:r>
            <w:proofErr w:type="spellEnd"/>
            <w:r>
              <w:rPr>
                <w:b/>
                <w:lang w:val="fr-FR"/>
              </w:rPr>
              <w:t xml:space="preserve"> </w:t>
            </w:r>
            <w:proofErr w:type="spellStart"/>
            <w:r>
              <w:rPr>
                <w:b/>
                <w:lang w:val="fr-FR"/>
              </w:rPr>
              <w:t>Harmonized</w:t>
            </w:r>
            <w:proofErr w:type="spellEnd"/>
            <w:r>
              <w:rPr>
                <w:b/>
                <w:lang w:val="fr-FR"/>
              </w:rPr>
              <w:t xml:space="preserve"> System </w:t>
            </w:r>
            <w:r>
              <w:rPr>
                <w:b/>
                <w:lang w:val="fr-FR"/>
              </w:rPr>
              <w:br/>
              <w:t xml:space="preserve">of Classification and Labelling of </w:t>
            </w:r>
            <w:proofErr w:type="gramStart"/>
            <w:r>
              <w:rPr>
                <w:b/>
                <w:lang w:val="fr-FR"/>
              </w:rPr>
              <w:t>Chemicals:</w:t>
            </w:r>
            <w:proofErr w:type="gramEnd"/>
            <w:r>
              <w:rPr>
                <w:b/>
                <w:lang w:val="fr-FR"/>
              </w:rPr>
              <w:t xml:space="preserve"> </w:t>
            </w:r>
            <w:r>
              <w:rPr>
                <w:b/>
                <w:lang w:val="fr-FR"/>
              </w:rPr>
              <w:br/>
            </w:r>
            <w:proofErr w:type="spellStart"/>
            <w:r>
              <w:rPr>
                <w:b/>
                <w:lang w:val="fr-FR"/>
              </w:rPr>
              <w:t>review</w:t>
            </w:r>
            <w:proofErr w:type="spellEnd"/>
            <w:r>
              <w:rPr>
                <w:b/>
                <w:lang w:val="fr-FR"/>
              </w:rPr>
              <w:t xml:space="preserve"> of </w:t>
            </w:r>
            <w:proofErr w:type="spellStart"/>
            <w:r>
              <w:rPr>
                <w:b/>
                <w:lang w:val="fr-FR"/>
              </w:rPr>
              <w:t>Chapter</w:t>
            </w:r>
            <w:proofErr w:type="spellEnd"/>
            <w:r>
              <w:rPr>
                <w:b/>
                <w:lang w:val="fr-FR"/>
              </w:rPr>
              <w:t xml:space="preserve"> 2.1</w:t>
            </w:r>
          </w:p>
        </w:tc>
        <w:tc>
          <w:tcPr>
            <w:tcW w:w="5046" w:type="dxa"/>
            <w:shd w:val="clear" w:color="auto" w:fill="auto"/>
          </w:tcPr>
          <w:p w:rsidR="007C4CB0" w:rsidRPr="00E66746" w:rsidRDefault="007C4CB0" w:rsidP="007736FC">
            <w:pPr>
              <w:rPr>
                <w:b/>
              </w:rPr>
            </w:pPr>
            <w:r>
              <w:rPr>
                <w:b/>
                <w:lang w:val="fr-FR"/>
              </w:rPr>
              <w:t xml:space="preserve">Classification </w:t>
            </w:r>
            <w:proofErr w:type="spellStart"/>
            <w:r>
              <w:rPr>
                <w:b/>
                <w:lang w:val="fr-FR"/>
              </w:rPr>
              <w:t>criteria</w:t>
            </w:r>
            <w:proofErr w:type="spellEnd"/>
            <w:r>
              <w:rPr>
                <w:b/>
                <w:lang w:val="fr-FR"/>
              </w:rPr>
              <w:t xml:space="preserve"> and </w:t>
            </w:r>
            <w:proofErr w:type="spellStart"/>
            <w:r>
              <w:rPr>
                <w:b/>
                <w:lang w:val="fr-FR"/>
              </w:rPr>
              <w:t>related</w:t>
            </w:r>
            <w:proofErr w:type="spellEnd"/>
            <w:r>
              <w:rPr>
                <w:b/>
                <w:lang w:val="fr-FR"/>
              </w:rPr>
              <w:t xml:space="preserve"> </w:t>
            </w:r>
            <w:proofErr w:type="spellStart"/>
            <w:r>
              <w:rPr>
                <w:b/>
                <w:lang w:val="fr-FR"/>
              </w:rPr>
              <w:t>hazard</w:t>
            </w:r>
            <w:proofErr w:type="spellEnd"/>
            <w:r>
              <w:rPr>
                <w:b/>
                <w:lang w:val="fr-FR"/>
              </w:rPr>
              <w:t xml:space="preserve"> </w:t>
            </w:r>
            <w:proofErr w:type="gramStart"/>
            <w:r>
              <w:rPr>
                <w:b/>
                <w:lang w:val="fr-FR"/>
              </w:rPr>
              <w:t>communication:</w:t>
            </w:r>
            <w:proofErr w:type="gramEnd"/>
            <w:r>
              <w:rPr>
                <w:b/>
                <w:lang w:val="fr-FR"/>
              </w:rPr>
              <w:t xml:space="preserve"> </w:t>
            </w:r>
            <w:proofErr w:type="spellStart"/>
            <w:r>
              <w:rPr>
                <w:b/>
                <w:lang w:val="fr-FR"/>
              </w:rPr>
              <w:t>review</w:t>
            </w:r>
            <w:proofErr w:type="spellEnd"/>
            <w:r>
              <w:rPr>
                <w:b/>
                <w:lang w:val="fr-FR"/>
              </w:rPr>
              <w:t xml:space="preserve"> of </w:t>
            </w:r>
            <w:proofErr w:type="spellStart"/>
            <w:r>
              <w:rPr>
                <w:b/>
                <w:lang w:val="fr-FR"/>
              </w:rPr>
              <w:t>Chapter</w:t>
            </w:r>
            <w:proofErr w:type="spellEnd"/>
            <w:r>
              <w:rPr>
                <w:b/>
                <w:lang w:val="fr-FR"/>
              </w:rPr>
              <w:t xml:space="preserve"> 2.1</w:t>
            </w:r>
          </w:p>
        </w:tc>
      </w:tr>
    </w:tbl>
    <w:p w:rsidR="007C4CB0" w:rsidRDefault="007C4CB0" w:rsidP="007C4CB0">
      <w:pPr>
        <w:pStyle w:val="HChG"/>
      </w:pPr>
      <w:r>
        <w:tab/>
      </w:r>
      <w:r>
        <w:tab/>
        <w:t xml:space="preserve">Allocation of </w:t>
      </w:r>
      <w:r w:rsidR="00323AA4">
        <w:t xml:space="preserve">precautionary </w:t>
      </w:r>
      <w:r>
        <w:t>statements for the new Chapter 2.1</w:t>
      </w:r>
    </w:p>
    <w:p w:rsidR="007C4CB0" w:rsidRPr="0077101B" w:rsidRDefault="007C4CB0" w:rsidP="007C4CB0">
      <w:pPr>
        <w:pStyle w:val="H1G"/>
      </w:pPr>
      <w:r>
        <w:tab/>
      </w:r>
      <w:r>
        <w:tab/>
        <w:t xml:space="preserve">Transmitted by the expert from Sweden on behalf of the </w:t>
      </w:r>
      <w:r w:rsidR="00323AA4">
        <w:t xml:space="preserve">informal correspondence group </w:t>
      </w:r>
      <w:r>
        <w:t xml:space="preserve">on the </w:t>
      </w:r>
      <w:r w:rsidR="00323AA4">
        <w:t xml:space="preserve">review </w:t>
      </w:r>
      <w:r>
        <w:t>of Chapter 2.1</w:t>
      </w:r>
      <w:r w:rsidRPr="007C4CB0">
        <w:rPr>
          <w:rStyle w:val="FootnoteReference"/>
          <w:sz w:val="20"/>
          <w:vertAlign w:val="baseline"/>
        </w:rPr>
        <w:footnoteReference w:customMarkFollows="1" w:id="2"/>
        <w:t>*</w:t>
      </w:r>
    </w:p>
    <w:p w:rsidR="007C4CB0" w:rsidRDefault="00C84B09" w:rsidP="007C4CB0">
      <w:pPr>
        <w:pStyle w:val="HChG"/>
        <w:rPr>
          <w:sz w:val="24"/>
          <w:szCs w:val="24"/>
        </w:rPr>
      </w:pPr>
      <w:r>
        <w:tab/>
      </w:r>
      <w:r>
        <w:tab/>
      </w:r>
      <w:r w:rsidR="007C4CB0">
        <w:t>Introduction</w:t>
      </w:r>
      <w:r w:rsidR="007C4CB0">
        <w:rPr>
          <w:sz w:val="24"/>
          <w:szCs w:val="24"/>
        </w:rPr>
        <w:t xml:space="preserve"> </w:t>
      </w:r>
    </w:p>
    <w:p w:rsidR="007C4CB0" w:rsidRDefault="007C4CB0" w:rsidP="007C4CB0">
      <w:pPr>
        <w:pStyle w:val="SingleTxtG"/>
      </w:pPr>
      <w:r w:rsidRPr="00C84B09">
        <w:t>1.</w:t>
      </w:r>
      <w:r w:rsidRPr="00C84B09">
        <w:tab/>
        <w:t xml:space="preserve">In </w:t>
      </w:r>
      <w:r w:rsidRPr="00BB6949">
        <w:t xml:space="preserve">document </w:t>
      </w:r>
      <w:r w:rsidR="00142E2E" w:rsidRPr="00C84B09">
        <w:t>ST/SG/AC.10/C.3/2020/20-ST/SG/AC.10/C.4/2020/5</w:t>
      </w:r>
      <w:r w:rsidRPr="00C84B09">
        <w:t xml:space="preserve">, a new Chapter 2.1 for the GHS is proposed. </w:t>
      </w:r>
      <w:proofErr w:type="gramStart"/>
      <w:r w:rsidRPr="00C84B09">
        <w:t>As a consequence of</w:t>
      </w:r>
      <w:proofErr w:type="gramEnd"/>
      <w:r w:rsidRPr="00C84B09">
        <w:t xml:space="preserve"> the new classification system suggested therein, the precautionary statements (P</w:t>
      </w:r>
      <w:r w:rsidR="00142E2E" w:rsidRPr="00C84B09">
        <w:t xml:space="preserve"> </w:t>
      </w:r>
      <w:r w:rsidRPr="00C84B09">
        <w:t>statements) currently used for explosives need to be allocated to the classifications of the new system. This document contains such proposed allocations. Furthermore, a new P statement is also proposed to state the Division for transport on the GHS label.</w:t>
      </w:r>
    </w:p>
    <w:p w:rsidR="007C4CB0" w:rsidRDefault="007C4CB0" w:rsidP="007C4CB0">
      <w:pPr>
        <w:pStyle w:val="SingleTxtG"/>
      </w:pPr>
      <w:r>
        <w:t>2.</w:t>
      </w:r>
      <w:r>
        <w:tab/>
        <w:t xml:space="preserve">Like the new Chapter </w:t>
      </w:r>
      <w:proofErr w:type="gramStart"/>
      <w:r>
        <w:t>2.1 as a whole, also</w:t>
      </w:r>
      <w:proofErr w:type="gramEnd"/>
      <w:r>
        <w:t xml:space="preserve"> the proposals for P statements contained in this document are the outcome of discussions in the Informal Correspondence Group (ICG) on the review of GHS Chapter 2.1. This document, which was circulated to the group, is therefore submitted on behalf of the ICG.</w:t>
      </w:r>
    </w:p>
    <w:p w:rsidR="007C4CB0" w:rsidRDefault="007C4CB0" w:rsidP="007C4CB0">
      <w:pPr>
        <w:pStyle w:val="SingleTxtG"/>
      </w:pPr>
      <w:r>
        <w:t>3.</w:t>
      </w:r>
      <w:r>
        <w:tab/>
        <w:t>The allocation of P statements, as well as their wording and codification, is provided in Annex</w:t>
      </w:r>
      <w:r w:rsidR="00431037">
        <w:t xml:space="preserve"> 3</w:t>
      </w:r>
      <w:r>
        <w:t xml:space="preserve">, Section 3, of the GHS (Rev.8). As P statements do not occur in the UN Model Regulations or in the Manual of Tests and Criteria, the proposals presented herein have no effect on these. </w:t>
      </w:r>
    </w:p>
    <w:p w:rsidR="007C4CB0" w:rsidRDefault="007C4CB0" w:rsidP="007C4CB0">
      <w:pPr>
        <w:suppressAutoHyphens w:val="0"/>
        <w:kinsoku/>
        <w:overflowPunct/>
        <w:autoSpaceDE/>
        <w:autoSpaceDN/>
        <w:adjustRightInd/>
        <w:snapToGrid/>
        <w:spacing w:after="200" w:line="276" w:lineRule="auto"/>
        <w:rPr>
          <w:b/>
          <w:sz w:val="24"/>
        </w:rPr>
      </w:pPr>
    </w:p>
    <w:p w:rsidR="007C4CB0" w:rsidRDefault="007C4CB0" w:rsidP="007C4CB0">
      <w:pPr>
        <w:pStyle w:val="H1G"/>
      </w:pPr>
      <w:r>
        <w:lastRenderedPageBreak/>
        <w:tab/>
      </w:r>
      <w:r>
        <w:tab/>
        <w:t>General guiding principle</w:t>
      </w:r>
    </w:p>
    <w:p w:rsidR="007C4CB0" w:rsidRDefault="007C4CB0" w:rsidP="007C4CB0">
      <w:pPr>
        <w:pStyle w:val="SingleTxtG"/>
      </w:pPr>
      <w:r>
        <w:t>4.</w:t>
      </w:r>
      <w:r>
        <w:tab/>
        <w:t>As a general guiding principle, the allocation of the existing P statements for explosive to the new classification system proposed herein was done so that it corresponds as closely as possible to the current application. However, some deviations from this general rule were made, for reasons further outlined below.</w:t>
      </w:r>
    </w:p>
    <w:p w:rsidR="007C4CB0" w:rsidRDefault="007C4CB0" w:rsidP="007C4CB0">
      <w:pPr>
        <w:pStyle w:val="SingleTxtG"/>
      </w:pPr>
      <w:r>
        <w:t>5.</w:t>
      </w:r>
      <w:r>
        <w:tab/>
        <w:t>Some members of the ICG had ideas to improve the wording of some of the P statements. In order to keep the timetable as stipulated in the programme of work</w:t>
      </w:r>
      <w:r>
        <w:rPr>
          <w:rStyle w:val="FootnoteReference"/>
        </w:rPr>
        <w:footnoteReference w:id="3"/>
      </w:r>
      <w:r>
        <w:t xml:space="preserve"> this was, however, not done (but could of course be done at a later stage). </w:t>
      </w:r>
      <w:proofErr w:type="gramStart"/>
      <w:r>
        <w:t>Also</w:t>
      </w:r>
      <w:proofErr w:type="gramEnd"/>
      <w:r>
        <w:t xml:space="preserve"> the conditions for use are kept as they are, except for one instance (the </w:t>
      </w:r>
      <w:r w:rsidR="00142E2E">
        <w:t>firefighting</w:t>
      </w:r>
      <w:r>
        <w:t xml:space="preserve"> P</w:t>
      </w:r>
      <w:r w:rsidR="00142E2E">
        <w:t xml:space="preserve"> </w:t>
      </w:r>
      <w:r>
        <w:t>statements) where they are removed because they become superfluous in the new classification system (see paragraph 10 below).</w:t>
      </w:r>
    </w:p>
    <w:p w:rsidR="007C4CB0" w:rsidRDefault="007C4CB0" w:rsidP="007C4CB0">
      <w:pPr>
        <w:pStyle w:val="H1G"/>
      </w:pPr>
      <w:r>
        <w:tab/>
      </w:r>
      <w:r>
        <w:tab/>
        <w:t>A word on Division 1.6</w:t>
      </w:r>
    </w:p>
    <w:p w:rsidR="007C4CB0" w:rsidRDefault="007C4CB0" w:rsidP="007C4CB0">
      <w:pPr>
        <w:pStyle w:val="SingleTxtG"/>
      </w:pPr>
      <w:r>
        <w:t>6.</w:t>
      </w:r>
      <w:r>
        <w:tab/>
        <w:t xml:space="preserve">Explosives assigned to Division 1.6 have no hazard communication elements according to the existing Chapter 2.1 (see Table 2.1.2 in GHS Rev.8). </w:t>
      </w:r>
      <w:proofErr w:type="gramStart"/>
      <w:r>
        <w:t>As a consequence</w:t>
      </w:r>
      <w:proofErr w:type="gramEnd"/>
      <w:r>
        <w:t>, this division also has no P</w:t>
      </w:r>
      <w:r w:rsidR="00142E2E">
        <w:t xml:space="preserve"> </w:t>
      </w:r>
      <w:r>
        <w:t xml:space="preserve">statements assigned to it. In the new Chapter 2.1, explosives assigned to Division 1.6 will be treated in the same way as those assigned to Division 1.1, 1.2, 1.3 and 1.5, which means they will be classified in </w:t>
      </w:r>
      <w:r w:rsidR="00142E2E">
        <w:t>s</w:t>
      </w:r>
      <w:r>
        <w:t>ub-category 2A. Consequently, the P</w:t>
      </w:r>
      <w:r w:rsidR="00142E2E">
        <w:t xml:space="preserve"> </w:t>
      </w:r>
      <w:r>
        <w:t xml:space="preserve">statements assigned to </w:t>
      </w:r>
      <w:r w:rsidR="00142E2E">
        <w:t>s</w:t>
      </w:r>
      <w:r>
        <w:t>ub-category 2A according to the below will also apply to explosives assigned to Division 1.6.</w:t>
      </w:r>
    </w:p>
    <w:p w:rsidR="007C4CB0" w:rsidRDefault="007C4CB0" w:rsidP="007C4CB0">
      <w:pPr>
        <w:pStyle w:val="H1G"/>
      </w:pPr>
      <w:r>
        <w:tab/>
      </w:r>
      <w:r>
        <w:tab/>
        <w:t>Allocation of existing P</w:t>
      </w:r>
      <w:r w:rsidR="00142E2E">
        <w:t xml:space="preserve"> </w:t>
      </w:r>
      <w:r>
        <w:t xml:space="preserve">statements for </w:t>
      </w:r>
      <w:r w:rsidR="00142E2E">
        <w:t>e</w:t>
      </w:r>
      <w:r>
        <w:t>xplosives</w:t>
      </w:r>
    </w:p>
    <w:p w:rsidR="007C4CB0" w:rsidRDefault="007C4CB0" w:rsidP="007C4CB0">
      <w:pPr>
        <w:pStyle w:val="SingleTxtG"/>
      </w:pPr>
      <w:r>
        <w:t>7.</w:t>
      </w:r>
      <w:r>
        <w:tab/>
        <w:t>The following four P</w:t>
      </w:r>
      <w:r w:rsidR="00142E2E">
        <w:t xml:space="preserve"> </w:t>
      </w:r>
      <w:r>
        <w:t xml:space="preserve">statements are currently applied to all </w:t>
      </w:r>
      <w:proofErr w:type="gramStart"/>
      <w:r>
        <w:t>explosives</w:t>
      </w:r>
      <w:proofErr w:type="gramEnd"/>
      <w:r>
        <w:t xml:space="preserve"> classifications</w:t>
      </w:r>
      <w:r>
        <w:rPr>
          <w:rStyle w:val="FootnoteReference"/>
        </w:rPr>
        <w:footnoteReference w:id="4"/>
      </w:r>
      <w:r>
        <w:t>:</w:t>
      </w:r>
    </w:p>
    <w:p w:rsidR="007C4CB0" w:rsidRDefault="007C4CB0" w:rsidP="007C4CB0">
      <w:pPr>
        <w:pStyle w:val="Bullet1G"/>
        <w:numPr>
          <w:ilvl w:val="0"/>
          <w:numId w:val="14"/>
        </w:numPr>
        <w:kinsoku/>
        <w:overflowPunct/>
        <w:autoSpaceDE/>
        <w:autoSpaceDN/>
        <w:adjustRightInd/>
        <w:snapToGrid/>
      </w:pPr>
      <w:r>
        <w:t>P250 – Do not subject to grinding/shock/ friction/…</w:t>
      </w:r>
    </w:p>
    <w:p w:rsidR="007C4CB0" w:rsidRDefault="007C4CB0" w:rsidP="007C4CB0">
      <w:pPr>
        <w:pStyle w:val="Bullet1G"/>
        <w:numPr>
          <w:ilvl w:val="0"/>
          <w:numId w:val="14"/>
        </w:numPr>
        <w:kinsoku/>
        <w:overflowPunct/>
        <w:autoSpaceDE/>
        <w:autoSpaceDN/>
        <w:adjustRightInd/>
        <w:snapToGrid/>
      </w:pPr>
      <w:r>
        <w:t>P280 – Wear protective gloves/ protective clothing/eye protection/face protection /hearing protection/...</w:t>
      </w:r>
    </w:p>
    <w:p w:rsidR="007C4CB0" w:rsidRDefault="007C4CB0" w:rsidP="007C4CB0">
      <w:pPr>
        <w:pStyle w:val="Bullet1G"/>
        <w:numPr>
          <w:ilvl w:val="0"/>
          <w:numId w:val="14"/>
        </w:numPr>
        <w:kinsoku/>
        <w:overflowPunct/>
        <w:autoSpaceDE/>
        <w:autoSpaceDN/>
        <w:adjustRightInd/>
        <w:snapToGrid/>
      </w:pPr>
      <w:r>
        <w:t>P401 – Store in accordance with…</w:t>
      </w:r>
    </w:p>
    <w:p w:rsidR="007C4CB0" w:rsidRDefault="007C4CB0" w:rsidP="007C4CB0">
      <w:pPr>
        <w:pStyle w:val="Bullet1G"/>
        <w:numPr>
          <w:ilvl w:val="0"/>
          <w:numId w:val="14"/>
        </w:numPr>
        <w:kinsoku/>
        <w:overflowPunct/>
        <w:autoSpaceDE/>
        <w:autoSpaceDN/>
        <w:adjustRightInd/>
        <w:snapToGrid/>
      </w:pPr>
      <w:r>
        <w:t>P503 – Refer to manufacturer/ supplier/… for information on disposal/recovery/ recycling.</w:t>
      </w:r>
    </w:p>
    <w:p w:rsidR="007C4CB0" w:rsidRDefault="00142E2E" w:rsidP="007C4CB0">
      <w:pPr>
        <w:pStyle w:val="SingleTxtG"/>
      </w:pPr>
      <w:r>
        <w:tab/>
      </w:r>
      <w:r>
        <w:tab/>
      </w:r>
      <w:r w:rsidR="007C4CB0">
        <w:t>For these, the proposal is to also apply them to all classifications also in the new Chapter 2.1 classification system, and to keep the existing conditions for use as currently worded.</w:t>
      </w:r>
    </w:p>
    <w:p w:rsidR="007C4CB0" w:rsidRDefault="007C4CB0" w:rsidP="007C4CB0">
      <w:pPr>
        <w:pStyle w:val="SingleTxtG"/>
      </w:pPr>
      <w:r>
        <w:t>8.</w:t>
      </w:r>
      <w:r>
        <w:tab/>
        <w:t>The following three P</w:t>
      </w:r>
      <w:r w:rsidR="00142E2E">
        <w:t xml:space="preserve"> </w:t>
      </w:r>
      <w:r>
        <w:t>statements are currently applied to all classifications</w:t>
      </w:r>
      <w:r>
        <w:rPr>
          <w:rStyle w:val="FootnoteReference"/>
        </w:rPr>
        <w:footnoteReference w:id="5"/>
      </w:r>
      <w:r>
        <w:t xml:space="preserve"> except “unstable explosives”:</w:t>
      </w:r>
    </w:p>
    <w:p w:rsidR="007C4CB0" w:rsidRDefault="007C4CB0" w:rsidP="007C4CB0">
      <w:pPr>
        <w:pStyle w:val="Bullet1G"/>
        <w:numPr>
          <w:ilvl w:val="0"/>
          <w:numId w:val="14"/>
        </w:numPr>
        <w:kinsoku/>
        <w:overflowPunct/>
        <w:autoSpaceDE/>
        <w:autoSpaceDN/>
        <w:adjustRightInd/>
        <w:snapToGrid/>
      </w:pPr>
      <w:r>
        <w:t>P210 – Keep away from heat, hot surfaces, sparks, open flames and other ignition sources. No smoking.</w:t>
      </w:r>
    </w:p>
    <w:p w:rsidR="007C4CB0" w:rsidRDefault="007C4CB0" w:rsidP="007C4CB0">
      <w:pPr>
        <w:pStyle w:val="Bullet1G"/>
        <w:numPr>
          <w:ilvl w:val="0"/>
          <w:numId w:val="14"/>
        </w:numPr>
        <w:kinsoku/>
        <w:overflowPunct/>
        <w:autoSpaceDE/>
        <w:autoSpaceDN/>
        <w:adjustRightInd/>
        <w:snapToGrid/>
      </w:pPr>
      <w:r>
        <w:t>P230 – Keep diluted with ….</w:t>
      </w:r>
    </w:p>
    <w:p w:rsidR="007C4CB0" w:rsidRDefault="007C4CB0" w:rsidP="007C4CB0">
      <w:pPr>
        <w:pStyle w:val="Bullet1G"/>
        <w:numPr>
          <w:ilvl w:val="0"/>
          <w:numId w:val="14"/>
        </w:numPr>
        <w:kinsoku/>
        <w:overflowPunct/>
        <w:autoSpaceDE/>
        <w:autoSpaceDN/>
        <w:adjustRightInd/>
        <w:snapToGrid/>
      </w:pPr>
      <w:r>
        <w:t>P240 – Ground and bond container and receiving equipment.</w:t>
      </w:r>
    </w:p>
    <w:p w:rsidR="007C4CB0" w:rsidRDefault="00142E2E" w:rsidP="00BB6949">
      <w:pPr>
        <w:pStyle w:val="SingleTxtG"/>
        <w:tabs>
          <w:tab w:val="left" w:pos="1701"/>
        </w:tabs>
      </w:pPr>
      <w:r>
        <w:rPr>
          <w:lang w:val="en-US"/>
        </w:rPr>
        <w:tab/>
      </w:r>
      <w:r w:rsidR="007C4CB0">
        <w:rPr>
          <w:lang w:val="en-US"/>
        </w:rPr>
        <w:t xml:space="preserve">The </w:t>
      </w:r>
      <w:r w:rsidR="007C4CB0">
        <w:t>members of the ICG that actively worked on the issue did not understand why these P</w:t>
      </w:r>
      <w:r>
        <w:t xml:space="preserve"> </w:t>
      </w:r>
      <w:r w:rsidR="007C4CB0">
        <w:t>statements should not be applied also to the classification currently termed “unstable explosives”, as they seem highly relevant also for those explosives. As a result, these P</w:t>
      </w:r>
      <w:r>
        <w:t xml:space="preserve"> </w:t>
      </w:r>
      <w:r w:rsidR="007C4CB0">
        <w:t>statements are suggested to be applied to all classifications in the new Chapter 2.1, i.e. also to explosives in Category 1.</w:t>
      </w:r>
    </w:p>
    <w:p w:rsidR="007C4CB0" w:rsidRDefault="007C4CB0" w:rsidP="007C4CB0">
      <w:pPr>
        <w:pStyle w:val="SingleTxtG"/>
      </w:pPr>
      <w:r>
        <w:lastRenderedPageBreak/>
        <w:t>9.</w:t>
      </w:r>
      <w:r>
        <w:tab/>
        <w:t>The following P</w:t>
      </w:r>
      <w:r w:rsidR="00142E2E">
        <w:t xml:space="preserve"> </w:t>
      </w:r>
      <w:r>
        <w:t>statement is currently applied to the classification “unstable explosives” only:</w:t>
      </w:r>
    </w:p>
    <w:p w:rsidR="007C4CB0" w:rsidRDefault="007C4CB0" w:rsidP="007C4CB0">
      <w:pPr>
        <w:pStyle w:val="Bullet1G"/>
        <w:numPr>
          <w:ilvl w:val="0"/>
          <w:numId w:val="14"/>
        </w:numPr>
        <w:kinsoku/>
        <w:overflowPunct/>
        <w:autoSpaceDE/>
        <w:autoSpaceDN/>
        <w:adjustRightInd/>
        <w:snapToGrid/>
      </w:pPr>
      <w:r>
        <w:t>P203 - Obtain, read and follow all safety instructions before use.</w:t>
      </w:r>
    </w:p>
    <w:p w:rsidR="007C4CB0" w:rsidRDefault="00142E2E" w:rsidP="00BB6949">
      <w:pPr>
        <w:pStyle w:val="SingleTxtG"/>
        <w:tabs>
          <w:tab w:val="left" w:pos="1701"/>
        </w:tabs>
      </w:pPr>
      <w:r>
        <w:tab/>
      </w:r>
      <w:r w:rsidR="007C4CB0">
        <w:t xml:space="preserve">Most members of the ICG that worked on this item felt it appropriate to apply this P-statement more widely, as reading and following safety instructions is important in the handling of explosives in general. Therefore, the proposal is to apply P203 to all classifications of the new Chapter 2.1 except </w:t>
      </w:r>
      <w:r w:rsidR="00431037">
        <w:t>s</w:t>
      </w:r>
      <w:r w:rsidR="007C4CB0">
        <w:t xml:space="preserve">ub-category 2C (which represents a low hazard). </w:t>
      </w:r>
    </w:p>
    <w:p w:rsidR="007C4CB0" w:rsidRDefault="007C4CB0" w:rsidP="007C4CB0">
      <w:pPr>
        <w:pStyle w:val="SingleTxtG"/>
      </w:pPr>
      <w:r>
        <w:t>10.</w:t>
      </w:r>
      <w:r>
        <w:tab/>
        <w:t>There are a few P</w:t>
      </w:r>
      <w:r w:rsidR="00142E2E">
        <w:t xml:space="preserve"> </w:t>
      </w:r>
      <w:r>
        <w:t xml:space="preserve">statements that form the two different combinations on </w:t>
      </w:r>
      <w:r w:rsidR="00142E2E">
        <w:t>firefighting</w:t>
      </w:r>
      <w:r>
        <w:t xml:space="preserve"> that are currently applied to explosives:</w:t>
      </w:r>
    </w:p>
    <w:p w:rsidR="007C4CB0" w:rsidRDefault="007C4CB0" w:rsidP="007C4CB0">
      <w:pPr>
        <w:pStyle w:val="Bullet1G"/>
        <w:numPr>
          <w:ilvl w:val="0"/>
          <w:numId w:val="14"/>
        </w:numPr>
        <w:kinsoku/>
        <w:overflowPunct/>
        <w:autoSpaceDE/>
        <w:autoSpaceDN/>
        <w:adjustRightInd/>
        <w:snapToGrid/>
      </w:pPr>
      <w:r>
        <w:t>P370 + P380 + P375 – In case of fire: Evacuate area. Fight fire remotely due to the risk of explosion.”</w:t>
      </w:r>
    </w:p>
    <w:p w:rsidR="007C4CB0" w:rsidRDefault="007C4CB0" w:rsidP="007C4CB0">
      <w:pPr>
        <w:pStyle w:val="Bullet1G"/>
        <w:numPr>
          <w:ilvl w:val="0"/>
          <w:numId w:val="14"/>
        </w:numPr>
        <w:kinsoku/>
        <w:overflowPunct/>
        <w:autoSpaceDE/>
        <w:autoSpaceDN/>
        <w:adjustRightInd/>
        <w:snapToGrid/>
      </w:pPr>
      <w:r>
        <w:t>P370 + P372 + P380 + P373 – In case of fire: Explosion risk. Evacuate area. DO NOT fight fire when fire reaches explosives.</w:t>
      </w:r>
    </w:p>
    <w:p w:rsidR="007C4CB0" w:rsidRDefault="00142E2E" w:rsidP="00BB6949">
      <w:pPr>
        <w:pStyle w:val="SingleTxtG"/>
        <w:tabs>
          <w:tab w:val="left" w:pos="1701"/>
        </w:tabs>
      </w:pPr>
      <w:r>
        <w:tab/>
      </w:r>
      <w:r w:rsidR="007C4CB0">
        <w:t xml:space="preserve">The first of these combinations is applied only to explosives assigned to Division 1.4 compatibility group S (Division 1.4S) which are in their transport packaging. This classification corresponds to a low hazard that would not hinder </w:t>
      </w:r>
      <w:r>
        <w:t>firefighting</w:t>
      </w:r>
      <w:r w:rsidR="007C4CB0">
        <w:t xml:space="preserve"> and has no hazardous effects outside of the package.</w:t>
      </w:r>
      <w:r w:rsidR="007C4CB0">
        <w:rPr>
          <w:rStyle w:val="FootnoteReference"/>
        </w:rPr>
        <w:footnoteReference w:id="6"/>
      </w:r>
      <w:r w:rsidR="007C4CB0">
        <w:t xml:space="preserve"> According to the criteria, sub-category 2C contains only explosives assigned to Division 1.4S where the behaviour constitutes a “low hazard” also in the primary packaging. Therefore, the first combination of P</w:t>
      </w:r>
      <w:r>
        <w:t xml:space="preserve"> </w:t>
      </w:r>
      <w:r w:rsidR="007C4CB0">
        <w:t xml:space="preserve">statements above (P370 + P380 + P375) is suggested to be applied for </w:t>
      </w:r>
      <w:r>
        <w:t>sub</w:t>
      </w:r>
      <w:r w:rsidR="007C4CB0">
        <w:t>-category 2C, and the conditions for use can be removed. The second combination of P</w:t>
      </w:r>
      <w:r>
        <w:t xml:space="preserve"> </w:t>
      </w:r>
      <w:r w:rsidR="007C4CB0">
        <w:t>statements (P370 + P372 + P380 + P373) is suggested to be applied for all other classifications.</w:t>
      </w:r>
      <w:r w:rsidR="007C4CB0">
        <w:rPr>
          <w:rStyle w:val="FootnoteReference"/>
        </w:rPr>
        <w:footnoteReference w:id="7"/>
      </w:r>
    </w:p>
    <w:p w:rsidR="007C4CB0" w:rsidRDefault="007C4CB0" w:rsidP="007C4CB0">
      <w:pPr>
        <w:pStyle w:val="SingleTxtG"/>
      </w:pPr>
      <w:r>
        <w:t>11.</w:t>
      </w:r>
      <w:r>
        <w:tab/>
        <w:t>Annex I to this document contains a table that provides an overview of how the P</w:t>
      </w:r>
      <w:r w:rsidR="00142E2E">
        <w:t xml:space="preserve"> </w:t>
      </w:r>
      <w:r>
        <w:t>statements for the classifications in current Chapter 2.1 are transferred to the classification in the new Chapter 2.1.</w:t>
      </w:r>
    </w:p>
    <w:p w:rsidR="007C4CB0" w:rsidRDefault="007C4CB0" w:rsidP="007C4CB0">
      <w:pPr>
        <w:pStyle w:val="H1G"/>
      </w:pPr>
      <w:r>
        <w:tab/>
      </w:r>
      <w:r>
        <w:tab/>
        <w:t>P234 and a new P</w:t>
      </w:r>
      <w:r w:rsidR="00142E2E">
        <w:t xml:space="preserve"> </w:t>
      </w:r>
      <w:r>
        <w:t>statement for the division</w:t>
      </w:r>
    </w:p>
    <w:p w:rsidR="007C4CB0" w:rsidRDefault="007C4CB0" w:rsidP="007C4CB0">
      <w:pPr>
        <w:pStyle w:val="SingleTxtG"/>
      </w:pPr>
      <w:r>
        <w:t>12.</w:t>
      </w:r>
      <w:r>
        <w:tab/>
        <w:t>P</w:t>
      </w:r>
      <w:r w:rsidR="00142E2E">
        <w:t xml:space="preserve"> </w:t>
      </w:r>
      <w:r>
        <w:t>statement P234 is currently applied to all classifications</w:t>
      </w:r>
      <w:r>
        <w:rPr>
          <w:rStyle w:val="FootnoteReference"/>
        </w:rPr>
        <w:footnoteReference w:id="8"/>
      </w:r>
      <w:r>
        <w:t xml:space="preserve"> except “unstable explosives”, i.e. to all explosives assigned to a division:</w:t>
      </w:r>
    </w:p>
    <w:p w:rsidR="007C4CB0" w:rsidRDefault="007C4CB0" w:rsidP="007C4CB0">
      <w:pPr>
        <w:pStyle w:val="Bullet1G"/>
        <w:numPr>
          <w:ilvl w:val="0"/>
          <w:numId w:val="14"/>
        </w:numPr>
        <w:kinsoku/>
        <w:overflowPunct/>
        <w:autoSpaceDE/>
        <w:autoSpaceDN/>
        <w:adjustRightInd/>
        <w:snapToGrid/>
      </w:pPr>
      <w:r>
        <w:t>P234 – Keep only in original packaging.</w:t>
      </w:r>
    </w:p>
    <w:p w:rsidR="007C4CB0" w:rsidRDefault="00142E2E" w:rsidP="00BB6949">
      <w:pPr>
        <w:pStyle w:val="SingleTxtG"/>
        <w:tabs>
          <w:tab w:val="left" w:pos="1701"/>
        </w:tabs>
      </w:pPr>
      <w:r>
        <w:tab/>
      </w:r>
      <w:r w:rsidR="007C4CB0">
        <w:t>The straight-forward allocation of this P-statement in the classification system of the new Chapter 2.1 would be to apply it all sub-categories within Category 2</w:t>
      </w:r>
      <w:r w:rsidR="007C4CB0">
        <w:rPr>
          <w:rStyle w:val="FootnoteReference"/>
        </w:rPr>
        <w:footnoteReference w:id="9"/>
      </w:r>
      <w:r w:rsidR="00CA1B1B">
        <w:t>.</w:t>
      </w:r>
      <w:r w:rsidR="007C4CB0">
        <w:t xml:space="preserve"> </w:t>
      </w:r>
    </w:p>
    <w:p w:rsidR="007C4CB0" w:rsidRDefault="007C4CB0" w:rsidP="007C4CB0">
      <w:pPr>
        <w:pStyle w:val="SingleTxtG"/>
      </w:pPr>
      <w:r>
        <w:t>13.</w:t>
      </w:r>
      <w:r>
        <w:tab/>
        <w:t xml:space="preserve">There has been a </w:t>
      </w:r>
      <w:r w:rsidR="00C84B09">
        <w:t>long-standing</w:t>
      </w:r>
      <w:r>
        <w:t xml:space="preserve"> discussion within the ICG on how to state the division on the GHS-label for explosives classified in Category 2</w:t>
      </w:r>
      <w:r>
        <w:rPr>
          <w:rStyle w:val="FootnoteReference"/>
        </w:rPr>
        <w:footnoteReference w:id="10"/>
      </w:r>
      <w:r w:rsidR="00C84B09">
        <w:t>.</w:t>
      </w:r>
      <w:r>
        <w:t xml:space="preserve"> Some members of the ICG feel strongly that this information needs to be included on the GHS label, as knowledge of the division is important for the application of regulations on storage and other aspects of explosive handling (e.g. permits). With the classification system proposed for a new Chapter 2.1 the GHS hazard communication will no longer be tied to the division, and thus it cannot be indirectly read from the GHS hazard communication elements anymore.</w:t>
      </w:r>
    </w:p>
    <w:p w:rsidR="007C4CB0" w:rsidRDefault="007C4CB0" w:rsidP="007C4CB0">
      <w:pPr>
        <w:pStyle w:val="SingleTxtG"/>
        <w:rPr>
          <w:sz w:val="24"/>
          <w:szCs w:val="24"/>
        </w:rPr>
      </w:pPr>
      <w:r>
        <w:t>14.</w:t>
      </w:r>
      <w:r>
        <w:tab/>
        <w:t>In the discussions around this, it was recently suggested to amend P234 into a new P</w:t>
      </w:r>
      <w:r w:rsidR="00CA1B1B">
        <w:t xml:space="preserve"> </w:t>
      </w:r>
      <w:r>
        <w:t xml:space="preserve">statement that includes the Division, so that the division would always occur in connection with P234. However, it was observed that P234 is also applied to many other classifications </w:t>
      </w:r>
      <w:r>
        <w:lastRenderedPageBreak/>
        <w:t xml:space="preserve">apart from </w:t>
      </w:r>
      <w:r w:rsidR="00CA1B1B">
        <w:t>explosives</w:t>
      </w:r>
      <w:r>
        <w:t>, and hence a new P</w:t>
      </w:r>
      <w:r w:rsidR="00CA1B1B">
        <w:t xml:space="preserve"> </w:t>
      </w:r>
      <w:r>
        <w:t>statement would be needed in order not to interfere with these applications of P234.</w:t>
      </w:r>
      <w:r>
        <w:rPr>
          <w:sz w:val="24"/>
          <w:szCs w:val="24"/>
        </w:rPr>
        <w:t xml:space="preserve"> </w:t>
      </w:r>
    </w:p>
    <w:p w:rsidR="007C4CB0" w:rsidRDefault="007C4CB0" w:rsidP="007C4CB0">
      <w:pPr>
        <w:pStyle w:val="SingleTxtG"/>
      </w:pPr>
      <w:r>
        <w:t>15.</w:t>
      </w:r>
      <w:r>
        <w:tab/>
        <w:t xml:space="preserve">Some members of the ICG are of the opinion that the division should not be placed on the GHS label for explosives assigned to Division 1.4 and classified as </w:t>
      </w:r>
      <w:r w:rsidR="00CA1B1B">
        <w:t>sub</w:t>
      </w:r>
      <w:r>
        <w:t>-category 2A. The reason for this is that Division 1.4 does not represent a high hazard in the transport configuration</w:t>
      </w:r>
      <w:r>
        <w:rPr>
          <w:rStyle w:val="FootnoteReference"/>
        </w:rPr>
        <w:footnoteReference w:id="11"/>
      </w:r>
      <w:r>
        <w:t xml:space="preserve">, while </w:t>
      </w:r>
      <w:r w:rsidR="00CA1B1B">
        <w:t>sub</w:t>
      </w:r>
      <w:r>
        <w:t>-category 2A represents a high hazard at the level of the primary packaging. Therefore, in the view of these ICG-members, a GHS label stating “Division 1.4” on the primary packaging would be misleading. Other members of the ICG, however, do not share this concern.</w:t>
      </w:r>
    </w:p>
    <w:p w:rsidR="007C4CB0" w:rsidRDefault="007C4CB0" w:rsidP="007C4CB0">
      <w:pPr>
        <w:pStyle w:val="SingleTxtG"/>
      </w:pPr>
      <w:r>
        <w:t>16.</w:t>
      </w:r>
      <w:r>
        <w:tab/>
        <w:t>Also</w:t>
      </w:r>
      <w:r w:rsidR="00CA1B1B">
        <w:t>,</w:t>
      </w:r>
      <w:r>
        <w:t xml:space="preserve"> when it comes to stating the division on the GHS label for explosives classified as </w:t>
      </w:r>
      <w:r w:rsidR="00CA1B1B">
        <w:t>sub</w:t>
      </w:r>
      <w:r>
        <w:t>-category 2B or 2C, views are diverged within the ICG at the time of writing. Some members are of the view that the division should be given on the GHS label for these, as it gives adequate additional information also at the level of the primary packaging. Other members, on the contrary, feel that this is not needed as the GHS hazard communication elements are unique to the respective classifications and hence the division can indirectly be read from the GHS label (much as it can from current GHS labels).</w:t>
      </w:r>
    </w:p>
    <w:p w:rsidR="007C4CB0" w:rsidRDefault="007C4CB0" w:rsidP="007C4CB0">
      <w:pPr>
        <w:pStyle w:val="SingleTxtG"/>
        <w:rPr>
          <w:sz w:val="24"/>
          <w:szCs w:val="24"/>
        </w:rPr>
      </w:pPr>
      <w:r>
        <w:t>17.</w:t>
      </w:r>
      <w:r>
        <w:tab/>
        <w:t>Furthermore, for the classifications where a P</w:t>
      </w:r>
      <w:r w:rsidR="00CA1B1B">
        <w:t xml:space="preserve"> </w:t>
      </w:r>
      <w:r>
        <w:t>statement stating the division is normally to be applied, the need for some exemptions has been identified. For example, a package that bears a warning label for transport would not need such a statement as the division is given in that transport label. There are also cases where the division for transport is not known at the time when the GHS label is applied to the primary packaging, because it can become part of different transport configurations.</w:t>
      </w:r>
      <w:r>
        <w:rPr>
          <w:sz w:val="24"/>
          <w:szCs w:val="24"/>
        </w:rPr>
        <w:t xml:space="preserve"> </w:t>
      </w:r>
    </w:p>
    <w:p w:rsidR="007C4CB0" w:rsidRDefault="007C4CB0" w:rsidP="007C4CB0">
      <w:pPr>
        <w:pStyle w:val="SingleTxtG"/>
      </w:pPr>
      <w:r>
        <w:t>18.</w:t>
      </w:r>
      <w:r>
        <w:tab/>
        <w:t>To meet the needs described, a new P-statement that only states what the division for transport is proposed, which would potentially be numbered P236:</w:t>
      </w:r>
    </w:p>
    <w:p w:rsidR="007C4CB0" w:rsidRDefault="007C4CB0" w:rsidP="007C4CB0">
      <w:pPr>
        <w:pStyle w:val="Bullet1G"/>
        <w:numPr>
          <w:ilvl w:val="0"/>
          <w:numId w:val="14"/>
        </w:numPr>
        <w:kinsoku/>
        <w:overflowPunct/>
        <w:autoSpaceDE/>
        <w:autoSpaceDN/>
        <w:adjustRightInd/>
        <w:snapToGrid/>
      </w:pPr>
      <w:r>
        <w:t>P236 – Division … in the transport configuration.</w:t>
      </w:r>
    </w:p>
    <w:p w:rsidR="007C4CB0" w:rsidRDefault="00CA1B1B" w:rsidP="00BB6949">
      <w:pPr>
        <w:pStyle w:val="SingleTxtG"/>
        <w:tabs>
          <w:tab w:val="left" w:pos="1701"/>
        </w:tabs>
      </w:pPr>
      <w:r>
        <w:tab/>
      </w:r>
      <w:r w:rsidR="007C4CB0">
        <w:t>This can be combined with the current P234, which is to stay intact, to form</w:t>
      </w:r>
    </w:p>
    <w:p w:rsidR="007C4CB0" w:rsidRDefault="007C4CB0" w:rsidP="007C4CB0">
      <w:pPr>
        <w:pStyle w:val="Bullet1G"/>
        <w:numPr>
          <w:ilvl w:val="0"/>
          <w:numId w:val="14"/>
        </w:numPr>
        <w:kinsoku/>
        <w:overflowPunct/>
        <w:autoSpaceDE/>
        <w:autoSpaceDN/>
        <w:adjustRightInd/>
        <w:snapToGrid/>
      </w:pPr>
      <w:r>
        <w:t>P234 + P236 – Keep only in original packaging; Division … in the transport configuration.</w:t>
      </w:r>
    </w:p>
    <w:p w:rsidR="007C4CB0" w:rsidRPr="000D2ADB" w:rsidRDefault="00CA1B1B" w:rsidP="00BB6949">
      <w:pPr>
        <w:pStyle w:val="SingleTxtG"/>
        <w:tabs>
          <w:tab w:val="left" w:pos="1701"/>
        </w:tabs>
        <w:rPr>
          <w:lang w:val="en-US"/>
        </w:rPr>
      </w:pPr>
      <w:r>
        <w:rPr>
          <w:lang w:val="en-US"/>
        </w:rPr>
        <w:tab/>
      </w:r>
      <w:r w:rsidR="007C4CB0" w:rsidRPr="000D2ADB">
        <w:rPr>
          <w:lang w:val="en-US"/>
        </w:rPr>
        <w:t>In this way, either P234 or the combination P234 + P236 can be assigned to explosives.</w:t>
      </w:r>
    </w:p>
    <w:p w:rsidR="007C4CB0" w:rsidRDefault="00CA1B1B" w:rsidP="00BB6949">
      <w:pPr>
        <w:pStyle w:val="SingleTxtG"/>
        <w:tabs>
          <w:tab w:val="left" w:pos="1418"/>
        </w:tabs>
      </w:pPr>
      <w:r>
        <w:tab/>
      </w:r>
      <w:r w:rsidR="007C4CB0">
        <w:t>For “…” the standard conditions for use typically used in the GHS can probably be applied:</w:t>
      </w:r>
    </w:p>
    <w:p w:rsidR="007C4CB0" w:rsidRDefault="007C4CB0" w:rsidP="007C4CB0">
      <w:pPr>
        <w:pStyle w:val="SingleTxtG"/>
        <w:rPr>
          <w:i/>
          <w:iCs/>
        </w:rPr>
      </w:pPr>
      <w:r>
        <w:rPr>
          <w:i/>
          <w:iCs/>
        </w:rPr>
        <w:t>“…Manufacturer/supplier or competent authority to state the division for transport.”</w:t>
      </w:r>
    </w:p>
    <w:p w:rsidR="007C4CB0" w:rsidRDefault="007C4CB0" w:rsidP="007C4CB0">
      <w:pPr>
        <w:pStyle w:val="HChG"/>
      </w:pPr>
      <w:r>
        <w:tab/>
      </w:r>
      <w:r>
        <w:tab/>
        <w:t>Proposal</w:t>
      </w:r>
    </w:p>
    <w:p w:rsidR="007C4CB0" w:rsidRDefault="007C4CB0" w:rsidP="007C4CB0">
      <w:pPr>
        <w:pStyle w:val="SingleTxtG"/>
      </w:pPr>
      <w:r>
        <w:t>19.</w:t>
      </w:r>
      <w:r>
        <w:tab/>
        <w:t>Provided that the new Chapter 2.1 is adopted, it is proposed to make the amendments as described in this document to the P</w:t>
      </w:r>
      <w:r w:rsidR="00CA1B1B">
        <w:t xml:space="preserve"> </w:t>
      </w:r>
      <w:r>
        <w:t>statements currently applied to explosives. Annex II contains the list of amendments to accomplish this.</w:t>
      </w:r>
    </w:p>
    <w:p w:rsidR="007C4CB0" w:rsidRDefault="007C4CB0" w:rsidP="007C4CB0">
      <w:pPr>
        <w:pStyle w:val="H1G"/>
      </w:pPr>
      <w:r>
        <w:tab/>
      </w:r>
      <w:r>
        <w:tab/>
        <w:t>Possible further proposal</w:t>
      </w:r>
    </w:p>
    <w:p w:rsidR="007C4CB0" w:rsidRDefault="007C4CB0" w:rsidP="007C4CB0">
      <w:pPr>
        <w:pStyle w:val="SingleTxtG"/>
      </w:pPr>
      <w:r>
        <w:t>20.</w:t>
      </w:r>
      <w:r>
        <w:tab/>
        <w:t>As regards a new P</w:t>
      </w:r>
      <w:r w:rsidR="00CA1B1B">
        <w:t xml:space="preserve"> </w:t>
      </w:r>
      <w:r>
        <w:t>statement for stating the division on the GHS label, further work in the ICG is needed to come to a consensus on the application of such a statement. An informal document may appear with a proposal on this issue.</w:t>
      </w:r>
    </w:p>
    <w:p w:rsidR="007C4CB0" w:rsidRDefault="007C4CB0" w:rsidP="007C4CB0"/>
    <w:p w:rsidR="007C4CB0" w:rsidRDefault="007C4CB0" w:rsidP="007C4CB0"/>
    <w:p w:rsidR="007C4CB0" w:rsidRDefault="007C4CB0" w:rsidP="007C4CB0">
      <w:pPr>
        <w:suppressAutoHyphens w:val="0"/>
        <w:kinsoku/>
        <w:overflowPunct/>
        <w:autoSpaceDE/>
        <w:autoSpaceDN/>
        <w:adjustRightInd/>
        <w:snapToGrid/>
        <w:spacing w:after="200" w:line="276" w:lineRule="auto"/>
      </w:pPr>
      <w:r>
        <w:br w:type="page"/>
      </w:r>
    </w:p>
    <w:p w:rsidR="007C4CB0" w:rsidRDefault="009406E2" w:rsidP="007C4CB0">
      <w:pPr>
        <w:pStyle w:val="HChG"/>
      </w:pPr>
      <w:r>
        <w:lastRenderedPageBreak/>
        <w:tab/>
      </w:r>
      <w:r>
        <w:tab/>
      </w:r>
      <w:r w:rsidR="007C4CB0">
        <w:t>Annex I</w:t>
      </w:r>
    </w:p>
    <w:p w:rsidR="007C4CB0" w:rsidRDefault="007C4CB0" w:rsidP="007C4CB0">
      <w:pPr>
        <w:pStyle w:val="HChG"/>
      </w:pPr>
      <w:r>
        <w:tab/>
      </w:r>
      <w:r>
        <w:tab/>
        <w:t>Table of allocation of existing P</w:t>
      </w:r>
      <w:r w:rsidR="00D922F6">
        <w:t xml:space="preserve"> </w:t>
      </w:r>
      <w:r>
        <w:t>statements for explosives</w:t>
      </w:r>
    </w:p>
    <w:tbl>
      <w:tblPr>
        <w:tblStyle w:val="TableGrid"/>
        <w:tblW w:w="7650" w:type="dxa"/>
        <w:tblInd w:w="1129" w:type="dxa"/>
        <w:tblLayout w:type="fixed"/>
        <w:tblCellMar>
          <w:top w:w="57" w:type="dxa"/>
          <w:left w:w="57" w:type="dxa"/>
          <w:bottom w:w="57" w:type="dxa"/>
          <w:right w:w="57" w:type="dxa"/>
        </w:tblCellMar>
        <w:tblLook w:val="04A0" w:firstRow="1" w:lastRow="0" w:firstColumn="1" w:lastColumn="0" w:noHBand="0" w:noVBand="1"/>
      </w:tblPr>
      <w:tblGrid>
        <w:gridCol w:w="851"/>
        <w:gridCol w:w="991"/>
        <w:gridCol w:w="1133"/>
        <w:gridCol w:w="709"/>
        <w:gridCol w:w="709"/>
        <w:gridCol w:w="708"/>
        <w:gridCol w:w="850"/>
        <w:gridCol w:w="849"/>
        <w:gridCol w:w="850"/>
      </w:tblGrid>
      <w:tr w:rsidR="007C4CB0" w:rsidRPr="00CA1B1B" w:rsidTr="00CA1B1B">
        <w:trPr>
          <w:trHeight w:val="144"/>
        </w:trPr>
        <w:tc>
          <w:tcPr>
            <w:tcW w:w="851" w:type="dxa"/>
            <w:tcBorders>
              <w:top w:val="single" w:sz="4" w:space="0" w:color="auto"/>
              <w:left w:val="single" w:sz="4" w:space="0" w:color="auto"/>
              <w:bottom w:val="single" w:sz="4" w:space="0" w:color="auto"/>
              <w:right w:val="single" w:sz="18" w:space="0" w:color="auto"/>
            </w:tcBorders>
            <w:vAlign w:val="center"/>
          </w:tcPr>
          <w:p w:rsidR="007C4CB0" w:rsidRPr="00CA1B1B" w:rsidRDefault="007C4CB0" w:rsidP="00CA1B1B">
            <w:pPr>
              <w:spacing w:before="40" w:after="40" w:line="240" w:lineRule="auto"/>
              <w:rPr>
                <w:rFonts w:asciiTheme="majorBidi" w:hAnsiTheme="majorBidi" w:cstheme="majorBidi"/>
                <w:sz w:val="18"/>
                <w:szCs w:val="18"/>
                <w:lang w:val="fr-FR"/>
              </w:rPr>
            </w:pPr>
          </w:p>
        </w:tc>
        <w:tc>
          <w:tcPr>
            <w:tcW w:w="3542" w:type="dxa"/>
            <w:gridSpan w:val="4"/>
            <w:tcBorders>
              <w:top w:val="single" w:sz="4" w:space="0" w:color="auto"/>
              <w:left w:val="single" w:sz="18"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b/>
                <w:sz w:val="18"/>
                <w:szCs w:val="18"/>
                <w:lang w:val="fr-FR"/>
              </w:rPr>
            </w:pPr>
            <w:proofErr w:type="spellStart"/>
            <w:r w:rsidRPr="00CA1B1B">
              <w:rPr>
                <w:rFonts w:asciiTheme="majorBidi" w:hAnsiTheme="majorBidi" w:cstheme="majorBidi"/>
                <w:b/>
                <w:sz w:val="18"/>
                <w:szCs w:val="18"/>
                <w:lang w:val="fr-FR"/>
              </w:rPr>
              <w:t>Current</w:t>
            </w:r>
            <w:proofErr w:type="spellEnd"/>
            <w:r w:rsidRPr="00CA1B1B">
              <w:rPr>
                <w:rFonts w:asciiTheme="majorBidi" w:hAnsiTheme="majorBidi" w:cstheme="majorBidi"/>
                <w:b/>
                <w:sz w:val="18"/>
                <w:szCs w:val="18"/>
                <w:lang w:val="fr-FR"/>
              </w:rPr>
              <w:t xml:space="preserve"> application</w:t>
            </w:r>
          </w:p>
        </w:tc>
        <w:tc>
          <w:tcPr>
            <w:tcW w:w="3257" w:type="dxa"/>
            <w:gridSpan w:val="4"/>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b/>
                <w:sz w:val="18"/>
                <w:szCs w:val="18"/>
                <w:lang w:val="fr-FR"/>
              </w:rPr>
            </w:pPr>
            <w:proofErr w:type="spellStart"/>
            <w:r w:rsidRPr="00CA1B1B">
              <w:rPr>
                <w:rFonts w:asciiTheme="majorBidi" w:hAnsiTheme="majorBidi" w:cstheme="majorBidi"/>
                <w:b/>
                <w:sz w:val="18"/>
                <w:szCs w:val="18"/>
                <w:lang w:val="fr-FR"/>
              </w:rPr>
              <w:t>Proposed</w:t>
            </w:r>
            <w:proofErr w:type="spellEnd"/>
            <w:r w:rsidRPr="00CA1B1B">
              <w:rPr>
                <w:rFonts w:asciiTheme="majorBidi" w:hAnsiTheme="majorBidi" w:cstheme="majorBidi"/>
                <w:b/>
                <w:sz w:val="18"/>
                <w:szCs w:val="18"/>
                <w:lang w:val="fr-FR"/>
              </w:rPr>
              <w:t xml:space="preserve"> new application</w:t>
            </w:r>
          </w:p>
        </w:tc>
      </w:tr>
      <w:tr w:rsidR="007C4CB0" w:rsidRPr="00CA1B1B" w:rsidTr="007736FC">
        <w:tc>
          <w:tcPr>
            <w:tcW w:w="851" w:type="dxa"/>
            <w:tcBorders>
              <w:top w:val="single" w:sz="4" w:space="0" w:color="auto"/>
              <w:left w:val="single" w:sz="4" w:space="0" w:color="auto"/>
              <w:bottom w:val="single" w:sz="18" w:space="0" w:color="auto"/>
              <w:right w:val="single" w:sz="18" w:space="0" w:color="auto"/>
            </w:tcBorders>
            <w:vAlign w:val="center"/>
          </w:tcPr>
          <w:p w:rsidR="007C4CB0" w:rsidRPr="00CA1B1B" w:rsidRDefault="007C4CB0" w:rsidP="00CA1B1B">
            <w:pPr>
              <w:spacing w:before="40" w:after="40" w:line="240" w:lineRule="auto"/>
              <w:rPr>
                <w:rFonts w:asciiTheme="majorBidi" w:hAnsiTheme="majorBidi" w:cstheme="majorBidi"/>
                <w:sz w:val="18"/>
                <w:szCs w:val="18"/>
                <w:lang w:val="fr-FR"/>
              </w:rPr>
            </w:pPr>
          </w:p>
        </w:tc>
        <w:tc>
          <w:tcPr>
            <w:tcW w:w="991" w:type="dxa"/>
            <w:tcBorders>
              <w:top w:val="single" w:sz="4" w:space="0" w:color="auto"/>
              <w:left w:val="single" w:sz="18" w:space="0" w:color="auto"/>
              <w:bottom w:val="single" w:sz="18" w:space="0" w:color="auto"/>
              <w:right w:val="single" w:sz="4" w:space="0" w:color="auto"/>
            </w:tcBorders>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proofErr w:type="spellStart"/>
            <w:r w:rsidRPr="00CA1B1B">
              <w:rPr>
                <w:rFonts w:asciiTheme="majorBidi" w:hAnsiTheme="majorBidi" w:cstheme="majorBidi"/>
                <w:sz w:val="18"/>
                <w:szCs w:val="18"/>
                <w:lang w:val="fr-FR"/>
              </w:rPr>
              <w:t>Unstable</w:t>
            </w:r>
            <w:proofErr w:type="spellEnd"/>
            <w:r w:rsidRPr="00CA1B1B">
              <w:rPr>
                <w:rFonts w:asciiTheme="majorBidi" w:hAnsiTheme="majorBidi" w:cstheme="majorBidi"/>
                <w:sz w:val="18"/>
                <w:szCs w:val="18"/>
                <w:lang w:val="fr-FR"/>
              </w:rPr>
              <w:t xml:space="preserve"> explosives</w:t>
            </w:r>
          </w:p>
        </w:tc>
        <w:tc>
          <w:tcPr>
            <w:tcW w:w="1133" w:type="dxa"/>
            <w:tcBorders>
              <w:top w:val="single" w:sz="4" w:space="0" w:color="auto"/>
              <w:left w:val="single" w:sz="4" w:space="0" w:color="auto"/>
              <w:bottom w:val="single" w:sz="18" w:space="0" w:color="auto"/>
              <w:right w:val="single" w:sz="4" w:space="0" w:color="auto"/>
            </w:tcBorders>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1.1, 1.2, 1,3 and 1.5</w:t>
            </w:r>
          </w:p>
        </w:tc>
        <w:tc>
          <w:tcPr>
            <w:tcW w:w="709" w:type="dxa"/>
            <w:tcBorders>
              <w:top w:val="single" w:sz="4" w:space="0" w:color="auto"/>
              <w:left w:val="single" w:sz="4" w:space="0" w:color="auto"/>
              <w:bottom w:val="single" w:sz="18" w:space="0" w:color="auto"/>
              <w:right w:val="single" w:sz="4" w:space="0" w:color="auto"/>
            </w:tcBorders>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1.4X*</w:t>
            </w:r>
          </w:p>
        </w:tc>
        <w:tc>
          <w:tcPr>
            <w:tcW w:w="709" w:type="dxa"/>
            <w:tcBorders>
              <w:top w:val="single" w:sz="4" w:space="0" w:color="auto"/>
              <w:left w:val="single" w:sz="4" w:space="0" w:color="auto"/>
              <w:bottom w:val="single" w:sz="18" w:space="0" w:color="auto"/>
              <w:right w:val="single" w:sz="18" w:space="0" w:color="auto"/>
            </w:tcBorders>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1.4S</w:t>
            </w:r>
          </w:p>
        </w:tc>
        <w:tc>
          <w:tcPr>
            <w:tcW w:w="708" w:type="dxa"/>
            <w:tcBorders>
              <w:top w:val="single" w:sz="4" w:space="0" w:color="auto"/>
              <w:left w:val="single" w:sz="18" w:space="0" w:color="auto"/>
              <w:bottom w:val="single" w:sz="18" w:space="0" w:color="auto"/>
              <w:right w:val="single" w:sz="4" w:space="0" w:color="auto"/>
            </w:tcBorders>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1</w:t>
            </w:r>
          </w:p>
        </w:tc>
        <w:tc>
          <w:tcPr>
            <w:tcW w:w="850" w:type="dxa"/>
            <w:tcBorders>
              <w:top w:val="single" w:sz="4" w:space="0" w:color="auto"/>
              <w:left w:val="single" w:sz="4" w:space="0" w:color="auto"/>
              <w:bottom w:val="single" w:sz="18" w:space="0" w:color="auto"/>
              <w:right w:val="single" w:sz="4" w:space="0" w:color="auto"/>
            </w:tcBorders>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2A</w:t>
            </w:r>
          </w:p>
        </w:tc>
        <w:tc>
          <w:tcPr>
            <w:tcW w:w="849" w:type="dxa"/>
            <w:tcBorders>
              <w:top w:val="single" w:sz="4" w:space="0" w:color="auto"/>
              <w:left w:val="single" w:sz="4" w:space="0" w:color="auto"/>
              <w:bottom w:val="single" w:sz="18" w:space="0" w:color="auto"/>
              <w:right w:val="single" w:sz="4" w:space="0" w:color="auto"/>
            </w:tcBorders>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2B</w:t>
            </w:r>
          </w:p>
        </w:tc>
        <w:tc>
          <w:tcPr>
            <w:tcW w:w="850" w:type="dxa"/>
            <w:tcBorders>
              <w:top w:val="single" w:sz="4" w:space="0" w:color="auto"/>
              <w:left w:val="single" w:sz="4" w:space="0" w:color="auto"/>
              <w:bottom w:val="single" w:sz="18" w:space="0" w:color="auto"/>
              <w:right w:val="single" w:sz="4" w:space="0" w:color="auto"/>
            </w:tcBorders>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2C</w:t>
            </w:r>
          </w:p>
        </w:tc>
      </w:tr>
      <w:tr w:rsidR="007C4CB0" w:rsidRPr="00CA1B1B" w:rsidTr="00CA1B1B">
        <w:trPr>
          <w:trHeight w:val="18"/>
        </w:trPr>
        <w:tc>
          <w:tcPr>
            <w:tcW w:w="851" w:type="dxa"/>
            <w:tcBorders>
              <w:top w:val="single" w:sz="18"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P203</w:t>
            </w:r>
          </w:p>
        </w:tc>
        <w:tc>
          <w:tcPr>
            <w:tcW w:w="991" w:type="dxa"/>
            <w:tcBorders>
              <w:top w:val="single" w:sz="18"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18" w:space="0" w:color="auto"/>
              <w:left w:val="single" w:sz="4" w:space="0" w:color="auto"/>
              <w:bottom w:val="single" w:sz="4" w:space="0" w:color="auto"/>
              <w:right w:val="single" w:sz="18"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18"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P210</w:t>
            </w:r>
          </w:p>
        </w:tc>
        <w:tc>
          <w:tcPr>
            <w:tcW w:w="991"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P230</w:t>
            </w:r>
          </w:p>
        </w:tc>
        <w:tc>
          <w:tcPr>
            <w:tcW w:w="991"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P234</w:t>
            </w:r>
          </w:p>
        </w:tc>
        <w:tc>
          <w:tcPr>
            <w:tcW w:w="991"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P240</w:t>
            </w:r>
          </w:p>
        </w:tc>
        <w:tc>
          <w:tcPr>
            <w:tcW w:w="991"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P250</w:t>
            </w:r>
          </w:p>
        </w:tc>
        <w:tc>
          <w:tcPr>
            <w:tcW w:w="991"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18"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P280</w:t>
            </w:r>
          </w:p>
        </w:tc>
        <w:tc>
          <w:tcPr>
            <w:tcW w:w="991" w:type="dxa"/>
            <w:tcBorders>
              <w:top w:val="single" w:sz="4" w:space="0" w:color="auto"/>
              <w:left w:val="single" w:sz="18"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18"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P370</w:t>
            </w:r>
          </w:p>
        </w:tc>
        <w:tc>
          <w:tcPr>
            <w:tcW w:w="991" w:type="dxa"/>
            <w:tcBorders>
              <w:top w:val="single" w:sz="18"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P372</w:t>
            </w:r>
          </w:p>
        </w:tc>
        <w:tc>
          <w:tcPr>
            <w:tcW w:w="991"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P373</w:t>
            </w:r>
          </w:p>
        </w:tc>
        <w:tc>
          <w:tcPr>
            <w:tcW w:w="991"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P375</w:t>
            </w:r>
          </w:p>
        </w:tc>
        <w:tc>
          <w:tcPr>
            <w:tcW w:w="991"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P380</w:t>
            </w:r>
          </w:p>
        </w:tc>
        <w:tc>
          <w:tcPr>
            <w:tcW w:w="991"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P370 + P380 + P375</w:t>
            </w:r>
          </w:p>
        </w:tc>
        <w:tc>
          <w:tcPr>
            <w:tcW w:w="991"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1133"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9" w:type="dxa"/>
            <w:tcBorders>
              <w:top w:val="single" w:sz="4"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4" w:space="0" w:color="auto"/>
              <w:left w:val="single" w:sz="18"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p>
        </w:tc>
        <w:tc>
          <w:tcPr>
            <w:tcW w:w="849" w:type="dxa"/>
            <w:tcBorders>
              <w:top w:val="single" w:sz="4" w:space="0" w:color="auto"/>
              <w:left w:val="single" w:sz="4" w:space="0" w:color="auto"/>
              <w:bottom w:val="single" w:sz="4"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4" w:space="0" w:color="auto"/>
              <w:left w:val="single" w:sz="4" w:space="0" w:color="auto"/>
              <w:bottom w:val="single" w:sz="18"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P370 + P372 + P380 + P373</w:t>
            </w:r>
          </w:p>
        </w:tc>
        <w:tc>
          <w:tcPr>
            <w:tcW w:w="991" w:type="dxa"/>
            <w:tcBorders>
              <w:top w:val="single" w:sz="4" w:space="0" w:color="auto"/>
              <w:left w:val="single" w:sz="18"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4" w:space="0" w:color="auto"/>
              <w:left w:val="single" w:sz="4" w:space="0" w:color="auto"/>
              <w:bottom w:val="single" w:sz="18" w:space="0" w:color="auto"/>
              <w:right w:val="single" w:sz="18"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c>
          <w:tcPr>
            <w:tcW w:w="708" w:type="dxa"/>
            <w:tcBorders>
              <w:top w:val="single" w:sz="4" w:space="0" w:color="auto"/>
              <w:left w:val="single" w:sz="18"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4"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4" w:space="0" w:color="auto"/>
              <w:left w:val="single" w:sz="4" w:space="0" w:color="auto"/>
              <w:bottom w:val="single" w:sz="18" w:space="0" w:color="auto"/>
              <w:right w:val="single" w:sz="4" w:space="0" w:color="auto"/>
            </w:tcBorders>
            <w:vAlign w:val="center"/>
          </w:tcPr>
          <w:p w:rsidR="007C4CB0" w:rsidRPr="00CA1B1B" w:rsidRDefault="007C4CB0" w:rsidP="00CA1B1B">
            <w:pPr>
              <w:spacing w:before="40" w:after="40" w:line="240" w:lineRule="auto"/>
              <w:jc w:val="center"/>
              <w:rPr>
                <w:rFonts w:asciiTheme="majorBidi" w:hAnsiTheme="majorBidi" w:cstheme="majorBidi"/>
                <w:sz w:val="18"/>
                <w:szCs w:val="18"/>
                <w:lang w:val="fr-FR"/>
              </w:rPr>
            </w:pPr>
          </w:p>
        </w:tc>
      </w:tr>
      <w:tr w:rsidR="007C4CB0" w:rsidRPr="00CA1B1B" w:rsidTr="007736FC">
        <w:tc>
          <w:tcPr>
            <w:tcW w:w="851" w:type="dxa"/>
            <w:tcBorders>
              <w:top w:val="single" w:sz="18" w:space="0" w:color="auto"/>
              <w:left w:val="single" w:sz="4" w:space="0" w:color="auto"/>
              <w:bottom w:val="single" w:sz="18"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P401</w:t>
            </w:r>
          </w:p>
        </w:tc>
        <w:tc>
          <w:tcPr>
            <w:tcW w:w="991" w:type="dxa"/>
            <w:tcBorders>
              <w:top w:val="single" w:sz="18" w:space="0" w:color="auto"/>
              <w:left w:val="single" w:sz="18"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18"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18" w:space="0" w:color="auto"/>
              <w:left w:val="single" w:sz="18"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18"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r w:rsidR="007C4CB0" w:rsidRPr="00CA1B1B" w:rsidTr="007736FC">
        <w:tc>
          <w:tcPr>
            <w:tcW w:w="851" w:type="dxa"/>
            <w:tcBorders>
              <w:top w:val="single" w:sz="18"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rPr>
                <w:rFonts w:asciiTheme="majorBidi" w:hAnsiTheme="majorBidi" w:cstheme="majorBidi"/>
                <w:b/>
                <w:sz w:val="18"/>
                <w:szCs w:val="18"/>
                <w:lang w:val="fr-FR"/>
              </w:rPr>
            </w:pPr>
            <w:r w:rsidRPr="00CA1B1B">
              <w:rPr>
                <w:rFonts w:asciiTheme="majorBidi" w:hAnsiTheme="majorBidi" w:cstheme="majorBidi"/>
                <w:b/>
                <w:sz w:val="18"/>
                <w:szCs w:val="18"/>
                <w:lang w:val="fr-FR"/>
              </w:rPr>
              <w:t>P503</w:t>
            </w:r>
          </w:p>
        </w:tc>
        <w:tc>
          <w:tcPr>
            <w:tcW w:w="991" w:type="dxa"/>
            <w:tcBorders>
              <w:top w:val="single" w:sz="18"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1133"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9" w:type="dxa"/>
            <w:tcBorders>
              <w:top w:val="single" w:sz="18" w:space="0" w:color="auto"/>
              <w:left w:val="single" w:sz="4" w:space="0" w:color="auto"/>
              <w:bottom w:val="single" w:sz="4" w:space="0" w:color="auto"/>
              <w:right w:val="single" w:sz="18"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708" w:type="dxa"/>
            <w:tcBorders>
              <w:top w:val="single" w:sz="18" w:space="0" w:color="auto"/>
              <w:left w:val="single" w:sz="18"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ind w:right="-21"/>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49"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c>
          <w:tcPr>
            <w:tcW w:w="850" w:type="dxa"/>
            <w:tcBorders>
              <w:top w:val="single" w:sz="18" w:space="0" w:color="auto"/>
              <w:left w:val="single" w:sz="4" w:space="0" w:color="auto"/>
              <w:bottom w:val="single" w:sz="4" w:space="0" w:color="auto"/>
              <w:right w:val="single" w:sz="4" w:space="0" w:color="auto"/>
            </w:tcBorders>
            <w:vAlign w:val="center"/>
            <w:hideMark/>
          </w:tcPr>
          <w:p w:rsidR="007C4CB0" w:rsidRPr="00CA1B1B" w:rsidRDefault="007C4CB0" w:rsidP="00CA1B1B">
            <w:pPr>
              <w:spacing w:before="40" w:after="40" w:line="240" w:lineRule="auto"/>
              <w:jc w:val="center"/>
              <w:rPr>
                <w:rFonts w:asciiTheme="majorBidi" w:hAnsiTheme="majorBidi" w:cstheme="majorBidi"/>
                <w:sz w:val="18"/>
                <w:szCs w:val="18"/>
                <w:lang w:val="fr-FR"/>
              </w:rPr>
            </w:pPr>
            <w:r w:rsidRPr="00CA1B1B">
              <w:rPr>
                <w:rFonts w:asciiTheme="majorBidi" w:hAnsiTheme="majorBidi" w:cstheme="majorBidi"/>
                <w:sz w:val="18"/>
                <w:szCs w:val="18"/>
                <w:lang w:val="fr-FR"/>
              </w:rPr>
              <w:t>X</w:t>
            </w:r>
          </w:p>
        </w:tc>
      </w:tr>
    </w:tbl>
    <w:p w:rsidR="007C4CB0" w:rsidRDefault="007C4CB0" w:rsidP="007C4CB0">
      <w:pPr>
        <w:suppressAutoHyphens w:val="0"/>
        <w:spacing w:before="120" w:line="240" w:lineRule="auto"/>
        <w:rPr>
          <w:b/>
          <w:sz w:val="24"/>
        </w:rPr>
      </w:pPr>
      <w:r>
        <w:rPr>
          <w:b/>
          <w:sz w:val="24"/>
        </w:rPr>
        <w:tab/>
      </w:r>
      <w:r>
        <w:rPr>
          <w:b/>
          <w:sz w:val="24"/>
        </w:rPr>
        <w:tab/>
        <w:t xml:space="preserve">* </w:t>
      </w:r>
      <w:r w:rsidR="00CA1B1B">
        <w:t>“</w:t>
      </w:r>
      <w:r>
        <w:t>X” denotes a compatibility group other than S.</w:t>
      </w:r>
    </w:p>
    <w:p w:rsidR="007C4CB0" w:rsidRDefault="007C4CB0" w:rsidP="007C4CB0">
      <w:pPr>
        <w:suppressAutoHyphens w:val="0"/>
        <w:kinsoku/>
        <w:overflowPunct/>
        <w:autoSpaceDE/>
        <w:autoSpaceDN/>
        <w:adjustRightInd/>
        <w:snapToGrid/>
        <w:spacing w:after="200" w:line="276" w:lineRule="auto"/>
      </w:pPr>
      <w:r>
        <w:br w:type="page"/>
      </w:r>
    </w:p>
    <w:p w:rsidR="007C4CB0" w:rsidRDefault="00CA1B1B" w:rsidP="007C4CB0">
      <w:pPr>
        <w:pStyle w:val="HChG"/>
      </w:pPr>
      <w:r>
        <w:lastRenderedPageBreak/>
        <w:tab/>
      </w:r>
      <w:r>
        <w:tab/>
      </w:r>
      <w:r w:rsidR="007C4CB0">
        <w:t>Annex II</w:t>
      </w:r>
    </w:p>
    <w:p w:rsidR="007C4CB0" w:rsidRDefault="007C4CB0" w:rsidP="007C4CB0">
      <w:pPr>
        <w:pStyle w:val="HChG"/>
      </w:pPr>
      <w:r>
        <w:tab/>
      </w:r>
      <w:r>
        <w:tab/>
        <w:t>List of amendments to GHS Annex 3, Section 2</w:t>
      </w:r>
    </w:p>
    <w:p w:rsidR="007C4CB0" w:rsidRPr="00CA1B1B" w:rsidRDefault="00CA1B1B" w:rsidP="00CA1B1B">
      <w:pPr>
        <w:pStyle w:val="H1G"/>
      </w:pPr>
      <w:r>
        <w:tab/>
      </w:r>
      <w:r>
        <w:tab/>
        <w:t xml:space="preserve">Amendments </w:t>
      </w:r>
      <w:r w:rsidR="007C4CB0" w:rsidRPr="00CA1B1B">
        <w:t>to Table A3.2.2</w:t>
      </w:r>
    </w:p>
    <w:p w:rsidR="007C4CB0" w:rsidRPr="00CA1B1B" w:rsidRDefault="007C4CB0">
      <w:pPr>
        <w:pStyle w:val="Bullet1G"/>
      </w:pPr>
      <w:r w:rsidRPr="00CA1B1B">
        <w:t xml:space="preserve">For P203, </w:t>
      </w:r>
      <w:r w:rsidR="00CA1B1B" w:rsidRPr="00CA1B1B">
        <w:t>replace</w:t>
      </w:r>
      <w:r w:rsidRPr="00CA1B1B">
        <w:t xml:space="preserve"> “</w:t>
      </w:r>
      <w:r w:rsidRPr="00BB6949">
        <w:t>Unstable explosive</w:t>
      </w:r>
      <w:r w:rsidRPr="00CA1B1B">
        <w:t xml:space="preserve">” </w:t>
      </w:r>
      <w:r w:rsidR="00CA1B1B" w:rsidRPr="00CA1B1B">
        <w:t xml:space="preserve">with </w:t>
      </w:r>
      <w:r w:rsidRPr="00CA1B1B">
        <w:t>“</w:t>
      </w:r>
      <w:r w:rsidRPr="00BB6949">
        <w:t>1, 2A, 2B</w:t>
      </w:r>
      <w:r w:rsidRPr="00CA1B1B">
        <w:t>” in column 4.</w:t>
      </w:r>
    </w:p>
    <w:p w:rsidR="007C4CB0" w:rsidRPr="00CA1B1B" w:rsidRDefault="007C4CB0">
      <w:pPr>
        <w:pStyle w:val="Bullet1G"/>
      </w:pPr>
      <w:r w:rsidRPr="00CA1B1B">
        <w:t xml:space="preserve">For P210, </w:t>
      </w:r>
      <w:r w:rsidR="00CA1B1B" w:rsidRPr="00CA1B1B">
        <w:t>replace</w:t>
      </w:r>
      <w:r w:rsidRPr="00CA1B1B">
        <w:t xml:space="preserve"> “</w:t>
      </w:r>
      <w:r w:rsidRPr="00BB6949">
        <w:t>Divisions 1.1, 1.2, 1.3, 1.4, 1.5</w:t>
      </w:r>
      <w:r w:rsidRPr="00CA1B1B">
        <w:t xml:space="preserve">” </w:t>
      </w:r>
      <w:r w:rsidR="00CA1B1B" w:rsidRPr="00CA1B1B">
        <w:t xml:space="preserve">with </w:t>
      </w:r>
      <w:r w:rsidRPr="00CA1B1B">
        <w:t>“</w:t>
      </w:r>
      <w:r w:rsidRPr="00BB6949">
        <w:t>1, 2A, 2B, 2C</w:t>
      </w:r>
      <w:r w:rsidRPr="00CA1B1B">
        <w:t>” in column 4.</w:t>
      </w:r>
    </w:p>
    <w:p w:rsidR="007C4CB0" w:rsidRPr="00CA1B1B" w:rsidRDefault="007C4CB0">
      <w:pPr>
        <w:pStyle w:val="Bullet1G"/>
      </w:pPr>
      <w:r w:rsidRPr="00CA1B1B">
        <w:t xml:space="preserve">For P230, </w:t>
      </w:r>
      <w:r w:rsidR="00CA1B1B">
        <w:t>replace</w:t>
      </w:r>
      <w:r w:rsidRPr="00CA1B1B">
        <w:t xml:space="preserve"> “</w:t>
      </w:r>
      <w:r w:rsidRPr="00BB6949">
        <w:t>Divisions 1.1, 1.2, 1.3, 1.5</w:t>
      </w:r>
      <w:r w:rsidRPr="00CA1B1B">
        <w:t xml:space="preserve">” </w:t>
      </w:r>
      <w:r w:rsidR="00CA1B1B">
        <w:t>with</w:t>
      </w:r>
      <w:r w:rsidR="00CA1B1B" w:rsidRPr="00CA1B1B">
        <w:t xml:space="preserve"> </w:t>
      </w:r>
      <w:r w:rsidRPr="00CA1B1B">
        <w:t>“</w:t>
      </w:r>
      <w:r w:rsidRPr="00BB6949">
        <w:t>1, 2A, 2B, 2C</w:t>
      </w:r>
      <w:r w:rsidRPr="00CA1B1B">
        <w:t>” in column 4.</w:t>
      </w:r>
    </w:p>
    <w:p w:rsidR="007C4CB0" w:rsidRPr="00CA1B1B" w:rsidRDefault="007C4CB0">
      <w:pPr>
        <w:pStyle w:val="Bullet1G"/>
      </w:pPr>
      <w:r w:rsidRPr="00CA1B1B">
        <w:t xml:space="preserve">For P234, </w:t>
      </w:r>
      <w:r w:rsidR="00CA1B1B">
        <w:t>replace</w:t>
      </w:r>
      <w:r w:rsidRPr="00CA1B1B">
        <w:t xml:space="preserve"> “</w:t>
      </w:r>
      <w:r w:rsidRPr="00BB6949">
        <w:t>Divisions 1.1, 1.2, 1.3, 1.4, 1.5</w:t>
      </w:r>
      <w:r w:rsidRPr="00CA1B1B">
        <w:t xml:space="preserve">” </w:t>
      </w:r>
      <w:r w:rsidR="00CA1B1B">
        <w:t>with</w:t>
      </w:r>
      <w:r w:rsidR="00CA1B1B" w:rsidRPr="00CA1B1B">
        <w:t xml:space="preserve"> </w:t>
      </w:r>
      <w:r w:rsidRPr="00CA1B1B">
        <w:t>“</w:t>
      </w:r>
      <w:r w:rsidRPr="00BB6949">
        <w:t>2A, 2B, 2C</w:t>
      </w:r>
      <w:r w:rsidRPr="00CA1B1B">
        <w:t>” in column 4.</w:t>
      </w:r>
    </w:p>
    <w:p w:rsidR="007C4CB0" w:rsidRPr="00CA1B1B" w:rsidRDefault="007C4CB0">
      <w:pPr>
        <w:pStyle w:val="Bullet1G"/>
      </w:pPr>
      <w:r w:rsidRPr="00CA1B1B">
        <w:t xml:space="preserve">For P240, </w:t>
      </w:r>
      <w:r w:rsidR="00CA1B1B">
        <w:t>replace</w:t>
      </w:r>
      <w:r w:rsidR="00CA1B1B" w:rsidRPr="00CA1B1B">
        <w:t xml:space="preserve"> </w:t>
      </w:r>
      <w:r w:rsidRPr="00CA1B1B">
        <w:t>“</w:t>
      </w:r>
      <w:r w:rsidRPr="00BB6949">
        <w:t>Divisions 1.1, 1.2, 1.3, 1.4, 1.5</w:t>
      </w:r>
      <w:r w:rsidRPr="00CA1B1B">
        <w:t xml:space="preserve">” </w:t>
      </w:r>
      <w:r w:rsidR="00CA1B1B">
        <w:t>with</w:t>
      </w:r>
      <w:r w:rsidR="00CA1B1B" w:rsidRPr="00CA1B1B">
        <w:t xml:space="preserve"> </w:t>
      </w:r>
      <w:r w:rsidRPr="00CA1B1B">
        <w:t>“</w:t>
      </w:r>
      <w:r w:rsidRPr="00BB6949">
        <w:t>1, 2A, 2B, 2C</w:t>
      </w:r>
      <w:r w:rsidRPr="00CA1B1B">
        <w:t>” in column 4.</w:t>
      </w:r>
    </w:p>
    <w:p w:rsidR="007C4CB0" w:rsidRPr="00CA1B1B" w:rsidRDefault="007C4CB0">
      <w:pPr>
        <w:pStyle w:val="Bullet1G"/>
      </w:pPr>
      <w:r w:rsidRPr="00CA1B1B">
        <w:t xml:space="preserve">For P250, </w:t>
      </w:r>
      <w:r w:rsidR="00CA1B1B">
        <w:t>replace</w:t>
      </w:r>
      <w:r w:rsidR="00CA1B1B" w:rsidRPr="00CA1B1B">
        <w:t xml:space="preserve"> </w:t>
      </w:r>
      <w:r w:rsidRPr="00CA1B1B">
        <w:t>“</w:t>
      </w:r>
      <w:r w:rsidRPr="00BB6949">
        <w:t>Unstable explosive and divisions 1.1, 1.2, 1.3, 1.4, 1.5</w:t>
      </w:r>
      <w:r w:rsidRPr="00CA1B1B">
        <w:t xml:space="preserve">” </w:t>
      </w:r>
      <w:r w:rsidR="00CA1B1B">
        <w:t>with</w:t>
      </w:r>
      <w:r w:rsidR="00CA1B1B" w:rsidRPr="00CA1B1B">
        <w:t xml:space="preserve"> </w:t>
      </w:r>
      <w:r w:rsidRPr="00CA1B1B">
        <w:t>“</w:t>
      </w:r>
      <w:r w:rsidRPr="00BB6949">
        <w:t>1, 2A, 2B, 2C”</w:t>
      </w:r>
      <w:r w:rsidRPr="00CA1B1B">
        <w:t xml:space="preserve"> in column 4.</w:t>
      </w:r>
    </w:p>
    <w:p w:rsidR="007C4CB0" w:rsidRPr="00CA1B1B" w:rsidRDefault="007C4CB0">
      <w:pPr>
        <w:pStyle w:val="Bullet1G"/>
      </w:pPr>
      <w:r w:rsidRPr="00CA1B1B">
        <w:t xml:space="preserve">For P280, </w:t>
      </w:r>
      <w:r w:rsidR="00CA1B1B">
        <w:t>replace</w:t>
      </w:r>
      <w:r w:rsidR="00CA1B1B" w:rsidRPr="00CA1B1B">
        <w:t xml:space="preserve"> </w:t>
      </w:r>
      <w:r w:rsidRPr="00CA1B1B">
        <w:t>“</w:t>
      </w:r>
      <w:r w:rsidRPr="00BB6949">
        <w:t>Unstable explosive and divisions 1.1, 1.2, 1.3, 1.4, 1.5</w:t>
      </w:r>
      <w:r w:rsidRPr="00CA1B1B">
        <w:t xml:space="preserve">” </w:t>
      </w:r>
      <w:r w:rsidR="00CA1B1B">
        <w:t>with</w:t>
      </w:r>
      <w:r w:rsidR="00CA1B1B" w:rsidRPr="00CA1B1B">
        <w:t xml:space="preserve"> </w:t>
      </w:r>
      <w:r w:rsidRPr="00CA1B1B">
        <w:t>“</w:t>
      </w:r>
      <w:r w:rsidRPr="00BB6949">
        <w:t>1, 2A, 2B, 2C</w:t>
      </w:r>
      <w:r w:rsidRPr="00CA1B1B">
        <w:t>” in column 4.</w:t>
      </w:r>
    </w:p>
    <w:p w:rsidR="007C4CB0" w:rsidRDefault="00CA1B1B" w:rsidP="00BB6949">
      <w:pPr>
        <w:pStyle w:val="H1G"/>
      </w:pPr>
      <w:r>
        <w:tab/>
      </w:r>
      <w:r>
        <w:tab/>
        <w:t xml:space="preserve">Amendments </w:t>
      </w:r>
      <w:r w:rsidR="007C4CB0">
        <w:t>to Table A3.2.3</w:t>
      </w:r>
    </w:p>
    <w:p w:rsidR="007C4CB0" w:rsidRPr="00CA1B1B" w:rsidRDefault="007C4CB0" w:rsidP="00CA1B1B">
      <w:pPr>
        <w:pStyle w:val="Bullet1G"/>
      </w:pPr>
      <w:r w:rsidRPr="00CA1B1B">
        <w:t xml:space="preserve">For P370, </w:t>
      </w:r>
      <w:r w:rsidR="00CA1B1B" w:rsidRPr="00CA1B1B">
        <w:t xml:space="preserve">replace </w:t>
      </w:r>
      <w:r w:rsidRPr="00CA1B1B">
        <w:t xml:space="preserve">“Unstable explosive and divisions 1.1, 1.2, 1.3, 1.4, 1.5” </w:t>
      </w:r>
      <w:r w:rsidR="00CA1B1B" w:rsidRPr="00CA1B1B">
        <w:t xml:space="preserve">with </w:t>
      </w:r>
      <w:r w:rsidRPr="00CA1B1B">
        <w:t>“</w:t>
      </w:r>
      <w:r w:rsidRPr="00BB6949">
        <w:t>1, 2A, 2B, 2C</w:t>
      </w:r>
      <w:r w:rsidRPr="00CA1B1B">
        <w:t>”.</w:t>
      </w:r>
    </w:p>
    <w:p w:rsidR="007C4CB0" w:rsidRPr="00CA1B1B" w:rsidRDefault="007C4CB0" w:rsidP="00CA1B1B">
      <w:pPr>
        <w:pStyle w:val="Bullet1G"/>
      </w:pPr>
      <w:r w:rsidRPr="00CA1B1B">
        <w:t xml:space="preserve">For P372, </w:t>
      </w:r>
      <w:r w:rsidR="00CA1B1B" w:rsidRPr="00CA1B1B">
        <w:t xml:space="preserve">replace </w:t>
      </w:r>
      <w:r w:rsidRPr="00CA1B1B">
        <w:t xml:space="preserve">“Unstable explosive and Divisions 1.1, 1.2, 1.3, and 1.5” </w:t>
      </w:r>
      <w:r w:rsidR="00CA1B1B" w:rsidRPr="00CA1B1B">
        <w:t xml:space="preserve">with </w:t>
      </w:r>
      <w:r w:rsidRPr="00CA1B1B">
        <w:t>“</w:t>
      </w:r>
      <w:r w:rsidRPr="00BB6949">
        <w:t>1, 2A, 2B</w:t>
      </w:r>
      <w:r w:rsidRPr="00CA1B1B">
        <w:t xml:space="preserve">” in column 4 and </w:t>
      </w:r>
      <w:r w:rsidR="00CA1B1B" w:rsidRPr="00CA1B1B">
        <w:t xml:space="preserve">delete </w:t>
      </w:r>
      <w:r w:rsidR="00602B2A">
        <w:t>“</w:t>
      </w:r>
      <w:r w:rsidRPr="00CA1B1B">
        <w:rPr>
          <w:i/>
        </w:rPr>
        <w:t>– except for explosives of division 1.4 (compatibility group S) in transport packaging.</w:t>
      </w:r>
      <w:r w:rsidRPr="00CA1B1B">
        <w:t xml:space="preserve">” </w:t>
      </w:r>
      <w:r w:rsidR="00CA1B1B" w:rsidRPr="00CA1B1B">
        <w:t xml:space="preserve">in </w:t>
      </w:r>
      <w:r w:rsidRPr="00CA1B1B">
        <w:t>column 5.</w:t>
      </w:r>
    </w:p>
    <w:p w:rsidR="007C4CB0" w:rsidRPr="00CA1B1B" w:rsidRDefault="007C4CB0">
      <w:pPr>
        <w:pStyle w:val="Bullet1G"/>
      </w:pPr>
      <w:r w:rsidRPr="00CA1B1B">
        <w:t xml:space="preserve">For P373, </w:t>
      </w:r>
      <w:r w:rsidR="00CA1B1B" w:rsidRPr="00CA1B1B">
        <w:t xml:space="preserve">replace </w:t>
      </w:r>
      <w:r w:rsidRPr="00CA1B1B">
        <w:t xml:space="preserve">“Unstable explosive and divisions 1.1, 1.2, 1.3 and 1.5” </w:t>
      </w:r>
      <w:r w:rsidR="00CA1B1B" w:rsidRPr="00CA1B1B">
        <w:t xml:space="preserve">with </w:t>
      </w:r>
      <w:r w:rsidRPr="00CA1B1B">
        <w:t>“</w:t>
      </w:r>
      <w:r w:rsidRPr="00BB6949">
        <w:t>1, 2A, 2B</w:t>
      </w:r>
      <w:r w:rsidRPr="00CA1B1B">
        <w:t xml:space="preserve">” in column 4 and </w:t>
      </w:r>
      <w:r w:rsidR="00CA1B1B" w:rsidRPr="00CA1B1B">
        <w:t>delete “</w:t>
      </w:r>
      <w:r w:rsidRPr="00CA1B1B">
        <w:rPr>
          <w:i/>
        </w:rPr>
        <w:t>– except for explosives of division 1.4 (compatibility group S) in transport packaging.</w:t>
      </w:r>
      <w:r w:rsidRPr="00CA1B1B">
        <w:t xml:space="preserve">” </w:t>
      </w:r>
      <w:r w:rsidR="00CA1B1B" w:rsidRPr="00CA1B1B">
        <w:t xml:space="preserve">in </w:t>
      </w:r>
      <w:r w:rsidRPr="00CA1B1B">
        <w:t>column 5.</w:t>
      </w:r>
    </w:p>
    <w:p w:rsidR="007C4CB0" w:rsidRPr="00CA1B1B" w:rsidRDefault="007C4CB0">
      <w:pPr>
        <w:pStyle w:val="Bullet1G"/>
      </w:pPr>
      <w:r w:rsidRPr="00CA1B1B">
        <w:t xml:space="preserve">For P375, </w:t>
      </w:r>
      <w:r w:rsidR="00CA1B1B" w:rsidRPr="00CA1B1B">
        <w:t xml:space="preserve">replace </w:t>
      </w:r>
      <w:r w:rsidRPr="00CA1B1B">
        <w:t xml:space="preserve">“Division 1.4” </w:t>
      </w:r>
      <w:r w:rsidR="00CA1B1B" w:rsidRPr="00CA1B1B">
        <w:t xml:space="preserve">with </w:t>
      </w:r>
      <w:r w:rsidRPr="00CA1B1B">
        <w:t>“</w:t>
      </w:r>
      <w:r w:rsidRPr="00BB6949">
        <w:t>2C</w:t>
      </w:r>
      <w:r w:rsidRPr="00CA1B1B">
        <w:t xml:space="preserve">” in column 4 and </w:t>
      </w:r>
      <w:proofErr w:type="gramStart"/>
      <w:r w:rsidR="00CA1B1B" w:rsidRPr="00CA1B1B">
        <w:t>delete“</w:t>
      </w:r>
      <w:proofErr w:type="gramEnd"/>
      <w:r w:rsidRPr="00CA1B1B">
        <w:rPr>
          <w:i/>
        </w:rPr>
        <w:t>– for explosives of division 1.4 (compatibility group S) in transport packaging.</w:t>
      </w:r>
      <w:r w:rsidRPr="00CA1B1B">
        <w:t xml:space="preserve">” </w:t>
      </w:r>
      <w:r w:rsidR="00CA1B1B" w:rsidRPr="00CA1B1B">
        <w:t xml:space="preserve">in </w:t>
      </w:r>
      <w:r w:rsidRPr="00CA1B1B">
        <w:t>column 5.</w:t>
      </w:r>
    </w:p>
    <w:p w:rsidR="007C4CB0" w:rsidRPr="00CA1B1B" w:rsidRDefault="007C4CB0" w:rsidP="00CA1B1B">
      <w:pPr>
        <w:pStyle w:val="Bullet1G"/>
      </w:pPr>
      <w:r w:rsidRPr="00CA1B1B">
        <w:t xml:space="preserve">For P380, </w:t>
      </w:r>
      <w:r w:rsidR="00CA1B1B" w:rsidRPr="00CA1B1B">
        <w:t xml:space="preserve">replace </w:t>
      </w:r>
      <w:r w:rsidRPr="00CA1B1B">
        <w:t xml:space="preserve">“Unstable explosive and Divisions 1.1, 1.2, 1.3, 1.4, 1.5” </w:t>
      </w:r>
      <w:r w:rsidR="00CA1B1B" w:rsidRPr="00CA1B1B">
        <w:t xml:space="preserve">with </w:t>
      </w:r>
      <w:r w:rsidRPr="00CA1B1B">
        <w:t>“</w:t>
      </w:r>
      <w:r w:rsidRPr="00BB6949">
        <w:t>1, 2A, 2B, 2C</w:t>
      </w:r>
      <w:r w:rsidRPr="00CA1B1B">
        <w:t>” in column 4.</w:t>
      </w:r>
    </w:p>
    <w:p w:rsidR="007C4CB0" w:rsidRPr="00CA1B1B" w:rsidRDefault="007C4CB0" w:rsidP="00CA1B1B">
      <w:pPr>
        <w:pStyle w:val="Bullet1G"/>
      </w:pPr>
      <w:r w:rsidRPr="00CA1B1B">
        <w:t xml:space="preserve">For P370 + P380 + P375, </w:t>
      </w:r>
      <w:r w:rsidR="00CA1B1B" w:rsidRPr="00CA1B1B">
        <w:t xml:space="preserve">replace </w:t>
      </w:r>
      <w:r w:rsidRPr="00CA1B1B">
        <w:t>“Division 1.4” to “</w:t>
      </w:r>
      <w:r w:rsidRPr="00BB6949">
        <w:t>2C</w:t>
      </w:r>
      <w:r w:rsidRPr="00CA1B1B">
        <w:t xml:space="preserve">” in column 4 and </w:t>
      </w:r>
      <w:proofErr w:type="gramStart"/>
      <w:r w:rsidR="00CA1B1B" w:rsidRPr="00CA1B1B">
        <w:t xml:space="preserve">delete </w:t>
      </w:r>
      <w:r w:rsidRPr="00CA1B1B">
        <w:t>”</w:t>
      </w:r>
      <w:proofErr w:type="gramEnd"/>
      <w:r w:rsidRPr="00CA1B1B">
        <w:rPr>
          <w:i/>
        </w:rPr>
        <w:t>– for explosives of division 1.4 (compatibility group S) in transport packaging.</w:t>
      </w:r>
      <w:r w:rsidRPr="00CA1B1B">
        <w:t xml:space="preserve">” </w:t>
      </w:r>
      <w:r w:rsidR="00CA1B1B" w:rsidRPr="00CA1B1B">
        <w:t xml:space="preserve">in </w:t>
      </w:r>
      <w:r w:rsidRPr="00CA1B1B">
        <w:t>column 5.</w:t>
      </w:r>
    </w:p>
    <w:p w:rsidR="007C4CB0" w:rsidRPr="00CA1B1B" w:rsidRDefault="007C4CB0" w:rsidP="00CA1B1B">
      <w:pPr>
        <w:pStyle w:val="Bullet1G"/>
      </w:pPr>
      <w:r w:rsidRPr="00CA1B1B">
        <w:t xml:space="preserve">For P370 + P372 + P380 + P373, </w:t>
      </w:r>
      <w:r w:rsidR="00CA1B1B" w:rsidRPr="00CA1B1B">
        <w:t xml:space="preserve">replace </w:t>
      </w:r>
      <w:r w:rsidRPr="00CA1B1B">
        <w:t xml:space="preserve">“Unstable explosives and divisions 1.1, 1.2, 1.3, 1.5” </w:t>
      </w:r>
      <w:r w:rsidR="00CA1B1B" w:rsidRPr="00CA1B1B">
        <w:t xml:space="preserve">with </w:t>
      </w:r>
      <w:r w:rsidRPr="00CA1B1B">
        <w:t>“</w:t>
      </w:r>
      <w:r w:rsidRPr="00BB6949">
        <w:t>1, 2A, 2B</w:t>
      </w:r>
      <w:r w:rsidRPr="00CA1B1B">
        <w:t xml:space="preserve">”, </w:t>
      </w:r>
      <w:r w:rsidR="00CA1B1B" w:rsidRPr="00CA1B1B">
        <w:t xml:space="preserve">delete </w:t>
      </w:r>
      <w:r w:rsidRPr="00CA1B1B">
        <w:t xml:space="preserve">“Division 1.4” in column 4 and </w:t>
      </w:r>
      <w:r w:rsidR="00CA1B1B" w:rsidRPr="00CA1B1B">
        <w:t>delete “</w:t>
      </w:r>
      <w:r w:rsidRPr="00CA1B1B">
        <w:rPr>
          <w:i/>
        </w:rPr>
        <w:t>– except for explosives of division 1.4 (compatibility group S) in transport packaging.</w:t>
      </w:r>
      <w:r w:rsidRPr="00CA1B1B">
        <w:t xml:space="preserve">” </w:t>
      </w:r>
      <w:r w:rsidR="00CA1B1B" w:rsidRPr="00CA1B1B">
        <w:t xml:space="preserve">in </w:t>
      </w:r>
      <w:r w:rsidRPr="00CA1B1B">
        <w:t>column 5.</w:t>
      </w:r>
    </w:p>
    <w:p w:rsidR="007C4CB0" w:rsidRPr="00BB6949" w:rsidRDefault="00CA1B1B" w:rsidP="00BB6949">
      <w:pPr>
        <w:pStyle w:val="H1G"/>
      </w:pPr>
      <w:r>
        <w:tab/>
      </w:r>
      <w:r>
        <w:tab/>
      </w:r>
      <w:r w:rsidR="007736FC">
        <w:t>Amendments</w:t>
      </w:r>
      <w:r w:rsidR="007736FC" w:rsidRPr="00BB6949">
        <w:t xml:space="preserve"> </w:t>
      </w:r>
      <w:r w:rsidR="007C4CB0" w:rsidRPr="00BB6949">
        <w:t>to Table A3.2.4</w:t>
      </w:r>
    </w:p>
    <w:p w:rsidR="007C4CB0" w:rsidRDefault="007C4CB0" w:rsidP="00BB6949">
      <w:pPr>
        <w:pStyle w:val="Bullet1G"/>
      </w:pPr>
      <w:r>
        <w:t xml:space="preserve">For P401, </w:t>
      </w:r>
      <w:r w:rsidR="00CA1B1B">
        <w:t xml:space="preserve">replace </w:t>
      </w:r>
      <w:r>
        <w:t xml:space="preserve">“Unstable explosives and Divisions 1.1, 1.2, 1.3, 1.4, 1.5” </w:t>
      </w:r>
      <w:r w:rsidR="00CA1B1B">
        <w:t xml:space="preserve">with </w:t>
      </w:r>
      <w:r w:rsidRPr="00431037">
        <w:t>“</w:t>
      </w:r>
      <w:r w:rsidRPr="00BB6949">
        <w:t>1, 2A, 2B, 2C</w:t>
      </w:r>
      <w:r w:rsidRPr="00431037">
        <w:t>”</w:t>
      </w:r>
      <w:r>
        <w:t xml:space="preserve"> in column 4.</w:t>
      </w:r>
    </w:p>
    <w:p w:rsidR="007C4CB0" w:rsidRPr="00BB6949" w:rsidRDefault="00CA1B1B" w:rsidP="00BB6949">
      <w:pPr>
        <w:pStyle w:val="H1G"/>
      </w:pPr>
      <w:r>
        <w:tab/>
      </w:r>
      <w:r>
        <w:tab/>
        <w:t xml:space="preserve">Amendments </w:t>
      </w:r>
      <w:r w:rsidR="007C4CB0" w:rsidRPr="00BB6949">
        <w:t>to Table A3.2.5</w:t>
      </w:r>
    </w:p>
    <w:p w:rsidR="007C4CB0" w:rsidRDefault="007C4CB0" w:rsidP="00BB6949">
      <w:pPr>
        <w:pStyle w:val="Bullet1G"/>
      </w:pPr>
      <w:r w:rsidRPr="00FD2C6E">
        <w:t xml:space="preserve">For P503, </w:t>
      </w:r>
      <w:r w:rsidR="00CA1B1B" w:rsidRPr="00FD2C6E">
        <w:t xml:space="preserve">replace </w:t>
      </w:r>
      <w:r w:rsidRPr="00FD2C6E">
        <w:t xml:space="preserve">“Unstable explosives and Divisions 1.1, 1.2, 1.3, 1.4, 1.5” </w:t>
      </w:r>
      <w:r w:rsidR="00CA1B1B" w:rsidRPr="00FD2C6E">
        <w:t xml:space="preserve">with </w:t>
      </w:r>
      <w:r w:rsidRPr="00FD2C6E">
        <w:t>“</w:t>
      </w:r>
      <w:r w:rsidRPr="00BB6949">
        <w:t>1, 2A, 2B, 2C</w:t>
      </w:r>
      <w:r w:rsidRPr="00FD2C6E">
        <w:t>”</w:t>
      </w:r>
      <w:r>
        <w:t xml:space="preserve"> in column 4.</w:t>
      </w:r>
    </w:p>
    <w:p w:rsidR="007C4CB0" w:rsidRPr="00B12C95" w:rsidRDefault="007C4CB0" w:rsidP="007C4CB0">
      <w:pPr>
        <w:spacing w:before="240"/>
        <w:jc w:val="center"/>
        <w:rPr>
          <w:u w:val="single"/>
        </w:rPr>
      </w:pPr>
      <w:r>
        <w:rPr>
          <w:u w:val="single"/>
        </w:rPr>
        <w:lastRenderedPageBreak/>
        <w:tab/>
      </w:r>
      <w:r>
        <w:rPr>
          <w:u w:val="single"/>
        </w:rPr>
        <w:tab/>
      </w:r>
      <w:r>
        <w:rPr>
          <w:u w:val="single"/>
        </w:rPr>
        <w:tab/>
      </w:r>
    </w:p>
    <w:p w:rsidR="00AF5DE1" w:rsidRPr="00D05DE0" w:rsidRDefault="00AF5DE1" w:rsidP="007C4CB0">
      <w:pPr>
        <w:pStyle w:val="H1G"/>
      </w:pPr>
    </w:p>
    <w:sectPr w:rsidR="00AF5DE1" w:rsidRPr="00D05DE0" w:rsidSect="00D05DE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FC" w:rsidRPr="00C47B2E" w:rsidRDefault="007736FC" w:rsidP="00C47B2E">
      <w:pPr>
        <w:pStyle w:val="Footer"/>
      </w:pPr>
    </w:p>
  </w:endnote>
  <w:endnote w:type="continuationSeparator" w:id="0">
    <w:p w:rsidR="007736FC" w:rsidRPr="00C47B2E" w:rsidRDefault="007736FC" w:rsidP="00C47B2E">
      <w:pPr>
        <w:pStyle w:val="Footer"/>
      </w:pPr>
    </w:p>
  </w:endnote>
  <w:endnote w:type="continuationNotice" w:id="1">
    <w:p w:rsidR="007736FC" w:rsidRPr="00C47B2E" w:rsidRDefault="007736F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FC" w:rsidRPr="00D05DE0" w:rsidRDefault="007736FC" w:rsidP="00D05DE0">
    <w:pPr>
      <w:pStyle w:val="Footer"/>
      <w:tabs>
        <w:tab w:val="right" w:pos="9598"/>
        <w:tab w:val="right" w:pos="9638"/>
      </w:tabs>
      <w:rPr>
        <w:sz w:val="18"/>
      </w:rPr>
    </w:pPr>
    <w:r w:rsidRPr="00D05DE0">
      <w:rPr>
        <w:b/>
        <w:sz w:val="18"/>
      </w:rPr>
      <w:fldChar w:fldCharType="begin"/>
    </w:r>
    <w:r w:rsidRPr="00D05DE0">
      <w:rPr>
        <w:b/>
        <w:sz w:val="18"/>
      </w:rPr>
      <w:instrText xml:space="preserve"> PAGE  \* MERGEFORMAT </w:instrText>
    </w:r>
    <w:r w:rsidRPr="00D05DE0">
      <w:rPr>
        <w:b/>
        <w:sz w:val="18"/>
      </w:rPr>
      <w:fldChar w:fldCharType="separate"/>
    </w:r>
    <w:r w:rsidRPr="00D05DE0">
      <w:rPr>
        <w:b/>
        <w:noProof/>
        <w:sz w:val="18"/>
      </w:rPr>
      <w:t>2</w:t>
    </w:r>
    <w:r w:rsidRPr="00D05D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FC" w:rsidRPr="00D05DE0" w:rsidRDefault="007736FC" w:rsidP="00D05DE0">
    <w:pPr>
      <w:pStyle w:val="Footer"/>
      <w:tabs>
        <w:tab w:val="left" w:pos="5775"/>
        <w:tab w:val="right" w:pos="9598"/>
        <w:tab w:val="right" w:pos="9638"/>
      </w:tabs>
      <w:rPr>
        <w:sz w:val="18"/>
      </w:rPr>
    </w:pPr>
    <w:r>
      <w:rPr>
        <w:b/>
        <w:sz w:val="18"/>
      </w:rPr>
      <w:tab/>
    </w:r>
    <w:r w:rsidRPr="00D05DE0">
      <w:rPr>
        <w:sz w:val="18"/>
      </w:rPr>
      <w:fldChar w:fldCharType="begin"/>
    </w:r>
    <w:r w:rsidRPr="00D05DE0">
      <w:rPr>
        <w:sz w:val="18"/>
      </w:rPr>
      <w:instrText xml:space="preserve"> PAGE  \* MERGEFORMAT </w:instrText>
    </w:r>
    <w:r w:rsidRPr="00D05DE0">
      <w:rPr>
        <w:sz w:val="18"/>
      </w:rPr>
      <w:fldChar w:fldCharType="separate"/>
    </w:r>
    <w:r w:rsidRPr="00D05DE0">
      <w:rPr>
        <w:noProof/>
        <w:sz w:val="18"/>
      </w:rPr>
      <w:t>3</w:t>
    </w:r>
    <w:r w:rsidRPr="00D05DE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FC" w:rsidRPr="00D05DE0" w:rsidRDefault="007736FC"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8EE75B3" wp14:editId="5F260A2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FC" w:rsidRPr="00C47B2E" w:rsidRDefault="007736FC" w:rsidP="00C47B2E">
      <w:pPr>
        <w:tabs>
          <w:tab w:val="right" w:pos="2155"/>
        </w:tabs>
        <w:spacing w:after="80" w:line="240" w:lineRule="auto"/>
        <w:ind w:left="680"/>
      </w:pPr>
      <w:r>
        <w:rPr>
          <w:u w:val="single"/>
        </w:rPr>
        <w:tab/>
      </w:r>
    </w:p>
  </w:footnote>
  <w:footnote w:type="continuationSeparator" w:id="0">
    <w:p w:rsidR="007736FC" w:rsidRPr="00C47B2E" w:rsidRDefault="007736FC" w:rsidP="005E716E">
      <w:pPr>
        <w:tabs>
          <w:tab w:val="right" w:pos="2155"/>
        </w:tabs>
        <w:spacing w:after="80" w:line="240" w:lineRule="auto"/>
        <w:ind w:left="680"/>
      </w:pPr>
      <w:r>
        <w:rPr>
          <w:u w:val="single"/>
        </w:rPr>
        <w:tab/>
      </w:r>
    </w:p>
  </w:footnote>
  <w:footnote w:type="continuationNotice" w:id="1">
    <w:p w:rsidR="007736FC" w:rsidRPr="00C47B2E" w:rsidRDefault="007736FC" w:rsidP="00C47B2E">
      <w:pPr>
        <w:pStyle w:val="Footer"/>
      </w:pPr>
    </w:p>
  </w:footnote>
  <w:footnote w:id="2">
    <w:p w:rsidR="007736FC" w:rsidRPr="007C4CB0" w:rsidRDefault="007736FC" w:rsidP="007C4CB0">
      <w:pPr>
        <w:pStyle w:val="FootnoteText"/>
        <w:tabs>
          <w:tab w:val="left" w:pos="1418"/>
        </w:tabs>
        <w:ind w:firstLine="0"/>
        <w:rPr>
          <w:lang w:val="fr-CH"/>
        </w:rPr>
      </w:pPr>
      <w:r w:rsidRPr="007C4CB0">
        <w:rPr>
          <w:rStyle w:val="FootnoteReference"/>
          <w:sz w:val="20"/>
          <w:vertAlign w:val="baseline"/>
        </w:rPr>
        <w:t>*</w:t>
      </w:r>
      <w:r>
        <w:rPr>
          <w:rStyle w:val="FootnoteReference"/>
          <w:sz w:val="20"/>
          <w:vertAlign w:val="baseline"/>
        </w:rPr>
        <w:tab/>
      </w:r>
      <w:r>
        <w:rPr>
          <w:lang w:val="en-US"/>
        </w:rPr>
        <w:t xml:space="preserve">2020 (A/74/6 (Sect.20) and Supplementary, </w:t>
      </w:r>
      <w:proofErr w:type="spellStart"/>
      <w:r>
        <w:rPr>
          <w:lang w:val="en-US"/>
        </w:rPr>
        <w:t>Subprogramme</w:t>
      </w:r>
      <w:proofErr w:type="spellEnd"/>
      <w:r>
        <w:rPr>
          <w:lang w:val="en-US"/>
        </w:rPr>
        <w:t xml:space="preserve"> 2</w:t>
      </w:r>
      <w:r w:rsidR="00431037">
        <w:rPr>
          <w:lang w:val="en-US"/>
        </w:rPr>
        <w:t>)</w:t>
      </w:r>
      <w:r>
        <w:rPr>
          <w:lang w:val="en-US"/>
        </w:rPr>
        <w:t>.</w:t>
      </w:r>
    </w:p>
  </w:footnote>
  <w:footnote w:id="3">
    <w:p w:rsidR="007736FC" w:rsidRDefault="00C84B09" w:rsidP="007C4CB0">
      <w:pPr>
        <w:pStyle w:val="FootnoteText"/>
      </w:pPr>
      <w:r>
        <w:tab/>
      </w:r>
      <w:r w:rsidR="007736FC">
        <w:rPr>
          <w:rStyle w:val="FootnoteReference"/>
        </w:rPr>
        <w:footnoteRef/>
      </w:r>
      <w:r w:rsidR="007736FC">
        <w:t xml:space="preserve"> </w:t>
      </w:r>
      <w:r>
        <w:tab/>
      </w:r>
      <w:r w:rsidR="007736FC">
        <w:t>UN/SCEGHS/36/INF.43 Rev.1</w:t>
      </w:r>
    </w:p>
  </w:footnote>
  <w:footnote w:id="4">
    <w:p w:rsidR="007736FC" w:rsidRDefault="00C84B09" w:rsidP="007C4CB0">
      <w:pPr>
        <w:pStyle w:val="FootnoteText"/>
      </w:pPr>
      <w:r>
        <w:tab/>
      </w:r>
      <w:r w:rsidR="007736FC">
        <w:rPr>
          <w:rStyle w:val="FootnoteReference"/>
        </w:rPr>
        <w:footnoteRef/>
      </w:r>
      <w:r w:rsidR="007736FC">
        <w:t xml:space="preserve"> </w:t>
      </w:r>
      <w:r>
        <w:tab/>
      </w:r>
      <w:r w:rsidR="007736FC">
        <w:t>Excluding Division 1.6 as explained in paragraph 6.</w:t>
      </w:r>
    </w:p>
  </w:footnote>
  <w:footnote w:id="5">
    <w:p w:rsidR="007736FC" w:rsidRDefault="00C84B09" w:rsidP="007C4CB0">
      <w:pPr>
        <w:pStyle w:val="FootnoteText"/>
      </w:pPr>
      <w:r>
        <w:tab/>
      </w:r>
      <w:r w:rsidR="007736FC">
        <w:rPr>
          <w:rStyle w:val="FootnoteReference"/>
        </w:rPr>
        <w:footnoteRef/>
      </w:r>
      <w:r w:rsidR="007736FC">
        <w:t xml:space="preserve"> </w:t>
      </w:r>
      <w:r>
        <w:tab/>
      </w:r>
      <w:r w:rsidR="007736FC">
        <w:t>Excluding Division 1.6 as explained in paragraph 6.</w:t>
      </w:r>
    </w:p>
  </w:footnote>
  <w:footnote w:id="6">
    <w:p w:rsidR="007736FC" w:rsidRDefault="00C84B09" w:rsidP="007C4CB0">
      <w:pPr>
        <w:pStyle w:val="FootnoteText"/>
      </w:pPr>
      <w:r>
        <w:tab/>
      </w:r>
      <w:r w:rsidR="007736FC">
        <w:rPr>
          <w:rStyle w:val="FootnoteReference"/>
        </w:rPr>
        <w:footnoteRef/>
      </w:r>
      <w:r w:rsidR="007736FC">
        <w:t xml:space="preserve"> </w:t>
      </w:r>
      <w:r>
        <w:tab/>
      </w:r>
      <w:r w:rsidR="007736FC">
        <w:t>See Figure 2.1.3 of current Chapter 2.1 of the GHS (Rev. 8).</w:t>
      </w:r>
    </w:p>
  </w:footnote>
  <w:footnote w:id="7">
    <w:p w:rsidR="007736FC" w:rsidRDefault="00C84B09" w:rsidP="007C4CB0">
      <w:pPr>
        <w:pStyle w:val="FootnoteText"/>
      </w:pPr>
      <w:r>
        <w:tab/>
      </w:r>
      <w:r w:rsidR="007736FC">
        <w:rPr>
          <w:rStyle w:val="FootnoteReference"/>
        </w:rPr>
        <w:footnoteRef/>
      </w:r>
      <w:r w:rsidR="007736FC">
        <w:t xml:space="preserve"> </w:t>
      </w:r>
      <w:r>
        <w:tab/>
      </w:r>
      <w:r w:rsidR="007736FC">
        <w:t xml:space="preserve">This includes Division 1.4S that do not fulfil the conditions to be classified as </w:t>
      </w:r>
      <w:r>
        <w:t>sub</w:t>
      </w:r>
      <w:r w:rsidR="007736FC">
        <w:t>-category 2C.</w:t>
      </w:r>
    </w:p>
  </w:footnote>
  <w:footnote w:id="8">
    <w:p w:rsidR="007736FC" w:rsidRDefault="00C84B09" w:rsidP="007C4CB0">
      <w:pPr>
        <w:pStyle w:val="FootnoteText"/>
      </w:pPr>
      <w:r>
        <w:tab/>
      </w:r>
      <w:r w:rsidR="007736FC">
        <w:rPr>
          <w:rStyle w:val="FootnoteReference"/>
        </w:rPr>
        <w:footnoteRef/>
      </w:r>
      <w:r w:rsidR="007736FC">
        <w:t xml:space="preserve"> </w:t>
      </w:r>
      <w:r>
        <w:tab/>
      </w:r>
      <w:r w:rsidR="007736FC">
        <w:t>Excluding Division 1.6 as explained in paragraph 6.</w:t>
      </w:r>
    </w:p>
  </w:footnote>
  <w:footnote w:id="9">
    <w:p w:rsidR="007736FC" w:rsidRDefault="00C84B09" w:rsidP="007C4CB0">
      <w:pPr>
        <w:pStyle w:val="FootnoteText"/>
      </w:pPr>
      <w:r>
        <w:tab/>
      </w:r>
      <w:r w:rsidR="007736FC">
        <w:rPr>
          <w:rStyle w:val="FootnoteReference"/>
        </w:rPr>
        <w:footnoteRef/>
      </w:r>
      <w:r w:rsidR="007736FC">
        <w:t xml:space="preserve"> </w:t>
      </w:r>
      <w:r>
        <w:tab/>
      </w:r>
      <w:r w:rsidR="007736FC">
        <w:t>P234 cannot be assigned to explosives in Category 1 as that classification comprises explosive where there generally is no “original packaging”.</w:t>
      </w:r>
    </w:p>
  </w:footnote>
  <w:footnote w:id="10">
    <w:p w:rsidR="007736FC" w:rsidRDefault="00C84B09" w:rsidP="007C4CB0">
      <w:pPr>
        <w:pStyle w:val="FootnoteText"/>
        <w:rPr>
          <w:lang w:eastAsia="en-US"/>
        </w:rPr>
      </w:pPr>
      <w:r>
        <w:tab/>
      </w:r>
      <w:r w:rsidR="007736FC">
        <w:rPr>
          <w:rStyle w:val="FootnoteReference"/>
        </w:rPr>
        <w:footnoteRef/>
      </w:r>
      <w:r w:rsidR="007736FC">
        <w:t xml:space="preserve"> </w:t>
      </w:r>
      <w:r>
        <w:tab/>
      </w:r>
      <w:r w:rsidR="007736FC">
        <w:t>See UN/SCETDG/56/INF.8 - UN/SCEGHS/38/INF.6 for a recent account on this topic.</w:t>
      </w:r>
    </w:p>
  </w:footnote>
  <w:footnote w:id="11">
    <w:p w:rsidR="007736FC" w:rsidRDefault="007736FC" w:rsidP="007C4CB0">
      <w:pPr>
        <w:pStyle w:val="FootnoteText"/>
        <w:rPr>
          <w:lang w:eastAsia="en-US"/>
        </w:rPr>
      </w:pPr>
      <w:r>
        <w:rPr>
          <w:rStyle w:val="FootnoteReference"/>
        </w:rPr>
        <w:footnoteRef/>
      </w:r>
      <w:r>
        <w:t xml:space="preserve"> See the description of Division 1.4 in Chapter 2.1 of the UN Model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FC" w:rsidRPr="00D05DE0" w:rsidRDefault="00EB706B">
    <w:pPr>
      <w:pStyle w:val="Header"/>
    </w:pPr>
    <w:r>
      <w:fldChar w:fldCharType="begin"/>
    </w:r>
    <w:r>
      <w:instrText xml:space="preserve"> TITLE  \* MERGEFORMAT </w:instrText>
    </w:r>
    <w:r>
      <w:fldChar w:fldCharType="separate"/>
    </w:r>
    <w:r w:rsidR="007736FC">
      <w:t>ST/SG/AC.10/C.3/2020/23</w:t>
    </w:r>
    <w:r>
      <w:fldChar w:fldCharType="end"/>
    </w:r>
    <w:r w:rsidR="007736FC">
      <w:br/>
    </w:r>
    <w:r>
      <w:fldChar w:fldCharType="begin"/>
    </w:r>
    <w:r>
      <w:instrText xml:space="preserve"> KEYWORDS  \* MERGEFORMAT </w:instrText>
    </w:r>
    <w:r>
      <w:fldChar w:fldCharType="separate"/>
    </w:r>
    <w:r w:rsidR="007736FC">
      <w:t>ST/SG/AC.10/C.4/2020/8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6FC" w:rsidRPr="00D05DE0" w:rsidRDefault="00EB706B" w:rsidP="00D05DE0">
    <w:pPr>
      <w:pStyle w:val="Header"/>
      <w:jc w:val="right"/>
    </w:pPr>
    <w:r>
      <w:fldChar w:fldCharType="begin"/>
    </w:r>
    <w:r>
      <w:instrText xml:space="preserve"> TITLE  \* MERGEFORMAT </w:instrText>
    </w:r>
    <w:r>
      <w:fldChar w:fldCharType="separate"/>
    </w:r>
    <w:r w:rsidR="007736FC">
      <w:t>ST/SG/AC.10/C.3/2020/23</w:t>
    </w:r>
    <w:r>
      <w:fldChar w:fldCharType="end"/>
    </w:r>
    <w:r w:rsidR="007736FC">
      <w:br/>
    </w:r>
    <w:r>
      <w:fldChar w:fldCharType="begin"/>
    </w:r>
    <w:r>
      <w:instrText xml:space="preserve"> KEYWORDS  \* MERGEFORMAT </w:instrText>
    </w:r>
    <w:r>
      <w:fldChar w:fldCharType="separate"/>
    </w:r>
    <w:r w:rsidR="007736FC">
      <w:t>ST/SG/AC.10/C.4/2020/8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60F0A"/>
    <w:multiLevelType w:val="hybridMultilevel"/>
    <w:tmpl w:val="7C02C3F6"/>
    <w:lvl w:ilvl="0" w:tplc="E7065D58">
      <w:start w:val="10"/>
      <w:numFmt w:val="bullet"/>
      <w:lvlText w:val=""/>
      <w:lvlJc w:val="left"/>
      <w:pPr>
        <w:ind w:left="1494" w:hanging="360"/>
      </w:pPr>
      <w:rPr>
        <w:rFonts w:ascii="Symbol" w:eastAsia="Times New Roman" w:hAnsi="Symbol"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E0"/>
    <w:rsid w:val="00046E92"/>
    <w:rsid w:val="00063C90"/>
    <w:rsid w:val="000A05C0"/>
    <w:rsid w:val="00101B98"/>
    <w:rsid w:val="00142E2E"/>
    <w:rsid w:val="001514D1"/>
    <w:rsid w:val="00247E2C"/>
    <w:rsid w:val="002A32CB"/>
    <w:rsid w:val="002D5B2C"/>
    <w:rsid w:val="002D6C53"/>
    <w:rsid w:val="002F5595"/>
    <w:rsid w:val="00323AA4"/>
    <w:rsid w:val="00334F6A"/>
    <w:rsid w:val="00342AC8"/>
    <w:rsid w:val="00343302"/>
    <w:rsid w:val="003979DE"/>
    <w:rsid w:val="003B4550"/>
    <w:rsid w:val="003D2A18"/>
    <w:rsid w:val="00413386"/>
    <w:rsid w:val="00431037"/>
    <w:rsid w:val="00461253"/>
    <w:rsid w:val="004858F5"/>
    <w:rsid w:val="004A2814"/>
    <w:rsid w:val="004C0622"/>
    <w:rsid w:val="005042C2"/>
    <w:rsid w:val="005E716E"/>
    <w:rsid w:val="00602B2A"/>
    <w:rsid w:val="006476E1"/>
    <w:rsid w:val="006604DF"/>
    <w:rsid w:val="00671529"/>
    <w:rsid w:val="0070489D"/>
    <w:rsid w:val="007268F9"/>
    <w:rsid w:val="00750282"/>
    <w:rsid w:val="00764440"/>
    <w:rsid w:val="0077101B"/>
    <w:rsid w:val="007736FC"/>
    <w:rsid w:val="007C4CB0"/>
    <w:rsid w:val="007C52B0"/>
    <w:rsid w:val="007C6033"/>
    <w:rsid w:val="00814747"/>
    <w:rsid w:val="008147C8"/>
    <w:rsid w:val="0081753A"/>
    <w:rsid w:val="00857D23"/>
    <w:rsid w:val="009406E2"/>
    <w:rsid w:val="009411B4"/>
    <w:rsid w:val="00946F1D"/>
    <w:rsid w:val="009D0139"/>
    <w:rsid w:val="009D717D"/>
    <w:rsid w:val="009F5CDC"/>
    <w:rsid w:val="00A072D7"/>
    <w:rsid w:val="00A775CF"/>
    <w:rsid w:val="00AD1A9C"/>
    <w:rsid w:val="00AF521D"/>
    <w:rsid w:val="00AF5DE1"/>
    <w:rsid w:val="00B06045"/>
    <w:rsid w:val="00B206DD"/>
    <w:rsid w:val="00B52EF4"/>
    <w:rsid w:val="00B777AD"/>
    <w:rsid w:val="00BB6949"/>
    <w:rsid w:val="00C03015"/>
    <w:rsid w:val="00C0358D"/>
    <w:rsid w:val="00C35A27"/>
    <w:rsid w:val="00C47B2E"/>
    <w:rsid w:val="00C84B09"/>
    <w:rsid w:val="00CA1B1B"/>
    <w:rsid w:val="00D05DE0"/>
    <w:rsid w:val="00D63CD2"/>
    <w:rsid w:val="00D87DC2"/>
    <w:rsid w:val="00D922F6"/>
    <w:rsid w:val="00D94B05"/>
    <w:rsid w:val="00E02C2B"/>
    <w:rsid w:val="00E21C27"/>
    <w:rsid w:val="00E26BCF"/>
    <w:rsid w:val="00E52109"/>
    <w:rsid w:val="00E75317"/>
    <w:rsid w:val="00EB706B"/>
    <w:rsid w:val="00EC0CE6"/>
    <w:rsid w:val="00EC7C1D"/>
    <w:rsid w:val="00ED6C48"/>
    <w:rsid w:val="00EE3045"/>
    <w:rsid w:val="00F65F5D"/>
    <w:rsid w:val="00F86A3A"/>
    <w:rsid w:val="00FD2C6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72A0AF-9687-4C1D-8E4B-1B8B8F7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C4CB0"/>
    <w:rPr>
      <w:b/>
      <w:sz w:val="28"/>
    </w:rPr>
  </w:style>
  <w:style w:type="character" w:customStyle="1" w:styleId="H1GChar">
    <w:name w:val="_ H_1_G Char"/>
    <w:link w:val="H1G"/>
    <w:locked/>
    <w:rsid w:val="007C4CB0"/>
    <w:rPr>
      <w:b/>
      <w:sz w:val="24"/>
    </w:rPr>
  </w:style>
  <w:style w:type="character" w:customStyle="1" w:styleId="SingleTxtGChar">
    <w:name w:val="_ Single Txt_G Char"/>
    <w:link w:val="SingleTxtG"/>
    <w:locked/>
    <w:rsid w:val="007C4CB0"/>
  </w:style>
  <w:style w:type="paragraph" w:styleId="ListParagraph">
    <w:name w:val="List Paragraph"/>
    <w:basedOn w:val="Normal"/>
    <w:uiPriority w:val="34"/>
    <w:qFormat/>
    <w:rsid w:val="007C4CB0"/>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4459-FD38-451C-A7E6-B168054A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60</TotalTime>
  <Pages>7</Pages>
  <Words>2312</Words>
  <Characters>11304</Characters>
  <Application>Microsoft Office Word</Application>
  <DocSecurity>0</DocSecurity>
  <Lines>382</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ST/SG/AC.10/C.3/2020/23</vt: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ST/SG/AC.10/C.3/2020/23</dc:title>
  <dc:subject/>
  <dc:creator>Rosa</dc:creator>
  <cp:keywords>ST/SG/AC.10/C.4/2020/8</cp:keywords>
  <cp:lastModifiedBy>Laurence Berthet</cp:lastModifiedBy>
  <cp:revision>13</cp:revision>
  <dcterms:created xsi:type="dcterms:W3CDTF">2020-04-03T08:50:00Z</dcterms:created>
  <dcterms:modified xsi:type="dcterms:W3CDTF">2020-04-07T14:26:00Z</dcterms:modified>
</cp:coreProperties>
</file>