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D41328A" w14:textId="77777777" w:rsidTr="006476E1">
        <w:trPr>
          <w:trHeight w:val="851"/>
        </w:trPr>
        <w:tc>
          <w:tcPr>
            <w:tcW w:w="1259" w:type="dxa"/>
            <w:tcBorders>
              <w:top w:val="nil"/>
              <w:left w:val="nil"/>
              <w:bottom w:val="single" w:sz="4" w:space="0" w:color="auto"/>
              <w:right w:val="nil"/>
            </w:tcBorders>
          </w:tcPr>
          <w:p w14:paraId="226B0EAF"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001F245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5C121F9" w14:textId="77777777" w:rsidR="00D25432" w:rsidRDefault="00D25432" w:rsidP="00D25432">
            <w:pPr>
              <w:suppressAutoHyphens w:val="0"/>
              <w:jc w:val="right"/>
            </w:pPr>
            <w:r w:rsidRPr="00D25432">
              <w:rPr>
                <w:sz w:val="40"/>
              </w:rPr>
              <w:t>ST</w:t>
            </w:r>
            <w:r>
              <w:t>/SG/AC.10/C.3/2020/20−</w:t>
            </w:r>
            <w:r w:rsidRPr="00D25432">
              <w:rPr>
                <w:sz w:val="40"/>
              </w:rPr>
              <w:t>ST</w:t>
            </w:r>
            <w:r>
              <w:t>/SG/AC.10/C.4/2020/5</w:t>
            </w:r>
          </w:p>
        </w:tc>
      </w:tr>
      <w:tr w:rsidR="00E52109" w14:paraId="78284AC2" w14:textId="77777777" w:rsidTr="006476E1">
        <w:trPr>
          <w:trHeight w:val="2835"/>
        </w:trPr>
        <w:tc>
          <w:tcPr>
            <w:tcW w:w="1259" w:type="dxa"/>
            <w:tcBorders>
              <w:top w:val="single" w:sz="4" w:space="0" w:color="auto"/>
              <w:left w:val="nil"/>
              <w:bottom w:val="single" w:sz="12" w:space="0" w:color="auto"/>
              <w:right w:val="nil"/>
            </w:tcBorders>
          </w:tcPr>
          <w:p w14:paraId="693C9B44" w14:textId="77777777" w:rsidR="00E52109" w:rsidRDefault="00E52109" w:rsidP="006476E1">
            <w:pPr>
              <w:spacing w:before="120"/>
              <w:jc w:val="center"/>
            </w:pPr>
            <w:r>
              <w:rPr>
                <w:noProof/>
                <w:lang w:val="fr-CH" w:eastAsia="fr-CH"/>
              </w:rPr>
              <w:drawing>
                <wp:inline distT="0" distB="0" distL="0" distR="0" wp14:anchorId="41BA80EC" wp14:editId="2AF0A7E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51D765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650C981" w14:textId="77777777" w:rsidR="00D94B05" w:rsidRDefault="00D25432" w:rsidP="00D25432">
            <w:pPr>
              <w:suppressAutoHyphens w:val="0"/>
              <w:spacing w:before="240" w:line="240" w:lineRule="exact"/>
            </w:pPr>
            <w:r>
              <w:t>Distr.: General</w:t>
            </w:r>
          </w:p>
          <w:p w14:paraId="444F5006" w14:textId="7A69A67D" w:rsidR="00D25432" w:rsidRDefault="00946007" w:rsidP="00D25432">
            <w:pPr>
              <w:suppressAutoHyphens w:val="0"/>
              <w:spacing w:line="240" w:lineRule="exact"/>
            </w:pPr>
            <w:r>
              <w:t>8</w:t>
            </w:r>
            <w:r w:rsidR="008962B2">
              <w:t xml:space="preserve"> </w:t>
            </w:r>
            <w:r w:rsidR="00D25432">
              <w:t>April 2020</w:t>
            </w:r>
          </w:p>
          <w:p w14:paraId="31BDE12E" w14:textId="77777777" w:rsidR="00D25432" w:rsidRDefault="00D25432" w:rsidP="00D25432">
            <w:pPr>
              <w:suppressAutoHyphens w:val="0"/>
              <w:spacing w:line="240" w:lineRule="exact"/>
            </w:pPr>
          </w:p>
          <w:p w14:paraId="5C7463DF" w14:textId="77777777" w:rsidR="00D25432" w:rsidRDefault="00D25432" w:rsidP="00D25432">
            <w:pPr>
              <w:suppressAutoHyphens w:val="0"/>
              <w:spacing w:line="240" w:lineRule="exact"/>
            </w:pPr>
            <w:r>
              <w:t>Original: English</w:t>
            </w:r>
          </w:p>
        </w:tc>
      </w:tr>
    </w:tbl>
    <w:p w14:paraId="3CC8F222" w14:textId="77777777" w:rsidR="00E24E95" w:rsidRPr="006500BA" w:rsidRDefault="00E24E9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24E95" w:rsidRPr="00302456" w14:paraId="56CFB5FE" w14:textId="77777777" w:rsidTr="00E24E95">
        <w:tc>
          <w:tcPr>
            <w:tcW w:w="4593" w:type="dxa"/>
            <w:shd w:val="clear" w:color="auto" w:fill="auto"/>
          </w:tcPr>
          <w:p w14:paraId="03FDCD5C" w14:textId="77777777" w:rsidR="00E24E95" w:rsidRPr="00302456" w:rsidRDefault="00E24E95" w:rsidP="00E24E95">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3ABBEF14" w14:textId="77777777" w:rsidR="00E24E95" w:rsidRPr="00302456" w:rsidRDefault="00E24E95" w:rsidP="00E24E95">
            <w:pPr>
              <w:spacing w:before="120"/>
              <w:rPr>
                <w:b/>
              </w:rPr>
            </w:pPr>
            <w:r w:rsidRPr="00302456">
              <w:rPr>
                <w:b/>
              </w:rPr>
              <w:t xml:space="preserve">Sub-Committee of Experts on the Globally Harmonized System of Classification and Labelling of Chemicals </w:t>
            </w:r>
          </w:p>
        </w:tc>
      </w:tr>
      <w:tr w:rsidR="00E24E95" w:rsidRPr="00302456" w14:paraId="184B0AF8" w14:textId="77777777" w:rsidTr="00E24E95">
        <w:tc>
          <w:tcPr>
            <w:tcW w:w="4593" w:type="dxa"/>
            <w:shd w:val="clear" w:color="auto" w:fill="auto"/>
          </w:tcPr>
          <w:p w14:paraId="7985C868" w14:textId="77777777" w:rsidR="00E24E95" w:rsidRPr="00302456" w:rsidRDefault="00E24E95" w:rsidP="00E24E95">
            <w:pPr>
              <w:spacing w:before="120"/>
              <w:rPr>
                <w:b/>
              </w:rPr>
            </w:pPr>
            <w:r>
              <w:rPr>
                <w:b/>
              </w:rPr>
              <w:t>Fifty-seventh</w:t>
            </w:r>
            <w:r w:rsidRPr="00302456">
              <w:rPr>
                <w:b/>
              </w:rPr>
              <w:t xml:space="preserve"> session</w:t>
            </w:r>
          </w:p>
        </w:tc>
        <w:tc>
          <w:tcPr>
            <w:tcW w:w="5046" w:type="dxa"/>
            <w:shd w:val="clear" w:color="auto" w:fill="auto"/>
          </w:tcPr>
          <w:p w14:paraId="1C6636A5" w14:textId="77777777" w:rsidR="00E24E95" w:rsidRPr="00302456" w:rsidRDefault="00E24E95" w:rsidP="00E24E95">
            <w:pPr>
              <w:spacing w:before="120"/>
              <w:rPr>
                <w:b/>
              </w:rPr>
            </w:pPr>
            <w:r w:rsidRPr="009F76AC">
              <w:rPr>
                <w:b/>
              </w:rPr>
              <w:t>Thirty-</w:t>
            </w:r>
            <w:r>
              <w:rPr>
                <w:b/>
              </w:rPr>
              <w:t>ninth</w:t>
            </w:r>
            <w:r w:rsidRPr="00302456">
              <w:rPr>
                <w:b/>
              </w:rPr>
              <w:t xml:space="preserve"> session</w:t>
            </w:r>
          </w:p>
        </w:tc>
      </w:tr>
      <w:tr w:rsidR="00E24E95" w:rsidRPr="00302456" w14:paraId="49F72B79" w14:textId="77777777" w:rsidTr="00E24E95">
        <w:tc>
          <w:tcPr>
            <w:tcW w:w="4593" w:type="dxa"/>
            <w:shd w:val="clear" w:color="auto" w:fill="auto"/>
          </w:tcPr>
          <w:p w14:paraId="11F09A52" w14:textId="77777777" w:rsidR="00E24E95" w:rsidRPr="00302456" w:rsidRDefault="00E24E95" w:rsidP="00E24E95">
            <w:pPr>
              <w:rPr>
                <w:b/>
              </w:rPr>
            </w:pPr>
            <w:r>
              <w:t xml:space="preserve">Geneva, </w:t>
            </w:r>
            <w:r w:rsidRPr="009F76AC">
              <w:t>2</w:t>
            </w:r>
            <w:r>
              <w:t>9 June</w:t>
            </w:r>
            <w:r w:rsidRPr="009F76AC">
              <w:t>-</w:t>
            </w:r>
            <w:r>
              <w:t>8 July 2020</w:t>
            </w:r>
          </w:p>
        </w:tc>
        <w:tc>
          <w:tcPr>
            <w:tcW w:w="5046" w:type="dxa"/>
            <w:shd w:val="clear" w:color="auto" w:fill="auto"/>
          </w:tcPr>
          <w:p w14:paraId="565D078A" w14:textId="77777777" w:rsidR="00E24E95" w:rsidRPr="00302456" w:rsidRDefault="00E24E95" w:rsidP="00E24E95">
            <w:pPr>
              <w:rPr>
                <w:b/>
              </w:rPr>
            </w:pPr>
            <w:r>
              <w:t>Geneva, 8</w:t>
            </w:r>
            <w:r w:rsidRPr="009F76AC">
              <w:t>-</w:t>
            </w:r>
            <w:r>
              <w:t>10</w:t>
            </w:r>
            <w:r w:rsidRPr="009F76AC">
              <w:t xml:space="preserve"> </w:t>
            </w:r>
            <w:r>
              <w:t>July 2020</w:t>
            </w:r>
          </w:p>
        </w:tc>
      </w:tr>
      <w:tr w:rsidR="00E24E95" w:rsidRPr="00302456" w14:paraId="61E4D7EE" w14:textId="77777777" w:rsidTr="00E24E95">
        <w:tc>
          <w:tcPr>
            <w:tcW w:w="4593" w:type="dxa"/>
            <w:shd w:val="clear" w:color="auto" w:fill="auto"/>
          </w:tcPr>
          <w:p w14:paraId="2A4BA1D7" w14:textId="77777777" w:rsidR="00E24E95" w:rsidRPr="009F76AC" w:rsidRDefault="00E24E95" w:rsidP="00E24E95">
            <w:pPr>
              <w:ind w:right="57"/>
              <w:jc w:val="both"/>
            </w:pPr>
            <w:r w:rsidRPr="009F76AC">
              <w:t>Item 10 (</w:t>
            </w:r>
            <w:r w:rsidR="008962B2">
              <w:t>a</w:t>
            </w:r>
            <w:r w:rsidRPr="009F76AC">
              <w:t>) of the provisional agenda</w:t>
            </w:r>
          </w:p>
          <w:p w14:paraId="328C89A0" w14:textId="77777777" w:rsidR="00E24E95" w:rsidRDefault="00E24E95" w:rsidP="00E24E95">
            <w:r w:rsidRPr="009449AA">
              <w:rPr>
                <w:b/>
              </w:rPr>
              <w:t xml:space="preserve">Issues relating to the Globally Harmonized System </w:t>
            </w:r>
            <w:r>
              <w:rPr>
                <w:b/>
              </w:rPr>
              <w:br/>
            </w:r>
            <w:r w:rsidRPr="009449AA">
              <w:rPr>
                <w:b/>
              </w:rPr>
              <w:t xml:space="preserve">of Classification and Labelling of Chemicals: </w:t>
            </w:r>
            <w:r>
              <w:rPr>
                <w:b/>
              </w:rPr>
              <w:br/>
            </w:r>
            <w:r w:rsidRPr="009449AA">
              <w:rPr>
                <w:b/>
              </w:rPr>
              <w:t>review of Chapter 2.1</w:t>
            </w:r>
          </w:p>
        </w:tc>
        <w:tc>
          <w:tcPr>
            <w:tcW w:w="5046" w:type="dxa"/>
            <w:shd w:val="clear" w:color="auto" w:fill="auto"/>
          </w:tcPr>
          <w:p w14:paraId="548894C4" w14:textId="77777777" w:rsidR="00E24E95" w:rsidRPr="009F76AC" w:rsidRDefault="00E24E95" w:rsidP="00E24E95">
            <w:pPr>
              <w:jc w:val="both"/>
            </w:pPr>
            <w:r w:rsidRPr="009F76AC">
              <w:t xml:space="preserve">Item 2 </w:t>
            </w:r>
            <w:r>
              <w:t>(b</w:t>
            </w:r>
            <w:r w:rsidRPr="009F76AC">
              <w:t>) of the provisional agenda</w:t>
            </w:r>
          </w:p>
          <w:p w14:paraId="16C014A6" w14:textId="77777777" w:rsidR="00E24E95" w:rsidRDefault="00E24E95" w:rsidP="00E24E95">
            <w:r w:rsidRPr="009449AA">
              <w:rPr>
                <w:b/>
              </w:rPr>
              <w:t>Classification criteria and related hazard communication: review of Chapter 2.1</w:t>
            </w:r>
          </w:p>
        </w:tc>
      </w:tr>
      <w:tr w:rsidR="00E24E95" w:rsidRPr="00E66746" w14:paraId="48AA52E9" w14:textId="77777777" w:rsidTr="00E24E95">
        <w:tc>
          <w:tcPr>
            <w:tcW w:w="4593" w:type="dxa"/>
            <w:shd w:val="clear" w:color="auto" w:fill="auto"/>
          </w:tcPr>
          <w:p w14:paraId="233CA512" w14:textId="77777777" w:rsidR="00E24E95" w:rsidRPr="00E66746" w:rsidRDefault="00E24E95" w:rsidP="00E24E95">
            <w:pPr>
              <w:rPr>
                <w:b/>
              </w:rPr>
            </w:pPr>
          </w:p>
        </w:tc>
        <w:tc>
          <w:tcPr>
            <w:tcW w:w="5046" w:type="dxa"/>
            <w:shd w:val="clear" w:color="auto" w:fill="auto"/>
          </w:tcPr>
          <w:p w14:paraId="689574AF" w14:textId="77777777" w:rsidR="00E24E95" w:rsidRPr="00E66746" w:rsidRDefault="00E24E95" w:rsidP="00E24E95">
            <w:pPr>
              <w:rPr>
                <w:b/>
              </w:rPr>
            </w:pPr>
          </w:p>
        </w:tc>
      </w:tr>
    </w:tbl>
    <w:p w14:paraId="493B9FB8" w14:textId="77777777" w:rsidR="00E24E95" w:rsidRPr="00577CD2" w:rsidRDefault="00E24E95" w:rsidP="00E24E95">
      <w:pPr>
        <w:pStyle w:val="HChG"/>
      </w:pPr>
      <w:r>
        <w:tab/>
      </w:r>
      <w:r>
        <w:tab/>
      </w:r>
      <w:r w:rsidRPr="00C0412B">
        <w:t>A new Chapter 2.1 for the GHS</w:t>
      </w:r>
    </w:p>
    <w:p w14:paraId="0F6B1EFA" w14:textId="77777777" w:rsidR="00E24E95" w:rsidRPr="009F76AC" w:rsidRDefault="00E24E95" w:rsidP="00E24E95">
      <w:pPr>
        <w:pStyle w:val="H1G"/>
      </w:pPr>
      <w:r>
        <w:tab/>
      </w:r>
      <w:r>
        <w:tab/>
      </w:r>
      <w:r>
        <w:tab/>
      </w:r>
      <w:r w:rsidRPr="009F76AC">
        <w:t xml:space="preserve">Transmitted by the </w:t>
      </w:r>
      <w:r>
        <w:t>expert from Sweden on behalf of the Informal Correspondence Group on the Review of Chapter 2.1</w:t>
      </w:r>
      <w:r w:rsidRPr="000F74A6">
        <w:rPr>
          <w:rStyle w:val="FootnoteReference"/>
          <w:sz w:val="20"/>
          <w:vertAlign w:val="baseline"/>
        </w:rPr>
        <w:footnoteReference w:customMarkFollows="1" w:id="2"/>
        <w:t>*</w:t>
      </w:r>
    </w:p>
    <w:p w14:paraId="1B901B17" w14:textId="77777777" w:rsidR="00E24E95" w:rsidRPr="002E5537" w:rsidRDefault="00E24E95" w:rsidP="00E24E95">
      <w:pPr>
        <w:pStyle w:val="HChG"/>
      </w:pPr>
      <w:r>
        <w:tab/>
      </w:r>
      <w:r>
        <w:tab/>
      </w:r>
      <w:r w:rsidRPr="007719D7">
        <w:t>Introduction</w:t>
      </w:r>
    </w:p>
    <w:p w14:paraId="026BF2AA" w14:textId="77777777" w:rsidR="00E24E95" w:rsidRDefault="00E24E95">
      <w:pPr>
        <w:pStyle w:val="SingleTxtG"/>
      </w:pPr>
      <w:r w:rsidRPr="00C0412B">
        <w:t>1.</w:t>
      </w:r>
      <w:r w:rsidRPr="00C0412B">
        <w:tab/>
      </w:r>
      <w:r>
        <w:t>This document contains a proposal for a new Chapter 2.1 for the GHS, hazard class “Explosives”, and consequential amendments to Annex 1 and Annex 3, section 1, to the GHS. It is recognised that precautionary statements need to be allocated to the new classifications suggested herein, and a supplemental document to this end is intended to follow. While no changes to the UN Model Regulations are suggested herein (or are planned), some editorial amendments to the Manual of Tests and Criteria will be needed, and a forthcoming document is intended to address this.</w:t>
      </w:r>
    </w:p>
    <w:p w14:paraId="024904CE" w14:textId="77777777" w:rsidR="00E24E95" w:rsidRDefault="00E24E95" w:rsidP="00E24E95">
      <w:pPr>
        <w:pStyle w:val="SingleTxtG"/>
      </w:pPr>
      <w:r>
        <w:t>2.</w:t>
      </w:r>
      <w:r>
        <w:tab/>
        <w:t>The document has been prepared by the expert from Sweden on behalf of the Informal Correspondence Group (ICG) that has been working on the review of GHS Chapter 2.1. It constitutes the outcome of the discussions within this group, including compromises made, and does not necessarily reflect the position of any of its members</w:t>
      </w:r>
      <w:r w:rsidRPr="00112CDF">
        <w:t>. This document has been circulated within the ICG for comment before its submission.</w:t>
      </w:r>
    </w:p>
    <w:p w14:paraId="464A0A49" w14:textId="77777777" w:rsidR="00E24E95" w:rsidRPr="002E5537" w:rsidRDefault="00E24E95" w:rsidP="00E24E95">
      <w:pPr>
        <w:pStyle w:val="HChG"/>
      </w:pPr>
      <w:r>
        <w:tab/>
      </w:r>
      <w:r>
        <w:tab/>
      </w:r>
      <w:r w:rsidRPr="002E5537">
        <w:t>Background</w:t>
      </w:r>
    </w:p>
    <w:p w14:paraId="21796CE1" w14:textId="77777777" w:rsidR="00E24E95" w:rsidRDefault="00E24E95" w:rsidP="00E24E95">
      <w:pPr>
        <w:pStyle w:val="SingleTxtG"/>
      </w:pPr>
      <w:r>
        <w:t>3.</w:t>
      </w:r>
      <w:r>
        <w:tab/>
      </w:r>
      <w:proofErr w:type="gramStart"/>
      <w:r>
        <w:t>On the basis of</w:t>
      </w:r>
      <w:proofErr w:type="gramEnd"/>
      <w:r>
        <w:t xml:space="preserve"> a proposal from the expert from Australia and the Australian Explosives Industry Safety Group (AEISG)</w:t>
      </w:r>
      <w:r w:rsidR="006E2EFA">
        <w:rPr>
          <w:rStyle w:val="FootnoteReference"/>
        </w:rPr>
        <w:footnoteReference w:id="3"/>
      </w:r>
      <w:r>
        <w:t xml:space="preserve">, </w:t>
      </w:r>
      <w:r w:rsidRPr="00C0412B">
        <w:t>a revi</w:t>
      </w:r>
      <w:r>
        <w:t>ew of Chapter 2.1 of the GHS was initiated at the twenty-eight session of the Sub-Committee of Experts on the Globally Harmonized System (SCEGHS) in December 2014. The key questions posed by these authors were, in short</w:t>
      </w:r>
      <w:r w:rsidR="00653673">
        <w:t>:</w:t>
      </w:r>
      <w:r>
        <w:t xml:space="preserve"> (</w:t>
      </w:r>
      <w:proofErr w:type="spellStart"/>
      <w:r>
        <w:t>i</w:t>
      </w:r>
      <w:proofErr w:type="spellEnd"/>
      <w:r>
        <w:t xml:space="preserve">) whether the classification and hazard communication for </w:t>
      </w:r>
      <w:r>
        <w:lastRenderedPageBreak/>
        <w:t>Explosives are appropriate for sectors other than transport, and (ii) what the correct classification is for explosives that are not packaged for transport.</w:t>
      </w:r>
    </w:p>
    <w:p w14:paraId="4A52C82F" w14:textId="77777777" w:rsidR="00E24E95" w:rsidRDefault="00E24E95" w:rsidP="00E24E95">
      <w:pPr>
        <w:pStyle w:val="SingleTxtG"/>
      </w:pPr>
      <w:r>
        <w:t>4.</w:t>
      </w:r>
      <w:r>
        <w:tab/>
        <w:t>As the expert from Australia resigned from leading the effort</w:t>
      </w:r>
      <w:r w:rsidR="006E2EFA">
        <w:rPr>
          <w:rStyle w:val="FootnoteReference"/>
        </w:rPr>
        <w:footnoteReference w:id="4"/>
      </w:r>
      <w:r>
        <w:t>, the expert from Sweden took on this role as of the twenty-ninth session of the SCEGHS</w:t>
      </w:r>
      <w:r w:rsidR="006E2EFA">
        <w:rPr>
          <w:rStyle w:val="FootnoteReference"/>
        </w:rPr>
        <w:footnoteReference w:id="5"/>
      </w:r>
      <w:r>
        <w:t xml:space="preserve"> in July 2015 and has been leading the work ever since. Directly after his appointment, delegates from both </w:t>
      </w:r>
      <w:r w:rsidR="00653673">
        <w:t>sub</w:t>
      </w:r>
      <w:r>
        <w:t>-</w:t>
      </w:r>
      <w:r w:rsidR="00653673">
        <w:t xml:space="preserve">committees </w:t>
      </w:r>
      <w:r>
        <w:t>were invited to join an Informal Correspondence Group (ICG) on the review of GHS Chapter 2.1. This ICG subsequently built up over time and currently counts more than fifty experts, approximately half of them from the SCEGHS and the other half from the Working Group on Explosives (EWG) under the Sub-Committee of Experts on the Transport of Dangerous Goods (SCETDG).</w:t>
      </w:r>
    </w:p>
    <w:p w14:paraId="64D681BF" w14:textId="77777777" w:rsidR="00E24E95" w:rsidRDefault="00E24E95" w:rsidP="00E24E95">
      <w:pPr>
        <w:pStyle w:val="SingleTxtG"/>
      </w:pPr>
      <w:r>
        <w:t>5.</w:t>
      </w:r>
      <w:r>
        <w:tab/>
        <w:t xml:space="preserve">The work of the ICG has mainly been intersessional, and from the thirtieth session of the SCEGHS, the expert from Sweden has reported on the progress to every session of both </w:t>
      </w:r>
      <w:r w:rsidR="00653673">
        <w:t>sub</w:t>
      </w:r>
      <w:r>
        <w:t>-</w:t>
      </w:r>
      <w:r w:rsidR="00653673">
        <w:t>committees</w:t>
      </w:r>
      <w:r w:rsidR="006E2EFA">
        <w:rPr>
          <w:rStyle w:val="FootnoteReference"/>
        </w:rPr>
        <w:footnoteReference w:id="6"/>
      </w:r>
      <w:r>
        <w:t>. In the recent years, the ICG has also had physical meetings in the margins of, or as part of, the SCEGHS, which have also continuously been reported</w:t>
      </w:r>
      <w:r w:rsidR="006E2EFA">
        <w:rPr>
          <w:rStyle w:val="FootnoteReference"/>
        </w:rPr>
        <w:footnoteReference w:id="7"/>
      </w:r>
      <w:r>
        <w:t>. Several combined ICG/EWG-meetings have also been held as part of the EWG-</w:t>
      </w:r>
      <w:proofErr w:type="gramStart"/>
      <w:r>
        <w:t>meetings, and</w:t>
      </w:r>
      <w:proofErr w:type="gramEnd"/>
      <w:r>
        <w:t xml:space="preserve"> reported back in the subsequent reports of the EWG</w:t>
      </w:r>
      <w:r w:rsidR="006E2EFA">
        <w:rPr>
          <w:rStyle w:val="FootnoteReference"/>
        </w:rPr>
        <w:footnoteReference w:id="8"/>
      </w:r>
      <w:r>
        <w:t xml:space="preserve"> and associated documents</w:t>
      </w:r>
      <w:r w:rsidR="006E2EFA">
        <w:rPr>
          <w:rStyle w:val="FootnoteReference"/>
        </w:rPr>
        <w:footnoteReference w:id="9"/>
      </w:r>
      <w:r>
        <w:t>. The total amount of documents on this item is by now substantial and the expert from Sweden has regularly sent out summary tables to help ICG-members to keep track of them.</w:t>
      </w:r>
    </w:p>
    <w:p w14:paraId="143C71F4" w14:textId="77777777" w:rsidR="00E24E95" w:rsidRDefault="00E24E95" w:rsidP="00E24E95">
      <w:pPr>
        <w:pStyle w:val="SingleTxtG"/>
      </w:pPr>
      <w:r>
        <w:t>6.</w:t>
      </w:r>
      <w:r>
        <w:tab/>
        <w:t>In the initial informal document by the expert from Sweden on this item, three areas where current Chapter 2.1 is problematic were identified</w:t>
      </w:r>
      <w:r w:rsidR="006E2EFA">
        <w:rPr>
          <w:rStyle w:val="FootnoteReference"/>
        </w:rPr>
        <w:footnoteReference w:id="10"/>
      </w:r>
      <w:r>
        <w:t>:</w:t>
      </w:r>
    </w:p>
    <w:p w14:paraId="6DEC50E4" w14:textId="77777777" w:rsidR="00E24E95" w:rsidRPr="00AC03B3" w:rsidRDefault="00E24E95" w:rsidP="00E24E95">
      <w:pPr>
        <w:pStyle w:val="SingleTxtG"/>
        <w:ind w:left="1701"/>
      </w:pPr>
      <w:r>
        <w:tab/>
        <w:t>(a)</w:t>
      </w:r>
      <w:r>
        <w:tab/>
      </w:r>
      <w:r w:rsidRPr="00AC03B3">
        <w:t>Substances, mixtures and articles that have explosive properties but escape classification as explosives due to their transport packaging.</w:t>
      </w:r>
    </w:p>
    <w:p w14:paraId="1DE81DF6" w14:textId="77777777" w:rsidR="00E24E95" w:rsidRPr="00AC03B3" w:rsidRDefault="00E24E95" w:rsidP="00E24E95">
      <w:pPr>
        <w:pStyle w:val="SingleTxtG"/>
        <w:ind w:left="1701"/>
        <w:rPr>
          <w:bCs/>
        </w:rPr>
      </w:pPr>
      <w:r>
        <w:rPr>
          <w:bCs/>
        </w:rPr>
        <w:tab/>
        <w:t>(b)</w:t>
      </w:r>
      <w:r>
        <w:rPr>
          <w:bCs/>
        </w:rPr>
        <w:tab/>
      </w:r>
      <w:r w:rsidRPr="00AC03B3">
        <w:rPr>
          <w:bCs/>
        </w:rPr>
        <w:t>Substances, mixtures and articles where the GHS-classification is different when removed from of the transport packaging.</w:t>
      </w:r>
    </w:p>
    <w:p w14:paraId="6CD225D4" w14:textId="77777777" w:rsidR="00E24E95" w:rsidRPr="00AC03B3" w:rsidRDefault="00E24E95" w:rsidP="00E24E95">
      <w:pPr>
        <w:pStyle w:val="SingleTxtG"/>
        <w:ind w:left="1701"/>
      </w:pPr>
      <w:r>
        <w:rPr>
          <w:bCs/>
        </w:rPr>
        <w:tab/>
        <w:t>(c)</w:t>
      </w:r>
      <w:r>
        <w:rPr>
          <w:bCs/>
        </w:rPr>
        <w:tab/>
      </w:r>
      <w:r w:rsidRPr="00AC03B3">
        <w:rPr>
          <w:bCs/>
        </w:rPr>
        <w:t>Substances, mixtures and articles that are not packaged for transport.</w:t>
      </w:r>
    </w:p>
    <w:p w14:paraId="55023073" w14:textId="77777777" w:rsidR="00E24E95" w:rsidRDefault="00653673" w:rsidP="00E92335">
      <w:pPr>
        <w:pStyle w:val="SingleTxtG"/>
      </w:pPr>
      <w:r>
        <w:tab/>
      </w:r>
      <w:r>
        <w:tab/>
      </w:r>
      <w:r w:rsidR="00E24E95">
        <w:t>These rather fundamental problems were already pointed out by the expert from Germany in 2007</w:t>
      </w:r>
      <w:r w:rsidR="006E2EFA">
        <w:rPr>
          <w:rStyle w:val="FootnoteReference"/>
        </w:rPr>
        <w:footnoteReference w:id="11"/>
      </w:r>
      <w:r w:rsidR="00E24E95">
        <w:t>, and the second and third items are essentially the same as those pointed to by the experts from Australia and AEISG in the document from December 2014</w:t>
      </w:r>
      <w:r w:rsidR="006E2EFA">
        <w:rPr>
          <w:rStyle w:val="FootnoteReference"/>
        </w:rPr>
        <w:footnoteReference w:id="12"/>
      </w:r>
      <w:r w:rsidR="00E24E95">
        <w:t>.</w:t>
      </w:r>
    </w:p>
    <w:p w14:paraId="50097E1F" w14:textId="77777777" w:rsidR="00E24E95" w:rsidRPr="00FE0196" w:rsidRDefault="00E24E95" w:rsidP="00E24E95">
      <w:pPr>
        <w:pStyle w:val="HChG"/>
      </w:pPr>
      <w:r>
        <w:tab/>
      </w:r>
      <w:r>
        <w:tab/>
      </w:r>
      <w:r w:rsidRPr="00FE0196">
        <w:t>Core of the current problems</w:t>
      </w:r>
      <w:r>
        <w:t xml:space="preserve"> – the absence of a transport configuration</w:t>
      </w:r>
    </w:p>
    <w:p w14:paraId="17385D01" w14:textId="77777777" w:rsidR="00E24E95" w:rsidRDefault="00E24E95" w:rsidP="00E24E95">
      <w:pPr>
        <w:pStyle w:val="SingleTxtG"/>
      </w:pPr>
      <w:r>
        <w:t>7.</w:t>
      </w:r>
      <w:r>
        <w:tab/>
        <w:t xml:space="preserve">The current GHS classification system for </w:t>
      </w:r>
      <w:r w:rsidR="00653673">
        <w:t xml:space="preserve">explosives </w:t>
      </w:r>
      <w:r>
        <w:t>basically mimics that for transport classification, as per the UN Model Regulations. That system, which was developed to ensure safe transport, in practice relies on there being a transport configuration to which a division can be assigned. Furthermore, the transport configuration is often specifically designed to attenuate the explosive effect.</w:t>
      </w:r>
    </w:p>
    <w:p w14:paraId="6854BEDC" w14:textId="77777777" w:rsidR="00E24E95" w:rsidRDefault="00E24E95" w:rsidP="00E24E95">
      <w:pPr>
        <w:pStyle w:val="SingleTxtG"/>
      </w:pPr>
      <w:r>
        <w:t>8.</w:t>
      </w:r>
      <w:r>
        <w:tab/>
        <w:t xml:space="preserve">The GHS, however, is a system that applies also to other sectors, where a transport configuration does not necessarily exist. In manufacturing and processing of explosives there </w:t>
      </w:r>
      <w:r>
        <w:lastRenderedPageBreak/>
        <w:t xml:space="preserve">is obviously no transport configuration. In supply and use it is often an inner packaging or an article that is handled, and not the transport configuration. </w:t>
      </w:r>
    </w:p>
    <w:p w14:paraId="162AF36A" w14:textId="77777777" w:rsidR="00E24E95" w:rsidRDefault="00E24E95" w:rsidP="00E24E95">
      <w:pPr>
        <w:pStyle w:val="SingleTxtG"/>
      </w:pPr>
      <w:r>
        <w:t>9.</w:t>
      </w:r>
      <w:r>
        <w:tab/>
        <w:t>The absence of a transport configuration is the core of the problems with the current Chapter 2.1. It leads to situations where GHS classification is not possible and where the classification, and therefore the GHS hazard communication, understates or otherwise does not reflect the actual hazard.</w:t>
      </w:r>
    </w:p>
    <w:p w14:paraId="08C8D5CB" w14:textId="77777777" w:rsidR="00E24E95" w:rsidRPr="00CF5707" w:rsidRDefault="00E24E95" w:rsidP="00E24E95">
      <w:pPr>
        <w:pStyle w:val="HChG"/>
      </w:pPr>
      <w:r>
        <w:tab/>
      </w:r>
      <w:r>
        <w:tab/>
      </w:r>
      <w:r w:rsidRPr="00CF5707">
        <w:t>Boundar</w:t>
      </w:r>
      <w:r>
        <w:t>y conditions</w:t>
      </w:r>
      <w:r w:rsidRPr="00CF5707">
        <w:t xml:space="preserve"> for </w:t>
      </w:r>
      <w:r>
        <w:t>a</w:t>
      </w:r>
      <w:r w:rsidRPr="00CF5707">
        <w:t xml:space="preserve"> solution</w:t>
      </w:r>
      <w:r>
        <w:t xml:space="preserve"> to the problems</w:t>
      </w:r>
    </w:p>
    <w:p w14:paraId="1BBE8DA3" w14:textId="77777777" w:rsidR="00E24E95" w:rsidRPr="007719D7" w:rsidRDefault="00E24E95" w:rsidP="00E24E95">
      <w:pPr>
        <w:pStyle w:val="SingleTxtG"/>
      </w:pPr>
      <w:r w:rsidRPr="007719D7">
        <w:t>10.</w:t>
      </w:r>
      <w:r w:rsidRPr="007719D7">
        <w:tab/>
        <w:t xml:space="preserve">It is inherent that any new GHS classification system needs to be harmonized with the classification system used for transport, i.e. the UN Model Regulations. It was clear early in the work that a boundary condition for any solution to the GHS problems would be not to make any changes to the UN Model Regulations. </w:t>
      </w:r>
    </w:p>
    <w:p w14:paraId="784C653A" w14:textId="77777777" w:rsidR="00E24E95" w:rsidRPr="007719D7" w:rsidRDefault="00E24E95" w:rsidP="00E24E95">
      <w:pPr>
        <w:pStyle w:val="SingleTxtG"/>
      </w:pPr>
      <w:r w:rsidRPr="007719D7">
        <w:t>11.</w:t>
      </w:r>
      <w:r w:rsidRPr="007719D7">
        <w:tab/>
        <w:t>In an early informal document by the expert from Sweden, some fundamental principles for the work to come were stipulated</w:t>
      </w:r>
      <w:r w:rsidR="006E2EFA">
        <w:rPr>
          <w:rStyle w:val="FootnoteReference"/>
        </w:rPr>
        <w:footnoteReference w:id="13"/>
      </w:r>
      <w:r w:rsidRPr="007719D7">
        <w:t xml:space="preserve"> which were further refined along the way. They came to guide the work and serve as boundary conditions. Essentially, they meant that the current scope of Chapter 2.1 was to be kept (“no new explosives”) and that no new mandatory testing should be introduced.</w:t>
      </w:r>
    </w:p>
    <w:p w14:paraId="25D4590F" w14:textId="77777777" w:rsidR="00E24E95" w:rsidRPr="008311E4" w:rsidRDefault="00E24E95" w:rsidP="00E24E95">
      <w:pPr>
        <w:pStyle w:val="SingleTxtG"/>
        <w:ind w:right="284"/>
        <w:rPr>
          <w:b/>
          <w:sz w:val="24"/>
        </w:rPr>
      </w:pPr>
      <w:r>
        <w:rPr>
          <w:b/>
          <w:sz w:val="24"/>
        </w:rPr>
        <w:t>The development of an amended</w:t>
      </w:r>
      <w:r w:rsidRPr="008311E4">
        <w:rPr>
          <w:b/>
          <w:sz w:val="24"/>
        </w:rPr>
        <w:t xml:space="preserve"> </w:t>
      </w:r>
      <w:r>
        <w:rPr>
          <w:b/>
          <w:sz w:val="24"/>
        </w:rPr>
        <w:t>classification system for the GHS</w:t>
      </w:r>
    </w:p>
    <w:p w14:paraId="5E695902" w14:textId="77777777" w:rsidR="00E24E95" w:rsidRDefault="00E24E95" w:rsidP="00E24E95">
      <w:pPr>
        <w:pStyle w:val="SingleTxtG"/>
      </w:pPr>
      <w:r>
        <w:t>12.</w:t>
      </w:r>
      <w:r>
        <w:tab/>
        <w:t>The ICG initially struggled with finding a way to patch the gaps of the current GHS classification and labelling system, in order to overcome the problems identified. However, these attempts to find an easy solution to bridge the problems failed and it was eventually recognized that the core problem lay in the dependence on the transport packaging and was not that easily circumvented.</w:t>
      </w:r>
    </w:p>
    <w:p w14:paraId="0A888349" w14:textId="77777777" w:rsidR="00E24E95" w:rsidRDefault="00E24E95" w:rsidP="00E24E95">
      <w:pPr>
        <w:pStyle w:val="SingleTxtG"/>
      </w:pPr>
      <w:r>
        <w:t>13.</w:t>
      </w:r>
      <w:r>
        <w:tab/>
        <w:t xml:space="preserve">A key milestone was achieved in the autumn of 2016, when the ICG started to focus around an amended classification system for the GHS that would overcome the dependence on the transport packaging. This idea of adding another layer of classification to the GHS classification was vividly discussed in the combined ICG/EWG-meeting of December that year and presented to the </w:t>
      </w:r>
      <w:r w:rsidR="00653673">
        <w:t>sub</w:t>
      </w:r>
      <w:r>
        <w:t>-</w:t>
      </w:r>
      <w:r w:rsidR="00653673">
        <w:t xml:space="preserve">committees </w:t>
      </w:r>
      <w:r>
        <w:t>for their summer 2017 sessions</w:t>
      </w:r>
      <w:r w:rsidR="006E2EFA">
        <w:rPr>
          <w:rStyle w:val="FootnoteReference"/>
        </w:rPr>
        <w:footnoteReference w:id="14"/>
      </w:r>
      <w:r>
        <w:t xml:space="preserve">. </w:t>
      </w:r>
    </w:p>
    <w:p w14:paraId="32214E07" w14:textId="77777777" w:rsidR="00E24E95" w:rsidRDefault="00E24E95" w:rsidP="00E24E95">
      <w:pPr>
        <w:pStyle w:val="SingleTxtG"/>
      </w:pPr>
      <w:r>
        <w:t>14.</w:t>
      </w:r>
      <w:r>
        <w:tab/>
      </w:r>
      <w:proofErr w:type="gramStart"/>
      <w:r>
        <w:t>In essence it</w:t>
      </w:r>
      <w:proofErr w:type="gramEnd"/>
      <w:r>
        <w:t xml:space="preserve"> amounted to the introduction of two main categories for the GHS, where Category 2 comprises explosives that are assigned to a division and is identical in scope as Class 1 for transport. Within Category 2, explosives would be separated into three sub-categories depending on whether their explosion hazard is deemed high, medium or low in the primary packaging (see paragraph 17 below for a description of this concept). Category</w:t>
      </w:r>
      <w:r w:rsidR="00653673">
        <w:t> </w:t>
      </w:r>
      <w:r>
        <w:t>1 comprises all other explosives, including those that cannot be assigned to a division due to being too sensitive.</w:t>
      </w:r>
    </w:p>
    <w:tbl>
      <w:tblPr>
        <w:tblStyle w:val="TableGrid"/>
        <w:tblW w:w="7366" w:type="dxa"/>
        <w:tblInd w:w="1134" w:type="dxa"/>
        <w:tblLayout w:type="fixed"/>
        <w:tblCellMar>
          <w:top w:w="57" w:type="dxa"/>
          <w:left w:w="57" w:type="dxa"/>
          <w:bottom w:w="57" w:type="dxa"/>
          <w:right w:w="57" w:type="dxa"/>
        </w:tblCellMar>
        <w:tblLook w:val="04A0" w:firstRow="1" w:lastRow="0" w:firstColumn="1" w:lastColumn="0" w:noHBand="0" w:noVBand="1"/>
      </w:tblPr>
      <w:tblGrid>
        <w:gridCol w:w="2122"/>
        <w:gridCol w:w="1842"/>
        <w:gridCol w:w="1134"/>
        <w:gridCol w:w="1134"/>
        <w:gridCol w:w="1134"/>
      </w:tblGrid>
      <w:tr w:rsidR="00E24E95" w14:paraId="20CF2E16" w14:textId="77777777" w:rsidTr="00E24E95">
        <w:tc>
          <w:tcPr>
            <w:tcW w:w="2122" w:type="dxa"/>
            <w:vAlign w:val="center"/>
          </w:tcPr>
          <w:p w14:paraId="42BB3976" w14:textId="77777777" w:rsidR="00E24E95" w:rsidRPr="00F56F46" w:rsidRDefault="00E24E95" w:rsidP="000F74A6">
            <w:pPr>
              <w:keepNext/>
              <w:keepLines/>
              <w:rPr>
                <w:b/>
              </w:rPr>
            </w:pPr>
            <w:r>
              <w:rPr>
                <w:b/>
              </w:rPr>
              <w:t>GHS Class</w:t>
            </w:r>
          </w:p>
        </w:tc>
        <w:tc>
          <w:tcPr>
            <w:tcW w:w="5244" w:type="dxa"/>
            <w:gridSpan w:val="4"/>
            <w:vAlign w:val="center"/>
          </w:tcPr>
          <w:p w14:paraId="23983252" w14:textId="77777777" w:rsidR="00E24E95" w:rsidRDefault="00E24E95" w:rsidP="000F74A6">
            <w:pPr>
              <w:keepNext/>
              <w:keepLines/>
              <w:ind w:right="-52"/>
              <w:jc w:val="center"/>
            </w:pPr>
            <w:r>
              <w:t>Explosives</w:t>
            </w:r>
          </w:p>
        </w:tc>
      </w:tr>
      <w:tr w:rsidR="00E24E95" w14:paraId="07EC47CC" w14:textId="77777777" w:rsidTr="00E24E95">
        <w:tc>
          <w:tcPr>
            <w:tcW w:w="2122" w:type="dxa"/>
            <w:vAlign w:val="center"/>
          </w:tcPr>
          <w:p w14:paraId="4727C19B" w14:textId="77777777" w:rsidR="00E24E95" w:rsidRPr="00F56F46" w:rsidRDefault="00E24E95" w:rsidP="000F74A6">
            <w:pPr>
              <w:keepNext/>
              <w:keepLines/>
              <w:rPr>
                <w:b/>
              </w:rPr>
            </w:pPr>
            <w:r w:rsidRPr="00F56F46">
              <w:rPr>
                <w:b/>
              </w:rPr>
              <w:t>GHS Category</w:t>
            </w:r>
          </w:p>
        </w:tc>
        <w:tc>
          <w:tcPr>
            <w:tcW w:w="1842" w:type="dxa"/>
            <w:vAlign w:val="center"/>
          </w:tcPr>
          <w:p w14:paraId="5B3B3950" w14:textId="77777777" w:rsidR="00E24E95" w:rsidRDefault="00E24E95" w:rsidP="000F74A6">
            <w:pPr>
              <w:keepNext/>
              <w:keepLines/>
              <w:ind w:right="-52"/>
              <w:jc w:val="center"/>
            </w:pPr>
            <w:r>
              <w:t>1</w:t>
            </w:r>
          </w:p>
        </w:tc>
        <w:tc>
          <w:tcPr>
            <w:tcW w:w="3402" w:type="dxa"/>
            <w:gridSpan w:val="3"/>
            <w:vAlign w:val="center"/>
          </w:tcPr>
          <w:p w14:paraId="0A12A262" w14:textId="77777777" w:rsidR="00E24E95" w:rsidRDefault="00E24E95" w:rsidP="000F74A6">
            <w:pPr>
              <w:keepNext/>
              <w:keepLines/>
              <w:ind w:right="-52"/>
              <w:jc w:val="center"/>
            </w:pPr>
            <w:r>
              <w:t>2</w:t>
            </w:r>
          </w:p>
        </w:tc>
      </w:tr>
      <w:tr w:rsidR="00E24E95" w14:paraId="4F809549" w14:textId="77777777" w:rsidTr="00E24E95">
        <w:tc>
          <w:tcPr>
            <w:tcW w:w="2122" w:type="dxa"/>
            <w:vAlign w:val="center"/>
          </w:tcPr>
          <w:p w14:paraId="0E8B0772" w14:textId="77777777" w:rsidR="00E24E95" w:rsidRPr="00F56F46" w:rsidRDefault="00E24E95" w:rsidP="000F74A6">
            <w:pPr>
              <w:keepNext/>
              <w:keepLines/>
              <w:rPr>
                <w:b/>
              </w:rPr>
            </w:pPr>
            <w:r w:rsidRPr="00F56F46">
              <w:rPr>
                <w:b/>
              </w:rPr>
              <w:t>GHS Sub-category</w:t>
            </w:r>
          </w:p>
        </w:tc>
        <w:tc>
          <w:tcPr>
            <w:tcW w:w="1842" w:type="dxa"/>
            <w:vAlign w:val="center"/>
          </w:tcPr>
          <w:p w14:paraId="06A96BF2" w14:textId="77777777" w:rsidR="00E24E95" w:rsidRPr="00F56F46" w:rsidRDefault="00E24E95" w:rsidP="000F74A6">
            <w:pPr>
              <w:keepNext/>
              <w:keepLines/>
              <w:ind w:right="-52"/>
              <w:jc w:val="center"/>
              <w:rPr>
                <w:i/>
              </w:rPr>
            </w:pPr>
            <w:r w:rsidRPr="00F56F46">
              <w:rPr>
                <w:i/>
              </w:rPr>
              <w:t>Not applicable</w:t>
            </w:r>
          </w:p>
        </w:tc>
        <w:tc>
          <w:tcPr>
            <w:tcW w:w="1134" w:type="dxa"/>
            <w:vAlign w:val="center"/>
          </w:tcPr>
          <w:p w14:paraId="2C9ED9FD" w14:textId="77777777" w:rsidR="00E24E95" w:rsidRDefault="00E24E95" w:rsidP="000F74A6">
            <w:pPr>
              <w:keepNext/>
              <w:keepLines/>
              <w:ind w:right="-52"/>
              <w:jc w:val="center"/>
            </w:pPr>
            <w:r>
              <w:t>2A</w:t>
            </w:r>
          </w:p>
        </w:tc>
        <w:tc>
          <w:tcPr>
            <w:tcW w:w="1134" w:type="dxa"/>
            <w:vAlign w:val="center"/>
          </w:tcPr>
          <w:p w14:paraId="651D85CA" w14:textId="77777777" w:rsidR="00E24E95" w:rsidRDefault="00E24E95" w:rsidP="000F74A6">
            <w:pPr>
              <w:keepNext/>
              <w:keepLines/>
              <w:ind w:right="-52"/>
              <w:jc w:val="center"/>
            </w:pPr>
            <w:r>
              <w:t>2B</w:t>
            </w:r>
          </w:p>
        </w:tc>
        <w:tc>
          <w:tcPr>
            <w:tcW w:w="1134" w:type="dxa"/>
            <w:vAlign w:val="center"/>
          </w:tcPr>
          <w:p w14:paraId="38A29024" w14:textId="77777777" w:rsidR="00E24E95" w:rsidRDefault="00E24E95" w:rsidP="000F74A6">
            <w:pPr>
              <w:keepNext/>
              <w:keepLines/>
              <w:ind w:right="-52"/>
              <w:jc w:val="center"/>
            </w:pPr>
            <w:r>
              <w:t>2C</w:t>
            </w:r>
          </w:p>
        </w:tc>
      </w:tr>
      <w:tr w:rsidR="00E24E95" w14:paraId="50110BEB" w14:textId="77777777" w:rsidTr="00E24E95">
        <w:tc>
          <w:tcPr>
            <w:tcW w:w="2122" w:type="dxa"/>
            <w:vAlign w:val="center"/>
          </w:tcPr>
          <w:p w14:paraId="12EBF40E" w14:textId="77777777" w:rsidR="00E24E95" w:rsidRPr="00F56F46" w:rsidRDefault="00E24E95" w:rsidP="00E24E95">
            <w:pPr>
              <w:rPr>
                <w:b/>
              </w:rPr>
            </w:pPr>
            <w:r>
              <w:rPr>
                <w:b/>
              </w:rPr>
              <w:t>UN Model Regulations Class</w:t>
            </w:r>
          </w:p>
        </w:tc>
        <w:tc>
          <w:tcPr>
            <w:tcW w:w="1842" w:type="dxa"/>
            <w:vAlign w:val="center"/>
          </w:tcPr>
          <w:p w14:paraId="00FE6B19" w14:textId="77777777" w:rsidR="00E24E95" w:rsidRPr="00F56F46" w:rsidRDefault="00E24E95" w:rsidP="00E24E95">
            <w:pPr>
              <w:ind w:right="-52"/>
              <w:jc w:val="center"/>
              <w:rPr>
                <w:i/>
              </w:rPr>
            </w:pPr>
            <w:r w:rsidRPr="00F56F46">
              <w:rPr>
                <w:i/>
              </w:rPr>
              <w:t>Not applicable</w:t>
            </w:r>
          </w:p>
        </w:tc>
        <w:tc>
          <w:tcPr>
            <w:tcW w:w="3402" w:type="dxa"/>
            <w:gridSpan w:val="3"/>
            <w:vAlign w:val="center"/>
          </w:tcPr>
          <w:p w14:paraId="3B5F3F6D" w14:textId="77777777" w:rsidR="00E24E95" w:rsidRDefault="00E24E95" w:rsidP="00E24E95">
            <w:pPr>
              <w:ind w:right="-52"/>
              <w:jc w:val="center"/>
            </w:pPr>
            <w:r>
              <w:t>Class 1</w:t>
            </w:r>
          </w:p>
        </w:tc>
      </w:tr>
    </w:tbl>
    <w:p w14:paraId="39031B13" w14:textId="77777777" w:rsidR="00E24E95" w:rsidRDefault="00E24E95" w:rsidP="00E24E95">
      <w:pPr>
        <w:pStyle w:val="SingleTxtG"/>
        <w:spacing w:before="240"/>
      </w:pPr>
      <w:r>
        <w:t>15.</w:t>
      </w:r>
      <w:r>
        <w:tab/>
        <w:t>This amended classification system has since then been developed further with technical criteria and hazard communication elements into the proposed new Chapter 2.1 as presented in Annex I to this document.</w:t>
      </w:r>
    </w:p>
    <w:p w14:paraId="47328689" w14:textId="77777777" w:rsidR="00E24E95" w:rsidRPr="00E261E3" w:rsidRDefault="00E24E95" w:rsidP="00E24E95">
      <w:pPr>
        <w:pStyle w:val="HChG"/>
      </w:pPr>
      <w:r>
        <w:lastRenderedPageBreak/>
        <w:tab/>
      </w:r>
      <w:r>
        <w:tab/>
        <w:t>Main features of the</w:t>
      </w:r>
      <w:r w:rsidRPr="00525DBF">
        <w:t xml:space="preserve"> new Chapter 2.1 for the GHS</w:t>
      </w:r>
    </w:p>
    <w:p w14:paraId="78601F6A" w14:textId="77777777" w:rsidR="00E24E95" w:rsidRPr="006A4988" w:rsidRDefault="00E24E95" w:rsidP="00E24E95">
      <w:pPr>
        <w:pStyle w:val="H23G"/>
      </w:pPr>
      <w:r>
        <w:tab/>
      </w:r>
      <w:r>
        <w:tab/>
        <w:t>Explosion hazard of</w:t>
      </w:r>
      <w:r w:rsidRPr="006A4988">
        <w:t xml:space="preserve"> </w:t>
      </w:r>
      <w:r>
        <w:t xml:space="preserve">the </w:t>
      </w:r>
      <w:r w:rsidRPr="006A4988">
        <w:t xml:space="preserve">transport configuration </w:t>
      </w:r>
      <w:r w:rsidR="00653673" w:rsidRPr="000F74A6">
        <w:rPr>
          <w:i/>
          <w:iCs/>
        </w:rPr>
        <w:t>versus</w:t>
      </w:r>
      <w:r w:rsidRPr="006A4988">
        <w:t xml:space="preserve"> </w:t>
      </w:r>
      <w:r>
        <w:t xml:space="preserve">that of </w:t>
      </w:r>
      <w:r w:rsidRPr="006A4988">
        <w:t>the primary packaging</w:t>
      </w:r>
    </w:p>
    <w:p w14:paraId="1AA22A0F" w14:textId="77777777" w:rsidR="00E24E95" w:rsidRDefault="00E24E95" w:rsidP="00E24E95">
      <w:pPr>
        <w:pStyle w:val="SingleTxtG"/>
      </w:pPr>
      <w:r>
        <w:t>16.</w:t>
      </w:r>
      <w:r>
        <w:tab/>
        <w:t>The transport configurations and their divisions according to Part I of the Manual of Tests and Criteria remain the foundation also of the revised GHS Chapter 2.1. Whether or not the explosive has been assigned to a division is the basic criterion that separates explosives in Category 1 (not assigned to a division) from those in Category 2 (assigned to a division). The divisions are also fundamental for the further segregation of explosives into the three sub-categories 2A, 2B and 2C within Category 2. The divisions also remain relevant for situations where explosives are handled in their transport configuration, notably when stored.</w:t>
      </w:r>
    </w:p>
    <w:p w14:paraId="5A34415D" w14:textId="77777777" w:rsidR="00E24E95" w:rsidRDefault="00E24E95" w:rsidP="00E24E95">
      <w:pPr>
        <w:pStyle w:val="SingleTxtG"/>
        <w:rPr>
          <w:rFonts w:eastAsia="Calibri"/>
        </w:rPr>
      </w:pPr>
      <w:r>
        <w:t>17.</w:t>
      </w:r>
      <w:r>
        <w:tab/>
        <w:t>Central to the new classification system is the concept of the primary packaging, which is defined as “</w:t>
      </w:r>
      <w:r>
        <w:rPr>
          <w:rFonts w:eastAsia="Calibri"/>
        </w:rPr>
        <w:t>the minimum level of packaging</w:t>
      </w:r>
      <w:r>
        <w:rPr>
          <w:rFonts w:eastAsia="Calibri"/>
          <w:color w:val="7030A0"/>
        </w:rPr>
        <w:t xml:space="preserve"> </w:t>
      </w:r>
      <w:r>
        <w:rPr>
          <w:rFonts w:eastAsia="Calibri"/>
        </w:rPr>
        <w:t>of a configuration assigned to a division,</w:t>
      </w:r>
      <w:r w:rsidRPr="000F74A6">
        <w:rPr>
          <w:rFonts w:eastAsia="Calibri"/>
        </w:rPr>
        <w:t xml:space="preserve"> </w:t>
      </w:r>
      <w:r>
        <w:rPr>
          <w:rFonts w:eastAsia="Calibri"/>
        </w:rPr>
        <w:t xml:space="preserve">in which the explosive substance, mixture or article is intended to be retained until use.” Normally, the primary packaging is simply the innermost container. The new classification system seeks to assess </w:t>
      </w:r>
      <w:proofErr w:type="gramStart"/>
      <w:r>
        <w:rPr>
          <w:rFonts w:eastAsia="Calibri"/>
        </w:rPr>
        <w:t>whether or not</w:t>
      </w:r>
      <w:proofErr w:type="gramEnd"/>
      <w:r>
        <w:rPr>
          <w:rFonts w:eastAsia="Calibri"/>
        </w:rPr>
        <w:t xml:space="preserve"> the explosion hazard at the level of the primary packaging reflects that of the transport configuration.</w:t>
      </w:r>
      <w:r w:rsidR="006E2EFA">
        <w:rPr>
          <w:rStyle w:val="FootnoteReference"/>
          <w:rFonts w:eastAsia="Calibri"/>
        </w:rPr>
        <w:footnoteReference w:id="15"/>
      </w:r>
    </w:p>
    <w:p w14:paraId="21BC644E" w14:textId="77777777" w:rsidR="00E24E95" w:rsidRDefault="00E24E95" w:rsidP="00E24E95">
      <w:pPr>
        <w:pStyle w:val="SingleTxtG"/>
        <w:rPr>
          <w:rFonts w:eastAsia="Calibri"/>
        </w:rPr>
      </w:pPr>
      <w:r>
        <w:rPr>
          <w:rFonts w:eastAsia="Calibri"/>
        </w:rPr>
        <w:t>18.</w:t>
      </w:r>
      <w:r>
        <w:rPr>
          <w:rFonts w:eastAsia="Calibri"/>
        </w:rPr>
        <w:tab/>
        <w:t xml:space="preserve">If the explosion hazard at the level of the transport configuration is high, it is concluded that it is also high at the level of the primary packaging. All transport configurations except some assigned to Division 1.4 (see paragraph 19 below) are deemed to be of a “high hazard”, which leads to classification in </w:t>
      </w:r>
      <w:r w:rsidR="001A692E">
        <w:rPr>
          <w:rFonts w:eastAsia="Calibri"/>
        </w:rPr>
        <w:t>s</w:t>
      </w:r>
      <w:r>
        <w:rPr>
          <w:rFonts w:eastAsia="Calibri"/>
        </w:rPr>
        <w:t>ub-category 2A of the proposed new system.</w:t>
      </w:r>
    </w:p>
    <w:p w14:paraId="5360BDCE" w14:textId="77777777" w:rsidR="00E24E95" w:rsidRPr="00BF1449" w:rsidRDefault="00E24E95" w:rsidP="00E24E95">
      <w:pPr>
        <w:pStyle w:val="SingleTxtG"/>
      </w:pPr>
      <w:r>
        <w:rPr>
          <w:rFonts w:eastAsia="Calibri"/>
        </w:rPr>
        <w:t>19.</w:t>
      </w:r>
      <w:r>
        <w:rPr>
          <w:rFonts w:eastAsia="Calibri"/>
        </w:rPr>
        <w:tab/>
        <w:t>For explosives assigned to Division 1.4, meaning that the explosion hazard at the level of the transport configuration is “not high”</w:t>
      </w:r>
      <w:r w:rsidR="006E2EFA">
        <w:rPr>
          <w:rStyle w:val="FootnoteReference"/>
          <w:rFonts w:eastAsia="Calibri"/>
        </w:rPr>
        <w:footnoteReference w:id="16"/>
      </w:r>
      <w:r>
        <w:rPr>
          <w:rFonts w:eastAsia="Calibri"/>
        </w:rPr>
        <w:t>, criteria are set out that essentially assess whether the relatively benign behaviour of the transport configuration is attributed to attenuating features such as a special packaging (which</w:t>
      </w:r>
      <w:r w:rsidRPr="00E53EE2">
        <w:t xml:space="preserve"> may include spacing or specific orientations of explosive articles</w:t>
      </w:r>
      <w:r>
        <w:t xml:space="preserve">). </w:t>
      </w:r>
      <w:proofErr w:type="gramStart"/>
      <w:r>
        <w:t>On the basis of</w:t>
      </w:r>
      <w:proofErr w:type="gramEnd"/>
      <w:r>
        <w:t xml:space="preserve"> this assessment, the explosive is classified into either </w:t>
      </w:r>
      <w:r w:rsidR="001A692E">
        <w:t>s</w:t>
      </w:r>
      <w:r>
        <w:t xml:space="preserve">ub-category 2A (high hazard), 2B (medium hazard) or 2C (low hazard), reflecting the explosion hazard at the level of the primary packaging. Explosives that detonate and disintegrate are always classified as </w:t>
      </w:r>
      <w:r w:rsidR="00653673">
        <w:t>sub</w:t>
      </w:r>
      <w:r>
        <w:t>-category 2A.</w:t>
      </w:r>
    </w:p>
    <w:p w14:paraId="415E6DE3" w14:textId="77777777" w:rsidR="00E24E95" w:rsidRPr="00A80E7C" w:rsidRDefault="00E24E95" w:rsidP="00E24E95">
      <w:pPr>
        <w:pStyle w:val="H23G"/>
        <w:rPr>
          <w:rFonts w:eastAsia="Calibri"/>
        </w:rPr>
      </w:pPr>
      <w:r>
        <w:rPr>
          <w:rFonts w:eastAsia="Calibri"/>
        </w:rPr>
        <w:tab/>
      </w:r>
      <w:r>
        <w:rPr>
          <w:rFonts w:eastAsia="Calibri"/>
        </w:rPr>
        <w:tab/>
      </w:r>
      <w:r w:rsidRPr="00A80E7C">
        <w:rPr>
          <w:rFonts w:eastAsia="Calibri"/>
        </w:rPr>
        <w:t xml:space="preserve">Hazard communication </w:t>
      </w:r>
      <w:r>
        <w:rPr>
          <w:rFonts w:eastAsia="Calibri"/>
        </w:rPr>
        <w:t>to reflect</w:t>
      </w:r>
      <w:r w:rsidRPr="00A80E7C">
        <w:rPr>
          <w:rFonts w:eastAsia="Calibri"/>
        </w:rPr>
        <w:t xml:space="preserve"> the </w:t>
      </w:r>
      <w:r>
        <w:rPr>
          <w:rFonts w:eastAsia="Calibri"/>
        </w:rPr>
        <w:t xml:space="preserve">hazard of the </w:t>
      </w:r>
      <w:r w:rsidRPr="00A80E7C">
        <w:rPr>
          <w:rFonts w:eastAsia="Calibri"/>
        </w:rPr>
        <w:t>primary packaging</w:t>
      </w:r>
    </w:p>
    <w:p w14:paraId="5EAA8670" w14:textId="77777777" w:rsidR="00E24E95" w:rsidRDefault="00E24E95" w:rsidP="00E24E95">
      <w:pPr>
        <w:pStyle w:val="SingleTxtG"/>
      </w:pPr>
      <w:r>
        <w:t>20.</w:t>
      </w:r>
      <w:r>
        <w:tab/>
        <w:t>Once the explosion hazard at the level of the primary packaging has been determined, and a classification is assigned on that basis, it is possible to assign GHS hazard communication elements at that level, i.e. that reflect the explosion hazard at the level of the primary packaging instead of the explosion hazard as configured for transport.</w:t>
      </w:r>
    </w:p>
    <w:p w14:paraId="4EF462E2" w14:textId="77777777" w:rsidR="00E24E95" w:rsidRDefault="00E24E95" w:rsidP="00E24E95">
      <w:pPr>
        <w:pStyle w:val="SingleTxtG"/>
      </w:pPr>
      <w:r>
        <w:t>21.</w:t>
      </w:r>
      <w:r>
        <w:tab/>
        <w:t>The hazard communication elements were discussed at the thirty-seventh and thirt</w:t>
      </w:r>
      <w:r w:rsidR="00653673">
        <w:t>y</w:t>
      </w:r>
      <w:r>
        <w:t>-eight</w:t>
      </w:r>
      <w:r w:rsidR="001A692E">
        <w:t>h</w:t>
      </w:r>
      <w:r>
        <w:t xml:space="preserve"> sessions of the SCEGHS. For Category 1 and sub-categories 2A and 2B there were no strong opinions deviating from the initial proposals made</w:t>
      </w:r>
      <w:r w:rsidR="006E2EFA">
        <w:rPr>
          <w:rStyle w:val="FootnoteReference"/>
        </w:rPr>
        <w:footnoteReference w:id="17"/>
      </w:r>
      <w:r>
        <w:t xml:space="preserve">. For </w:t>
      </w:r>
      <w:r w:rsidR="00653673">
        <w:t>sub</w:t>
      </w:r>
      <w:r>
        <w:t>-category 2C, however, the choice of the GHS pictogram (or no pictogram) gave rise to some discussions, eventually leading to a small preference for the exclamation mark pictogram (GHS07). While the existing hazard statement H204</w:t>
      </w:r>
      <w:r w:rsidR="006E2EFA">
        <w:rPr>
          <w:rStyle w:val="FootnoteReference"/>
        </w:rPr>
        <w:footnoteReference w:id="18"/>
      </w:r>
      <w:r>
        <w:t xml:space="preserve"> was tentatively assigned to both sub-categories 2B and 2C, there was a general wish that the hazard statements for these sub-categories should preferably be different to be able to tell the two apart.</w:t>
      </w:r>
      <w:r w:rsidR="006E2EFA">
        <w:rPr>
          <w:rStyle w:val="FootnoteReference"/>
        </w:rPr>
        <w:footnoteReference w:id="19"/>
      </w:r>
      <w:r>
        <w:t xml:space="preserve"> </w:t>
      </w:r>
    </w:p>
    <w:p w14:paraId="10825D08" w14:textId="77777777" w:rsidR="00E24E95" w:rsidRDefault="00E24E95" w:rsidP="00E24E95">
      <w:pPr>
        <w:pStyle w:val="SingleTxtG"/>
      </w:pPr>
      <w:r>
        <w:t>22.</w:t>
      </w:r>
      <w:r>
        <w:tab/>
        <w:t xml:space="preserve">There have been some subsequent discussions in the ICG on finding another hazard statement for </w:t>
      </w:r>
      <w:r w:rsidR="00653673">
        <w:t>sub</w:t>
      </w:r>
      <w:r>
        <w:t>-category 2C that is at least slightly different from H204. At the point of writing, however, no such suggestion can be presented but attempts are likely to continue.</w:t>
      </w:r>
    </w:p>
    <w:p w14:paraId="7437C914" w14:textId="77777777" w:rsidR="00E24E95" w:rsidRPr="00AF5D28" w:rsidRDefault="00E24E95" w:rsidP="00E24E95">
      <w:pPr>
        <w:pStyle w:val="H23G"/>
      </w:pPr>
      <w:r>
        <w:lastRenderedPageBreak/>
        <w:tab/>
      </w:r>
      <w:r>
        <w:tab/>
      </w:r>
      <w:r w:rsidRPr="00AF5D28">
        <w:t xml:space="preserve">Category 1 </w:t>
      </w:r>
      <w:r>
        <w:t>for all explosives not assigned to a Division</w:t>
      </w:r>
    </w:p>
    <w:p w14:paraId="1B2A07EB" w14:textId="77777777" w:rsidR="00E24E95" w:rsidRDefault="00E24E95" w:rsidP="00E24E95">
      <w:pPr>
        <w:pStyle w:val="SingleTxtG"/>
      </w:pPr>
      <w:r>
        <w:t>23.</w:t>
      </w:r>
      <w:r>
        <w:tab/>
        <w:t>Those explosives that have not been assigned to a division are all classified in Category 1 of the new system. There are two main reasons for not being assigned to a division:</w:t>
      </w:r>
    </w:p>
    <w:p w14:paraId="367E7B64" w14:textId="77777777" w:rsidR="00E24E95" w:rsidRDefault="00E24E95" w:rsidP="000F74A6">
      <w:pPr>
        <w:pStyle w:val="SingleTxtG"/>
        <w:ind w:left="2268" w:hanging="567"/>
      </w:pPr>
      <w:r>
        <w:t>(</w:t>
      </w:r>
      <w:r w:rsidR="00653673">
        <w:t>a</w:t>
      </w:r>
      <w:r>
        <w:t>)</w:t>
      </w:r>
      <w:r w:rsidR="00653673">
        <w:tab/>
      </w:r>
      <w:r>
        <w:t>The explosive is considered too dangerous for transport and can therefore not be assigned to a division. This is the case for explosives that show positive results in Test series 3 or 4.</w:t>
      </w:r>
    </w:p>
    <w:p w14:paraId="2D508DEF" w14:textId="77777777" w:rsidR="00E24E95" w:rsidRDefault="00E24E95" w:rsidP="000F74A6">
      <w:pPr>
        <w:pStyle w:val="SingleTxtG"/>
        <w:ind w:left="2268" w:hanging="567"/>
      </w:pPr>
      <w:r>
        <w:t>(</w:t>
      </w:r>
      <w:r w:rsidR="00653673">
        <w:t>b</w:t>
      </w:r>
      <w:r>
        <w:t>)</w:t>
      </w:r>
      <w:r w:rsidR="00653673">
        <w:tab/>
      </w:r>
      <w:r>
        <w:t>The explosive is not in a form suitable for performing the tests to assign it to a division, e.g. not packaged. This is the case for explosives in manufacturing and processing.</w:t>
      </w:r>
    </w:p>
    <w:p w14:paraId="0661E52A" w14:textId="77777777" w:rsidR="00E24E95" w:rsidRDefault="00E24E95" w:rsidP="00E24E95">
      <w:pPr>
        <w:pStyle w:val="SingleTxtG"/>
      </w:pPr>
      <w:r>
        <w:t>24.</w:t>
      </w:r>
      <w:r>
        <w:tab/>
        <w:t>As the classification within Category 2 reflects the explosion hazard at the level of the primary packaging, also explosives that are taken out of that packaging are generally classified in Category 1</w:t>
      </w:r>
      <w:r w:rsidR="006E2EFA">
        <w:rPr>
          <w:rStyle w:val="FootnoteReference"/>
        </w:rPr>
        <w:footnoteReference w:id="20"/>
      </w:r>
      <w:r>
        <w:t>. Removing the primary packaging for use of an explosive does however not trigger re-classification, as it would make no sense to do so just before utilising the explosive.</w:t>
      </w:r>
    </w:p>
    <w:p w14:paraId="74A13FD7" w14:textId="77777777" w:rsidR="00E24E95" w:rsidRPr="00471E59" w:rsidRDefault="00E24E95" w:rsidP="00E24E95">
      <w:pPr>
        <w:pStyle w:val="H23G"/>
      </w:pPr>
      <w:r>
        <w:tab/>
      </w:r>
      <w:r>
        <w:tab/>
      </w:r>
      <w:r w:rsidRPr="00471E59">
        <w:t>Harmonisation with the UN Model Regulations</w:t>
      </w:r>
    </w:p>
    <w:p w14:paraId="691B1529" w14:textId="77777777" w:rsidR="00E24E95" w:rsidRDefault="00E24E95" w:rsidP="00E24E95">
      <w:pPr>
        <w:pStyle w:val="SingleTxtG"/>
      </w:pPr>
      <w:r>
        <w:t>25.</w:t>
      </w:r>
      <w:r>
        <w:tab/>
        <w:t>Category 2 of the new GHS classification system is completely harmonised with Class</w:t>
      </w:r>
      <w:r w:rsidR="00653673">
        <w:t> </w:t>
      </w:r>
      <w:r>
        <w:t xml:space="preserve">1 of the UN Model Regulations, including the exemptions made. That means that a substance, mixture or article that is not classified as Class 1 according to the UN Model Regulations will also not be classified as an Explosive according to the GHS, </w:t>
      </w:r>
      <w:proofErr w:type="gramStart"/>
      <w:r>
        <w:t>as long as</w:t>
      </w:r>
      <w:proofErr w:type="gramEnd"/>
      <w:r>
        <w:t xml:space="preserve"> it stays in the transport configuration. When out of that configuration, however, it may become an Explosive according to the GHS.</w:t>
      </w:r>
    </w:p>
    <w:p w14:paraId="4F07C20D" w14:textId="77777777" w:rsidR="00E24E95" w:rsidRPr="00EA0EDA" w:rsidRDefault="00E24E95" w:rsidP="00E24E95">
      <w:pPr>
        <w:pStyle w:val="H23G"/>
      </w:pPr>
      <w:r>
        <w:tab/>
      </w:r>
      <w:r>
        <w:tab/>
        <w:t>Derogation for s</w:t>
      </w:r>
      <w:r w:rsidRPr="00EA0EDA">
        <w:t>ubstances</w:t>
      </w:r>
      <w:r>
        <w:t xml:space="preserve"> and mixtures</w:t>
      </w:r>
      <w:r w:rsidRPr="00EA0EDA">
        <w:t xml:space="preserve"> in</w:t>
      </w:r>
      <w:r>
        <w:t xml:space="preserve"> the</w:t>
      </w:r>
      <w:r w:rsidRPr="00EA0EDA">
        <w:t xml:space="preserve"> R</w:t>
      </w:r>
      <w:r w:rsidR="00653673">
        <w:t xml:space="preserve">esearch and </w:t>
      </w:r>
      <w:r w:rsidRPr="00EA0EDA">
        <w:t>D</w:t>
      </w:r>
      <w:r w:rsidR="00653673">
        <w:t>evelopment</w:t>
      </w:r>
      <w:r>
        <w:t xml:space="preserve"> phase</w:t>
      </w:r>
    </w:p>
    <w:p w14:paraId="77AC45BC" w14:textId="77777777" w:rsidR="00E24E95" w:rsidRDefault="00E24E95" w:rsidP="00E24E95">
      <w:pPr>
        <w:pStyle w:val="SingleTxtG"/>
      </w:pPr>
      <w:r>
        <w:t>26.</w:t>
      </w:r>
      <w:r>
        <w:tab/>
        <w:t>Substances and mixtures not manufactured with the view of creating an explosive or pyrotechnic effect need to be subjected to testing, unless it can be ruled out via screening that they could have explosive properties</w:t>
      </w:r>
      <w:r w:rsidR="006E2EFA">
        <w:rPr>
          <w:rStyle w:val="FootnoteReference"/>
        </w:rPr>
        <w:footnoteReference w:id="21"/>
      </w:r>
      <w:r>
        <w:t>. The tests required are those of Test series 2 of the Manual of Tests and Criteria, which require more than a kilogram of material. In the early stages of research and development (R&amp;D), this amount of material is not available, and the material is frequently also very expensive as these substances (they are rarely mixtures) are typically candidate molecules for pharmaceuticals or biocides. Furthermore, statistics show that it is very rare that these substances explode in the prescribed tests</w:t>
      </w:r>
      <w:r w:rsidR="006E2EFA">
        <w:rPr>
          <w:rStyle w:val="FootnoteReference"/>
        </w:rPr>
        <w:footnoteReference w:id="22"/>
      </w:r>
      <w:r>
        <w:t>, with the added issue of then leaving the test facility contaminated with the often highly bioactive material. This can pose a substantial health risk for the staff that needs to clean the site from the unconsumed material (that may be scattered all around) after completion of the prescribed tests.</w:t>
      </w:r>
    </w:p>
    <w:p w14:paraId="26FC3569" w14:textId="77777777" w:rsidR="00E24E95" w:rsidRDefault="00E24E95" w:rsidP="00E24E95">
      <w:pPr>
        <w:pStyle w:val="SingleTxtG"/>
      </w:pPr>
      <w:r>
        <w:t>27.</w:t>
      </w:r>
      <w:r>
        <w:tab/>
        <w:t>While the current GHS Chapter 2.1 does not explicitly make any exemption for the above R&amp;D cases, in practice such an exemption already exists as it is unreasonable to require the standard testing. An assumption of a positive result in Test series 2 without testing is not an option, as that would require further testing and even larger amounts of material to assign a division</w:t>
      </w:r>
      <w:r w:rsidR="006E2EFA">
        <w:rPr>
          <w:rStyle w:val="FootnoteReference"/>
        </w:rPr>
        <w:footnoteReference w:id="23"/>
      </w:r>
      <w:r>
        <w:t xml:space="preserve">. In practice, these materials are instead classified as self-reactive substances and mixtures Type C (see Chapter 2.8 of the GHS), which is a stringent classification, provided some </w:t>
      </w:r>
      <w:r w:rsidR="00653673">
        <w:t>small-scale</w:t>
      </w:r>
      <w:r>
        <w:t xml:space="preserve"> testing demonstrates that it is unlikely that they have explosive properties to such a degree that they would have to be classified as </w:t>
      </w:r>
      <w:r w:rsidR="00653673">
        <w:t>explosives</w:t>
      </w:r>
      <w:r w:rsidR="006E2EFA">
        <w:rPr>
          <w:rStyle w:val="FootnoteReference"/>
        </w:rPr>
        <w:footnoteReference w:id="24"/>
      </w:r>
      <w:r>
        <w:t xml:space="preserve">. The new GHS Chapter 2.1 acknowledges this practice by stating the exemption and the conditions for it, in the form </w:t>
      </w:r>
      <w:r>
        <w:lastRenderedPageBreak/>
        <w:t>of a note. Importantly, this exemption can only be applied to substances and mixtures that have not been manufactured with the view of creating an explosive or pyrotechnic effect.</w:t>
      </w:r>
    </w:p>
    <w:p w14:paraId="3499B737" w14:textId="77777777" w:rsidR="00E24E95" w:rsidRPr="008E00A2" w:rsidRDefault="00E24E95" w:rsidP="00E24E95">
      <w:pPr>
        <w:pStyle w:val="H1G"/>
      </w:pPr>
      <w:r>
        <w:tab/>
      </w:r>
      <w:r>
        <w:tab/>
      </w:r>
      <w:r w:rsidRPr="008E00A2">
        <w:t>The consequences of changing the GHS system</w:t>
      </w:r>
    </w:p>
    <w:p w14:paraId="08168A0E" w14:textId="77777777" w:rsidR="00E24E95" w:rsidRDefault="00E24E95" w:rsidP="00E24E95">
      <w:pPr>
        <w:pStyle w:val="SingleTxtG"/>
      </w:pPr>
      <w:r>
        <w:t>28.</w:t>
      </w:r>
      <w:r>
        <w:tab/>
        <w:t>Introducing new Chapter 2.1 constitutes a major change compared to the current chapter, leading to new GHS classifications and to new GHS labelling for all explosives. It also means that implementations of editions of the GHS before the new Chapter 2.1 and after will come to differing classification results and differing labelling.</w:t>
      </w:r>
    </w:p>
    <w:p w14:paraId="63BB0317" w14:textId="77777777" w:rsidR="00E24E95" w:rsidRDefault="00E24E95" w:rsidP="00E24E95">
      <w:pPr>
        <w:pStyle w:val="SingleTxtG"/>
      </w:pPr>
      <w:proofErr w:type="gramStart"/>
      <w:r>
        <w:t>29.</w:t>
      </w:r>
      <w:r>
        <w:tab/>
        <w:t>This being said, for</w:t>
      </w:r>
      <w:proofErr w:type="gramEnd"/>
      <w:r>
        <w:t xml:space="preserve"> the explosives industry there should be significant simplification as all “high hazard” explosives, which includes all high explosives used by the commercial explosives industry, will be assigned to one single classification with the same simple hazard communication. No new testing or review of performed classification tests is needed for this. It should be noted that introduction of the new Chapter 2.1 means that Division 1.6 will have hazard communication elements assigned, which currently it has not.</w:t>
      </w:r>
    </w:p>
    <w:p w14:paraId="1872788D" w14:textId="77777777" w:rsidR="00E24E95" w:rsidRDefault="00E24E95" w:rsidP="00E24E95">
      <w:pPr>
        <w:pStyle w:val="SingleTxtG"/>
      </w:pPr>
      <w:r>
        <w:t>30.</w:t>
      </w:r>
      <w:r>
        <w:tab/>
        <w:t>For the non-explosives industry, there may be a challenge. For pyrotechnics assigned to Division 1.4 for transport, an assessment needs to be done on basis of existing test results. This would also be the case for other explosives such as airbags, ammunitions and cartridges for various power tools (nail guns etc.). However, the system allows default classification into the most stringent sub-category (</w:t>
      </w:r>
      <w:r w:rsidR="00653673">
        <w:t>sub</w:t>
      </w:r>
      <w:r>
        <w:t>-category 2A), although this may not be preferred.</w:t>
      </w:r>
    </w:p>
    <w:p w14:paraId="7A8781FA" w14:textId="77777777" w:rsidR="00E24E95" w:rsidRDefault="00E24E95" w:rsidP="00E24E95">
      <w:pPr>
        <w:pStyle w:val="SingleTxtG"/>
      </w:pPr>
      <w:r>
        <w:t>31.</w:t>
      </w:r>
      <w:r>
        <w:tab/>
        <w:t>As regards the labelling, the division-dependence of the hazard statements will be lost, meaning that it will no longer be possible to derive the division (for transport) of a given explosive indirectly from the GHS hazard statement. Instead, a precautionary statement is intended to state the division (for transport) on the GHS</w:t>
      </w:r>
      <w:r w:rsidR="00653673">
        <w:t xml:space="preserve"> </w:t>
      </w:r>
      <w:r>
        <w:t>label, as has recently been discussed in the ICG.</w:t>
      </w:r>
      <w:r w:rsidR="009E5854">
        <w:rPr>
          <w:rStyle w:val="FootnoteReference"/>
        </w:rPr>
        <w:footnoteReference w:id="25"/>
      </w:r>
    </w:p>
    <w:p w14:paraId="3B923BF9" w14:textId="77777777" w:rsidR="00E24E95" w:rsidRPr="00CD475C" w:rsidRDefault="00E24E95" w:rsidP="00E24E95">
      <w:pPr>
        <w:pStyle w:val="HChG"/>
      </w:pPr>
      <w:r>
        <w:tab/>
      </w:r>
      <w:r>
        <w:tab/>
      </w:r>
      <w:r w:rsidRPr="00176A7B">
        <w:t>Proposals</w:t>
      </w:r>
    </w:p>
    <w:p w14:paraId="74138583" w14:textId="77777777" w:rsidR="00E24E95" w:rsidRDefault="00E24E95" w:rsidP="00E24E95">
      <w:pPr>
        <w:pStyle w:val="SingleTxtG"/>
      </w:pPr>
      <w:r>
        <w:t>32.</w:t>
      </w:r>
      <w:r>
        <w:tab/>
        <w:t xml:space="preserve">The </w:t>
      </w:r>
      <w:r w:rsidR="00653673">
        <w:t>sub</w:t>
      </w:r>
      <w:r>
        <w:t xml:space="preserve">-committees are invited to consider the new GHS Chapter 2.1 as presented in Annex I to this document. At the time of writing, it is noted that there may still be a few amendments needed to complete the new chapter. </w:t>
      </w:r>
      <w:proofErr w:type="gramStart"/>
      <w:r>
        <w:t>In particular, some</w:t>
      </w:r>
      <w:proofErr w:type="gramEnd"/>
      <w:r>
        <w:t xml:space="preserve"> members of the ICG have indicated that it needs to be confirmed that the exemption for articles containing explosives excluded from Class 1 of the UN Model Regulations functions as intended (see paragraph 2.1.1.2.2 (d) in section 2.1.1 of the proposed new Chapter 2.1). Furthermore, some members of the ICG have expressed a wish to make another attempt at devising a hazard statement for </w:t>
      </w:r>
      <w:r w:rsidR="00653673">
        <w:t>sub</w:t>
      </w:r>
      <w:r>
        <w:t xml:space="preserve">-category 2C that is different from that of </w:t>
      </w:r>
      <w:r w:rsidR="00653673">
        <w:t>sub</w:t>
      </w:r>
      <w:r>
        <w:t xml:space="preserve">-category 2B (see paragraphs 20-22 above and section 2.1.3 of the proposed new Chapter 2.1). A supplemental informal document may thus </w:t>
      </w:r>
      <w:r w:rsidR="00653673">
        <w:t xml:space="preserve">be prepared </w:t>
      </w:r>
      <w:r>
        <w:t>with additional amendments to complete the proposed new Chapter 2.1.</w:t>
      </w:r>
    </w:p>
    <w:p w14:paraId="2BF5EC6D" w14:textId="77777777" w:rsidR="00E24E95" w:rsidRDefault="00E24E95" w:rsidP="00E24E95">
      <w:pPr>
        <w:pStyle w:val="SingleTxtG"/>
      </w:pPr>
      <w:r>
        <w:t>33.</w:t>
      </w:r>
      <w:r>
        <w:tab/>
        <w:t>In addition, the decision logic flowcharts to be inserted into section 2.1.4.1 of the new chapter are still under development at the time of writing. The aim is to present these in a forthcoming informal document.</w:t>
      </w:r>
    </w:p>
    <w:p w14:paraId="147BD290" w14:textId="77777777" w:rsidR="00E24E95" w:rsidRPr="005D2778" w:rsidRDefault="00E24E95" w:rsidP="00E24E95">
      <w:pPr>
        <w:pStyle w:val="HChG"/>
      </w:pPr>
      <w:r>
        <w:tab/>
      </w:r>
      <w:r>
        <w:tab/>
      </w:r>
      <w:r w:rsidRPr="005D2778">
        <w:t>Conseque</w:t>
      </w:r>
      <w:r>
        <w:t>n</w:t>
      </w:r>
      <w:r w:rsidRPr="005D2778">
        <w:t>tial amendments</w:t>
      </w:r>
    </w:p>
    <w:p w14:paraId="6D49A44B" w14:textId="77777777" w:rsidR="00E24E95" w:rsidRDefault="00E24E95" w:rsidP="00E24E95">
      <w:pPr>
        <w:pStyle w:val="SingleTxtG"/>
      </w:pPr>
      <w:r>
        <w:t>34.</w:t>
      </w:r>
      <w:r>
        <w:tab/>
        <w:t xml:space="preserve">Provided adoption of the new GHS Chapter 2.1 is endorsed, the </w:t>
      </w:r>
      <w:r w:rsidR="00653673">
        <w:t>sub</w:t>
      </w:r>
      <w:r>
        <w:t>-</w:t>
      </w:r>
      <w:r w:rsidR="00653673">
        <w:t xml:space="preserve">committees </w:t>
      </w:r>
      <w:r>
        <w:t xml:space="preserve">are invited to adopt the consequential amendments to the </w:t>
      </w:r>
      <w:r w:rsidR="00653673">
        <w:t xml:space="preserve">codification </w:t>
      </w:r>
      <w:r>
        <w:t xml:space="preserve">of </w:t>
      </w:r>
      <w:r w:rsidR="00653673">
        <w:t xml:space="preserve">hazard statements </w:t>
      </w:r>
      <w:r>
        <w:t xml:space="preserve">in Section 1 of Annex 3 to the GHS, as presented in Annex II to this document, and the consequential amendments to the </w:t>
      </w:r>
      <w:r w:rsidR="00653673">
        <w:t xml:space="preserve">classification </w:t>
      </w:r>
      <w:r>
        <w:t xml:space="preserve">and </w:t>
      </w:r>
      <w:r w:rsidR="00653673">
        <w:t xml:space="preserve">labelling summary tables </w:t>
      </w:r>
      <w:r>
        <w:t>in Annex 1 of the GHS, as presented in Annex III to this document.</w:t>
      </w:r>
    </w:p>
    <w:p w14:paraId="3D30C41D" w14:textId="77777777" w:rsidR="000F74A6" w:rsidRDefault="000F74A6">
      <w:pPr>
        <w:suppressAutoHyphens w:val="0"/>
        <w:kinsoku/>
        <w:overflowPunct/>
        <w:autoSpaceDE/>
        <w:autoSpaceDN/>
        <w:adjustRightInd/>
        <w:snapToGrid/>
        <w:spacing w:after="200" w:line="276" w:lineRule="auto"/>
      </w:pPr>
      <w:r>
        <w:br w:type="page"/>
      </w:r>
    </w:p>
    <w:p w14:paraId="12E0518C" w14:textId="77777777" w:rsidR="00E24E95" w:rsidRDefault="00E24E95" w:rsidP="00E24E95">
      <w:pPr>
        <w:pStyle w:val="SingleTxtG"/>
      </w:pPr>
      <w:r>
        <w:lastRenderedPageBreak/>
        <w:t xml:space="preserve">35. </w:t>
      </w:r>
      <w:r>
        <w:tab/>
        <w:t>In order to complete the introduction of the new Chapter 2.1 in the GHS, amendments are needed also to the allocation of precautionary statements in Section 3 of Annex 3, as well as editorial amendments to Part I of the Manual of Test and Criteria. Proposals for these amendments will be addressed in separate documents.</w:t>
      </w:r>
    </w:p>
    <w:p w14:paraId="42A52680" w14:textId="77777777" w:rsidR="00E24E95" w:rsidRDefault="00E24E95" w:rsidP="009E5854">
      <w:pPr>
        <w:spacing w:before="240"/>
        <w:ind w:left="1134"/>
        <w:jc w:val="both"/>
      </w:pPr>
      <w:r>
        <w:rPr>
          <w:u w:val="single"/>
        </w:rPr>
        <w:tab/>
      </w:r>
      <w:r>
        <w:br w:type="page"/>
      </w:r>
    </w:p>
    <w:p w14:paraId="54C2D0A5" w14:textId="77777777" w:rsidR="00E24E95" w:rsidRDefault="00653673" w:rsidP="00E24E95">
      <w:pPr>
        <w:pStyle w:val="HChG"/>
      </w:pPr>
      <w:r>
        <w:lastRenderedPageBreak/>
        <w:tab/>
      </w:r>
      <w:r>
        <w:tab/>
      </w:r>
      <w:r w:rsidR="00E24E95" w:rsidRPr="008B5DC8">
        <w:t>Annex I</w:t>
      </w:r>
    </w:p>
    <w:p w14:paraId="50CB231B" w14:textId="77777777" w:rsidR="00E24E95" w:rsidRDefault="00E24E95" w:rsidP="00E24E95">
      <w:pPr>
        <w:pStyle w:val="HChG"/>
      </w:pPr>
      <w:r>
        <w:tab/>
      </w:r>
      <w:r>
        <w:tab/>
        <w:t>Amendments to GHS Part I, Chapter 2.1</w:t>
      </w:r>
    </w:p>
    <w:p w14:paraId="1C0EA27F" w14:textId="77777777" w:rsidR="00E24E95" w:rsidRDefault="00653673" w:rsidP="00E24E95">
      <w:pPr>
        <w:suppressAutoHyphens w:val="0"/>
        <w:spacing w:line="240" w:lineRule="auto"/>
        <w:ind w:left="1134" w:right="284"/>
        <w:jc w:val="both"/>
      </w:pPr>
      <w:r>
        <w:t xml:space="preserve">Replace </w:t>
      </w:r>
      <w:r w:rsidR="00E24E95">
        <w:t xml:space="preserve">Chapter 2.1 </w:t>
      </w:r>
      <w:r>
        <w:t>with the following</w:t>
      </w:r>
      <w:r w:rsidR="00E24E95">
        <w:t>:</w:t>
      </w:r>
    </w:p>
    <w:p w14:paraId="787C93E3" w14:textId="77777777" w:rsidR="00527E7B" w:rsidRPr="00360A7B" w:rsidRDefault="00527E7B" w:rsidP="00E24E95">
      <w:pPr>
        <w:suppressAutoHyphens w:val="0"/>
        <w:spacing w:line="240" w:lineRule="auto"/>
        <w:ind w:left="1134" w:right="284"/>
        <w:jc w:val="both"/>
      </w:pPr>
    </w:p>
    <w:p w14:paraId="5E425CAE" w14:textId="77777777" w:rsidR="00E24E95" w:rsidRDefault="00653673" w:rsidP="00527E7B">
      <w:pPr>
        <w:suppressAutoHyphens w:val="0"/>
        <w:spacing w:after="240" w:line="240" w:lineRule="auto"/>
        <w:ind w:left="1134" w:right="284"/>
        <w:jc w:val="center"/>
        <w:rPr>
          <w:b/>
          <w:sz w:val="28"/>
        </w:rPr>
      </w:pPr>
      <w:r>
        <w:rPr>
          <w:b/>
          <w:sz w:val="28"/>
        </w:rPr>
        <w:t>“</w:t>
      </w:r>
      <w:r w:rsidR="00E24E95" w:rsidRPr="00FD2C32">
        <w:rPr>
          <w:b/>
          <w:sz w:val="28"/>
        </w:rPr>
        <w:t>CHAPTER 2.1</w:t>
      </w:r>
    </w:p>
    <w:p w14:paraId="32EA6ABC" w14:textId="77777777" w:rsidR="00653673" w:rsidRPr="00FD2C32" w:rsidRDefault="00653673" w:rsidP="00E24E95">
      <w:pPr>
        <w:suppressAutoHyphens w:val="0"/>
        <w:spacing w:line="240" w:lineRule="auto"/>
        <w:ind w:left="1134" w:right="284"/>
        <w:jc w:val="center"/>
        <w:rPr>
          <w:b/>
          <w:sz w:val="28"/>
        </w:rPr>
      </w:pPr>
    </w:p>
    <w:p w14:paraId="660D7ADF" w14:textId="77777777" w:rsidR="00E24E95" w:rsidRDefault="00E24E95" w:rsidP="00E24E95">
      <w:pPr>
        <w:suppressAutoHyphens w:val="0"/>
        <w:spacing w:line="240" w:lineRule="auto"/>
        <w:ind w:left="1134" w:right="284"/>
        <w:jc w:val="center"/>
        <w:rPr>
          <w:b/>
          <w:sz w:val="28"/>
        </w:rPr>
      </w:pPr>
      <w:r w:rsidRPr="00FD2C32">
        <w:rPr>
          <w:b/>
          <w:sz w:val="28"/>
        </w:rPr>
        <w:t>EXPLOSIVES</w:t>
      </w:r>
    </w:p>
    <w:p w14:paraId="2E2FAF47" w14:textId="77777777" w:rsidR="00E24E95" w:rsidRDefault="00E24E95" w:rsidP="00E24E95">
      <w:pPr>
        <w:ind w:left="1134" w:right="284"/>
        <w:jc w:val="both"/>
        <w:rPr>
          <w:b/>
        </w:rPr>
      </w:pPr>
    </w:p>
    <w:p w14:paraId="766410B4" w14:textId="77777777" w:rsidR="00E24E95" w:rsidRDefault="00E24E95" w:rsidP="00B7429F">
      <w:pPr>
        <w:ind w:left="1134" w:right="1134"/>
        <w:jc w:val="both"/>
        <w:rPr>
          <w:b/>
        </w:rPr>
      </w:pPr>
      <w:r>
        <w:rPr>
          <w:b/>
        </w:rPr>
        <w:t>2.1.1</w:t>
      </w:r>
      <w:r>
        <w:rPr>
          <w:b/>
        </w:rPr>
        <w:tab/>
      </w:r>
      <w:r>
        <w:rPr>
          <w:b/>
        </w:rPr>
        <w:tab/>
        <w:t>Definitions and general considerations</w:t>
      </w:r>
    </w:p>
    <w:p w14:paraId="77E1C864" w14:textId="77777777" w:rsidR="00E24E95" w:rsidRDefault="00E24E95" w:rsidP="00B7429F">
      <w:pPr>
        <w:ind w:left="1134" w:right="1134"/>
        <w:jc w:val="both"/>
      </w:pPr>
    </w:p>
    <w:p w14:paraId="2BD1A009" w14:textId="77777777" w:rsidR="00E24E95" w:rsidRPr="000F74A6" w:rsidRDefault="00E24E95" w:rsidP="000F74A6">
      <w:pPr>
        <w:tabs>
          <w:tab w:val="left" w:pos="2268"/>
        </w:tabs>
        <w:spacing w:after="120"/>
        <w:ind w:left="1134" w:right="1134"/>
        <w:jc w:val="both"/>
        <w:rPr>
          <w:b/>
          <w:bCs/>
        </w:rPr>
      </w:pPr>
      <w:r w:rsidRPr="000F74A6">
        <w:rPr>
          <w:b/>
          <w:bCs/>
        </w:rPr>
        <w:t>2.1.1.1</w:t>
      </w:r>
      <w:r w:rsidRPr="000F74A6">
        <w:rPr>
          <w:b/>
          <w:bCs/>
        </w:rPr>
        <w:tab/>
      </w:r>
      <w:r w:rsidRPr="000F74A6">
        <w:rPr>
          <w:b/>
          <w:bCs/>
        </w:rPr>
        <w:tab/>
      </w:r>
      <w:r w:rsidRPr="000F74A6">
        <w:rPr>
          <w:b/>
          <w:bCs/>
          <w:i/>
          <w:iCs/>
        </w:rPr>
        <w:t>Definitions</w:t>
      </w:r>
    </w:p>
    <w:p w14:paraId="23F54EEA" w14:textId="77777777" w:rsidR="00E24E95" w:rsidRDefault="00B7429F" w:rsidP="000F74A6">
      <w:pPr>
        <w:tabs>
          <w:tab w:val="left" w:pos="2268"/>
        </w:tabs>
        <w:spacing w:after="120"/>
        <w:ind w:left="1134" w:right="1134"/>
        <w:jc w:val="both"/>
        <w:rPr>
          <w:rFonts w:eastAsia="Calibri"/>
        </w:rPr>
      </w:pPr>
      <w:r>
        <w:rPr>
          <w:rFonts w:eastAsia="Calibri"/>
        </w:rPr>
        <w:tab/>
      </w:r>
      <w:r>
        <w:rPr>
          <w:rFonts w:eastAsia="Calibri"/>
        </w:rPr>
        <w:tab/>
      </w:r>
      <w:r w:rsidR="00E24E95">
        <w:rPr>
          <w:rFonts w:eastAsia="Calibri"/>
        </w:rPr>
        <w:t xml:space="preserve">An </w:t>
      </w:r>
      <w:r w:rsidR="00E24E95">
        <w:rPr>
          <w:rFonts w:eastAsia="Calibri"/>
          <w:i/>
        </w:rPr>
        <w:t>explosive substance or mixture</w:t>
      </w:r>
      <w:r w:rsidR="00E24E95">
        <w:rPr>
          <w:rFonts w:eastAsia="Calibri"/>
        </w:rPr>
        <w:t xml:space="preserve"> is a solid or liquid substance or mixture which is </w:t>
      </w:r>
      <w:proofErr w:type="gramStart"/>
      <w:r w:rsidR="00E24E95">
        <w:rPr>
          <w:rFonts w:eastAsia="Calibri"/>
        </w:rPr>
        <w:t>in itself capable</w:t>
      </w:r>
      <w:proofErr w:type="gramEnd"/>
      <w:r w:rsidR="00E24E95">
        <w:rPr>
          <w:rFonts w:eastAsia="Calibri"/>
        </w:rPr>
        <w:t xml:space="preserve"> by chemical reaction of producing gas at such a temperature and pressure and at such a speed as to cause damage to the surroundings. Pyrotechnic substances and mixtures are included even when they do not evolve gases.</w:t>
      </w:r>
    </w:p>
    <w:p w14:paraId="14E13217" w14:textId="77777777" w:rsidR="00E24E95" w:rsidRDefault="00B7429F" w:rsidP="000F74A6">
      <w:pPr>
        <w:tabs>
          <w:tab w:val="left" w:pos="2268"/>
        </w:tabs>
        <w:spacing w:after="120"/>
        <w:ind w:left="1134" w:right="1134"/>
        <w:jc w:val="both"/>
        <w:rPr>
          <w:rFonts w:eastAsia="Calibri"/>
        </w:rPr>
      </w:pPr>
      <w:r>
        <w:rPr>
          <w:rFonts w:eastAsia="Calibri"/>
        </w:rPr>
        <w:tab/>
      </w:r>
      <w:r w:rsidR="00E24E95">
        <w:rPr>
          <w:rFonts w:eastAsia="Calibri"/>
        </w:rPr>
        <w:t xml:space="preserve">A </w:t>
      </w:r>
      <w:r w:rsidR="00E24E95">
        <w:rPr>
          <w:rFonts w:eastAsia="Calibri"/>
          <w:i/>
        </w:rPr>
        <w:t>pyrotechnic substance or mixture</w:t>
      </w:r>
      <w:r w:rsidR="00E24E95">
        <w:rPr>
          <w:rFonts w:eastAsia="Calibri"/>
        </w:rPr>
        <w:t xml:space="preserve"> is a substance or mixture designed to produce an effect by heat, light, sound, gas or smoke or a combination of these as the result of non-detonative self-sustaining exothermic chemical reactions.</w:t>
      </w:r>
    </w:p>
    <w:p w14:paraId="1E4B4FFC" w14:textId="77777777" w:rsidR="00E24E95" w:rsidRDefault="00B7429F" w:rsidP="000F74A6">
      <w:pPr>
        <w:tabs>
          <w:tab w:val="left" w:pos="2268"/>
        </w:tabs>
        <w:spacing w:after="120"/>
        <w:ind w:left="1134" w:right="1134"/>
        <w:jc w:val="both"/>
        <w:rPr>
          <w:rFonts w:eastAsia="Calibri"/>
        </w:rPr>
      </w:pPr>
      <w:r>
        <w:rPr>
          <w:rFonts w:eastAsia="Calibri"/>
        </w:rPr>
        <w:tab/>
      </w:r>
      <w:r w:rsidR="00E24E95">
        <w:rPr>
          <w:rFonts w:eastAsia="Calibri"/>
        </w:rPr>
        <w:t xml:space="preserve">An </w:t>
      </w:r>
      <w:r w:rsidR="00E24E95">
        <w:rPr>
          <w:rFonts w:eastAsia="Calibri"/>
          <w:i/>
        </w:rPr>
        <w:t>explosive article</w:t>
      </w:r>
      <w:r w:rsidR="00E24E95">
        <w:rPr>
          <w:rFonts w:eastAsia="Calibri"/>
        </w:rPr>
        <w:t xml:space="preserve"> is an article containing one or more explosive substances or mixtures.</w:t>
      </w:r>
    </w:p>
    <w:p w14:paraId="4A482FCB" w14:textId="77777777" w:rsidR="00E24E95" w:rsidRDefault="00B7429F" w:rsidP="000F74A6">
      <w:pPr>
        <w:tabs>
          <w:tab w:val="left" w:pos="2268"/>
        </w:tabs>
        <w:spacing w:after="120"/>
        <w:ind w:left="1134" w:right="1134"/>
        <w:jc w:val="both"/>
        <w:rPr>
          <w:rFonts w:eastAsia="Calibri"/>
        </w:rPr>
      </w:pPr>
      <w:r>
        <w:rPr>
          <w:rFonts w:eastAsia="Calibri"/>
          <w:i/>
        </w:rPr>
        <w:tab/>
      </w:r>
      <w:r w:rsidR="00E24E95">
        <w:rPr>
          <w:rFonts w:eastAsia="Calibri"/>
          <w:i/>
        </w:rPr>
        <w:t>Primary packaging</w:t>
      </w:r>
      <w:r w:rsidR="00E24E95">
        <w:rPr>
          <w:rFonts w:eastAsia="Calibri"/>
        </w:rPr>
        <w:t xml:space="preserve"> means the minimum level of packaging</w:t>
      </w:r>
      <w:r w:rsidR="00E24E95">
        <w:rPr>
          <w:rFonts w:eastAsia="Calibri"/>
          <w:color w:val="7030A0"/>
        </w:rPr>
        <w:t xml:space="preserve"> </w:t>
      </w:r>
      <w:r w:rsidR="00E24E95">
        <w:rPr>
          <w:rFonts w:eastAsia="Calibri"/>
        </w:rPr>
        <w:t>of a configuration assigned to a division,</w:t>
      </w:r>
      <w:r w:rsidR="00E24E95" w:rsidRPr="000F74A6">
        <w:rPr>
          <w:rFonts w:eastAsia="Calibri"/>
        </w:rPr>
        <w:t xml:space="preserve"> </w:t>
      </w:r>
      <w:r w:rsidR="00E24E95">
        <w:rPr>
          <w:rFonts w:eastAsia="Calibri"/>
        </w:rPr>
        <w:t>in which the explosive substance, mixture or article is intended to be retained until use.</w:t>
      </w:r>
    </w:p>
    <w:p w14:paraId="4E5E4FE5" w14:textId="77777777" w:rsidR="00E24E95" w:rsidRDefault="00B7429F" w:rsidP="000F74A6">
      <w:pPr>
        <w:tabs>
          <w:tab w:val="left" w:pos="2268"/>
        </w:tabs>
        <w:spacing w:after="120"/>
        <w:ind w:left="1134" w:right="1134"/>
        <w:jc w:val="both"/>
        <w:rPr>
          <w:rFonts w:eastAsiaTheme="minorHAnsi"/>
        </w:rPr>
      </w:pPr>
      <w:r>
        <w:rPr>
          <w:i/>
        </w:rPr>
        <w:tab/>
      </w:r>
      <w:r w:rsidR="00E24E95">
        <w:rPr>
          <w:i/>
        </w:rPr>
        <w:t>Division</w:t>
      </w:r>
      <w:r w:rsidR="00E24E95">
        <w:t xml:space="preserve"> means the classification of an explosive substance, mixture or article according to Part I of the </w:t>
      </w:r>
      <w:r w:rsidR="00E24E95">
        <w:rPr>
          <w:i/>
        </w:rPr>
        <w:t>Manual of Tests and Criteria</w:t>
      </w:r>
      <w:r w:rsidR="00E24E95">
        <w:t xml:space="preserve"> and relates to it being in a certain configuration.</w:t>
      </w:r>
    </w:p>
    <w:p w14:paraId="132BD32B" w14:textId="77777777" w:rsidR="00E24E95" w:rsidRDefault="00E24E95" w:rsidP="000F74A6">
      <w:pPr>
        <w:tabs>
          <w:tab w:val="left" w:pos="2268"/>
        </w:tabs>
        <w:spacing w:after="120"/>
        <w:ind w:left="1134" w:right="1134"/>
        <w:jc w:val="both"/>
      </w:pPr>
      <w:r>
        <w:rPr>
          <w:b/>
          <w:i/>
        </w:rPr>
        <w:t>NOTE:</w:t>
      </w:r>
      <w:r>
        <w:rPr>
          <w:i/>
        </w:rPr>
        <w:t xml:space="preserve"> </w:t>
      </w:r>
      <w:r w:rsidR="00B7429F">
        <w:rPr>
          <w:i/>
        </w:rPr>
        <w:tab/>
      </w:r>
      <w:r>
        <w:rPr>
          <w:i/>
        </w:rPr>
        <w:t xml:space="preserve">Divisions are generally assigned for the purpose of transport and may be subject to further </w:t>
      </w:r>
      <w:r w:rsidRPr="000F74A6">
        <w:rPr>
          <w:rFonts w:eastAsia="Calibri"/>
          <w:i/>
          <w:iCs/>
        </w:rPr>
        <w:t>packaging</w:t>
      </w:r>
      <w:r>
        <w:rPr>
          <w:i/>
        </w:rPr>
        <w:t xml:space="preserve"> specifications according to the UN Model Regulations to be valid.</w:t>
      </w:r>
    </w:p>
    <w:p w14:paraId="1350DD55" w14:textId="77777777" w:rsidR="00E24E95" w:rsidRDefault="00E24E95" w:rsidP="00B7429F">
      <w:pPr>
        <w:ind w:left="1134" w:right="1134"/>
        <w:jc w:val="both"/>
      </w:pPr>
    </w:p>
    <w:p w14:paraId="2047CF03" w14:textId="77777777" w:rsidR="00E24E95" w:rsidRPr="000F74A6" w:rsidRDefault="00E24E95" w:rsidP="000F74A6">
      <w:pPr>
        <w:tabs>
          <w:tab w:val="left" w:pos="2268"/>
        </w:tabs>
        <w:spacing w:after="120"/>
        <w:ind w:left="1134" w:right="1134"/>
        <w:jc w:val="both"/>
        <w:rPr>
          <w:b/>
          <w:bCs/>
        </w:rPr>
      </w:pPr>
      <w:r w:rsidRPr="000F74A6">
        <w:rPr>
          <w:b/>
          <w:bCs/>
        </w:rPr>
        <w:t>2.1.1.2</w:t>
      </w:r>
      <w:r w:rsidRPr="000F74A6">
        <w:rPr>
          <w:b/>
          <w:bCs/>
        </w:rPr>
        <w:tab/>
      </w:r>
      <w:r w:rsidRPr="000F74A6">
        <w:rPr>
          <w:b/>
          <w:bCs/>
        </w:rPr>
        <w:tab/>
      </w:r>
      <w:r w:rsidRPr="000F74A6">
        <w:rPr>
          <w:b/>
          <w:bCs/>
          <w:i/>
          <w:iCs/>
        </w:rPr>
        <w:t>Scope</w:t>
      </w:r>
    </w:p>
    <w:p w14:paraId="7DDD645A" w14:textId="77777777" w:rsidR="00E24E95" w:rsidRDefault="00E24E95" w:rsidP="000F74A6">
      <w:pPr>
        <w:tabs>
          <w:tab w:val="left" w:pos="2268"/>
        </w:tabs>
        <w:spacing w:after="120"/>
        <w:ind w:left="1134" w:right="1134"/>
        <w:jc w:val="both"/>
      </w:pPr>
      <w:r>
        <w:t>2.1.1.2.1</w:t>
      </w:r>
      <w:r>
        <w:tab/>
      </w:r>
      <w:r w:rsidRPr="000F74A6">
        <w:rPr>
          <w:rFonts w:eastAsia="Calibri"/>
        </w:rPr>
        <w:t>Except</w:t>
      </w:r>
      <w:r>
        <w:t xml:space="preserve"> as provided in 2.1.1.2.2, the class of explosives comprises</w:t>
      </w:r>
    </w:p>
    <w:p w14:paraId="315FCEBA" w14:textId="77777777" w:rsidR="00E24E95" w:rsidRDefault="00E24E95" w:rsidP="000F74A6">
      <w:pPr>
        <w:spacing w:after="240"/>
        <w:ind w:left="2835" w:right="1134" w:hanging="567"/>
        <w:jc w:val="both"/>
      </w:pPr>
      <w:r>
        <w:t>(a)</w:t>
      </w:r>
      <w:r>
        <w:tab/>
      </w:r>
      <w:r w:rsidRPr="006D5089">
        <w:t>Explosive</w:t>
      </w:r>
      <w:r>
        <w:t xml:space="preserve"> substances and mixtures;</w:t>
      </w:r>
    </w:p>
    <w:p w14:paraId="438A7D20" w14:textId="77777777" w:rsidR="00E24E95" w:rsidRDefault="00E24E95" w:rsidP="000F74A6">
      <w:pPr>
        <w:spacing w:after="240"/>
        <w:ind w:left="2835" w:right="1134" w:hanging="567"/>
        <w:jc w:val="both"/>
      </w:pPr>
      <w:r>
        <w:t>(b)</w:t>
      </w:r>
      <w:r>
        <w:tab/>
      </w:r>
      <w:r w:rsidRPr="006D5089">
        <w:t>Explosive</w:t>
      </w:r>
      <w:r>
        <w:t xml:space="preser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14:paraId="32EF205F" w14:textId="77777777" w:rsidR="00E24E95" w:rsidRDefault="00E24E95" w:rsidP="000F74A6">
      <w:pPr>
        <w:spacing w:after="240"/>
        <w:ind w:left="2835" w:right="1134" w:hanging="567"/>
        <w:jc w:val="both"/>
      </w:pPr>
      <w:r>
        <w:t>(c)</w:t>
      </w:r>
      <w:r>
        <w:tab/>
      </w:r>
      <w:r w:rsidRPr="006D5089">
        <w:t>Substances</w:t>
      </w:r>
      <w:r>
        <w:t>, mixtures and articles not mentioned under (a) and (b) above which are manufactured with the view to producing a practical explosive or pyrotechnic effect.</w:t>
      </w:r>
    </w:p>
    <w:p w14:paraId="1AB9BDFF" w14:textId="77777777" w:rsidR="00E24E95" w:rsidRDefault="00E24E95" w:rsidP="000F74A6">
      <w:pPr>
        <w:tabs>
          <w:tab w:val="left" w:pos="2268"/>
        </w:tabs>
        <w:spacing w:after="120"/>
        <w:ind w:left="1134" w:right="1134"/>
        <w:jc w:val="both"/>
      </w:pPr>
      <w:r>
        <w:t>2.1.1.2.2</w:t>
      </w:r>
      <w:r>
        <w:tab/>
        <w:t xml:space="preserve">The </w:t>
      </w:r>
      <w:r w:rsidRPr="000F74A6">
        <w:rPr>
          <w:rFonts w:eastAsia="Calibri"/>
        </w:rPr>
        <w:t>following</w:t>
      </w:r>
      <w:r>
        <w:t xml:space="preserve"> substances, mixtures and articles are excluded from the class of explosives:</w:t>
      </w:r>
    </w:p>
    <w:p w14:paraId="62BA9F2D" w14:textId="77777777" w:rsidR="00E24E95" w:rsidRDefault="00E24E95" w:rsidP="000F74A6">
      <w:pPr>
        <w:spacing w:after="240"/>
        <w:ind w:left="2835" w:right="1134" w:hanging="567"/>
        <w:jc w:val="both"/>
      </w:pPr>
      <w:r>
        <w:t>(a)</w:t>
      </w:r>
      <w:r>
        <w:tab/>
        <w:t xml:space="preserve">Ammonium </w:t>
      </w:r>
      <w:r w:rsidR="00B7429F">
        <w:t>nitrate-based</w:t>
      </w:r>
      <w:r>
        <w:t xml:space="preserve"> emulsions, suspensions or gels which meet the criteria of Test series 8 of the </w:t>
      </w:r>
      <w:r w:rsidRPr="001B0464">
        <w:rPr>
          <w:i/>
        </w:rPr>
        <w:t>Manual of Tests and Criteria</w:t>
      </w:r>
      <w:r>
        <w:t xml:space="preserve"> for classification as ANEs of Category 2 oxidizing liquids (Chapter 2.13) or Category 2 oxidizing solids (Chapter 2.14).</w:t>
      </w:r>
    </w:p>
    <w:p w14:paraId="2C795C63" w14:textId="77777777" w:rsidR="00E24E95" w:rsidRDefault="00E24E95" w:rsidP="000F74A6">
      <w:pPr>
        <w:spacing w:after="240" w:line="240" w:lineRule="auto"/>
        <w:ind w:left="2835" w:right="1134" w:hanging="567"/>
        <w:jc w:val="both"/>
      </w:pPr>
      <w:r>
        <w:lastRenderedPageBreak/>
        <w:t>(b)</w:t>
      </w:r>
      <w:r>
        <w:tab/>
        <w:t>Substances and mixtures which meet the criteria for classification as desensitized explosives according to the criteria of Chapter 2.17.</w:t>
      </w:r>
    </w:p>
    <w:p w14:paraId="46DA100A" w14:textId="77777777" w:rsidR="00E24E95" w:rsidRDefault="00E24E95" w:rsidP="000F74A6">
      <w:pPr>
        <w:spacing w:after="240" w:line="240" w:lineRule="auto"/>
        <w:ind w:left="2835" w:right="1134" w:hanging="567"/>
        <w:jc w:val="both"/>
      </w:pPr>
      <w:r>
        <w:t>(c)</w:t>
      </w:r>
      <w:r>
        <w:tab/>
        <w:t>Substances and mixtures which have not been manufactured with the view to producing, in themselves, an explosive or pyrotechnic effect and which:</w:t>
      </w:r>
    </w:p>
    <w:p w14:paraId="36A633D0" w14:textId="77777777" w:rsidR="00E24E95" w:rsidRDefault="00E24E95" w:rsidP="000F74A6">
      <w:pPr>
        <w:spacing w:after="240" w:line="240" w:lineRule="auto"/>
        <w:ind w:left="3402" w:right="1134" w:hanging="567"/>
        <w:jc w:val="both"/>
      </w:pPr>
      <w:r>
        <w:t>(</w:t>
      </w:r>
      <w:proofErr w:type="spellStart"/>
      <w:r>
        <w:t>i</w:t>
      </w:r>
      <w:proofErr w:type="spellEnd"/>
      <w:r>
        <w:t>)</w:t>
      </w:r>
      <w:r>
        <w:tab/>
        <w:t>are self-reactive substances and mixtures according to the criteria of Chapter 2.8; or</w:t>
      </w:r>
    </w:p>
    <w:p w14:paraId="211E86C9" w14:textId="77777777" w:rsidR="00E24E95" w:rsidRDefault="00E24E95" w:rsidP="000F74A6">
      <w:pPr>
        <w:spacing w:after="240" w:line="240" w:lineRule="auto"/>
        <w:ind w:left="3402" w:right="1134" w:hanging="567"/>
        <w:jc w:val="both"/>
      </w:pPr>
      <w:r>
        <w:t>(ii)</w:t>
      </w:r>
      <w:r>
        <w:tab/>
        <w:t>are organic peroxides according to the criteria of Chapter 2.15; or</w:t>
      </w:r>
    </w:p>
    <w:p w14:paraId="2B2586CA" w14:textId="77777777" w:rsidR="00E24E95" w:rsidRDefault="00E24E95" w:rsidP="000F74A6">
      <w:pPr>
        <w:spacing w:after="240" w:line="240" w:lineRule="auto"/>
        <w:ind w:left="3402" w:right="1134" w:hanging="567"/>
        <w:jc w:val="both"/>
      </w:pPr>
      <w:r>
        <w:t>(iii)</w:t>
      </w:r>
      <w:r>
        <w:tab/>
        <w:t xml:space="preserve">are deemed not to have explosive properties on basis of the screening procedures in Appendix 6 of the </w:t>
      </w:r>
      <w:r w:rsidRPr="001B0464">
        <w:rPr>
          <w:i/>
        </w:rPr>
        <w:t>Manual of Tests and Criteria</w:t>
      </w:r>
      <w:r>
        <w:t>; or</w:t>
      </w:r>
    </w:p>
    <w:p w14:paraId="59B0CEF2" w14:textId="77777777" w:rsidR="00E24E95" w:rsidRDefault="00E24E95" w:rsidP="000F74A6">
      <w:pPr>
        <w:spacing w:after="240" w:line="240" w:lineRule="auto"/>
        <w:ind w:left="3402" w:right="1134" w:hanging="567"/>
        <w:jc w:val="both"/>
      </w:pPr>
      <w:r>
        <w:t>(iv)</w:t>
      </w:r>
      <w:r>
        <w:tab/>
        <w:t xml:space="preserve">are too insensitive for inclusion in the hazard class according to Test series 2 of the </w:t>
      </w:r>
      <w:r w:rsidRPr="001B0464">
        <w:rPr>
          <w:i/>
        </w:rPr>
        <w:t>Manual of Tests and Criteria</w:t>
      </w:r>
      <w:r>
        <w:t>; or</w:t>
      </w:r>
    </w:p>
    <w:p w14:paraId="6EFFF267" w14:textId="77777777" w:rsidR="00E24E95" w:rsidRDefault="00E24E95" w:rsidP="000F74A6">
      <w:pPr>
        <w:spacing w:after="240" w:line="240" w:lineRule="auto"/>
        <w:ind w:left="3402" w:right="1134" w:hanging="567"/>
        <w:jc w:val="both"/>
      </w:pPr>
      <w:r>
        <w:t>(v)</w:t>
      </w:r>
      <w:r>
        <w:tab/>
        <w:t xml:space="preserve">are excluded from assignment within Class 1 of the </w:t>
      </w:r>
      <w:r w:rsidRPr="001B0464">
        <w:rPr>
          <w:i/>
        </w:rPr>
        <w:t>UN Model Regulations</w:t>
      </w:r>
      <w:r>
        <w:t xml:space="preserve"> based on results in Test series 6 of the </w:t>
      </w:r>
      <w:r w:rsidRPr="001B0464">
        <w:rPr>
          <w:i/>
        </w:rPr>
        <w:t>Manual of Tests and Criteria</w:t>
      </w:r>
      <w:r>
        <w:t>.</w:t>
      </w:r>
    </w:p>
    <w:p w14:paraId="6C03471C" w14:textId="77777777" w:rsidR="00E24E95" w:rsidRDefault="00E24E95" w:rsidP="000F74A6">
      <w:pPr>
        <w:spacing w:after="240" w:line="240" w:lineRule="auto"/>
        <w:ind w:left="2835" w:right="1134" w:hanging="567"/>
        <w:jc w:val="both"/>
      </w:pPr>
      <w:r>
        <w:t>(d)</w:t>
      </w:r>
      <w:r>
        <w:tab/>
        <w:t xml:space="preserve">Articles containing explosives which are allowed for transport but excluded from Class 1 by specific UN-numbers and associated special provisions according to the Dangerous Goods List of the </w:t>
      </w:r>
      <w:r w:rsidRPr="001B0464">
        <w:rPr>
          <w:i/>
        </w:rPr>
        <w:t>UN Model Regulations</w:t>
      </w:r>
      <w:r>
        <w:t>, and which are in the transport configuration.</w:t>
      </w:r>
    </w:p>
    <w:p w14:paraId="54CBFA60" w14:textId="77777777" w:rsidR="00E24E95" w:rsidRPr="00867822" w:rsidRDefault="00E24E95" w:rsidP="000F74A6">
      <w:pPr>
        <w:spacing w:after="240" w:line="240" w:lineRule="auto"/>
        <w:ind w:left="1134" w:right="1134"/>
        <w:jc w:val="both"/>
        <w:rPr>
          <w:i/>
        </w:rPr>
      </w:pPr>
      <w:r w:rsidRPr="00867822">
        <w:rPr>
          <w:b/>
          <w:i/>
        </w:rPr>
        <w:t>NOTE:</w:t>
      </w:r>
      <w:r w:rsidRPr="00867822">
        <w:rPr>
          <w:i/>
        </w:rPr>
        <w:t xml:space="preserve"> </w:t>
      </w:r>
      <w:r w:rsidR="00B7429F">
        <w:rPr>
          <w:i/>
        </w:rPr>
        <w:tab/>
      </w:r>
      <w:r w:rsidRPr="00867822">
        <w:rPr>
          <w:i/>
        </w:rPr>
        <w:t>Performing Test series 2 requires a substantial amount of material, which may not be available in the initial stages of research and development. Substances and mixtures in the research and development phase for which not enough material exists to perform Test series 2 of the Manual of Tests and Criteria may, for the purpose of further scientific characterisation, be regarded as self-reactive substances and mixtures Type C (see Chapter 2.8), provided that:</w:t>
      </w:r>
    </w:p>
    <w:p w14:paraId="305122CC" w14:textId="77777777" w:rsidR="00E24E95" w:rsidRPr="00867822" w:rsidRDefault="00E24E95" w:rsidP="000F74A6">
      <w:pPr>
        <w:spacing w:after="240" w:line="240" w:lineRule="auto"/>
        <w:ind w:left="2835" w:right="1134" w:hanging="567"/>
        <w:jc w:val="both"/>
        <w:rPr>
          <w:i/>
        </w:rPr>
      </w:pPr>
      <w:r w:rsidRPr="00867822">
        <w:rPr>
          <w:i/>
        </w:rPr>
        <w:t>(</w:t>
      </w:r>
      <w:proofErr w:type="spellStart"/>
      <w:r w:rsidRPr="00867822">
        <w:rPr>
          <w:i/>
        </w:rPr>
        <w:t>i</w:t>
      </w:r>
      <w:proofErr w:type="spellEnd"/>
      <w:r w:rsidRPr="00867822">
        <w:rPr>
          <w:i/>
        </w:rPr>
        <w:t>)</w:t>
      </w:r>
      <w:r w:rsidRPr="00867822">
        <w:rPr>
          <w:i/>
        </w:rPr>
        <w:tab/>
        <w:t>The substance or mixture is not manufactured with the view to producing an explosive or pyrotechnic effect; and</w:t>
      </w:r>
    </w:p>
    <w:p w14:paraId="33B0B17E" w14:textId="77777777" w:rsidR="00E24E95" w:rsidRPr="00867822" w:rsidRDefault="00E24E95" w:rsidP="000F74A6">
      <w:pPr>
        <w:spacing w:after="240" w:line="240" w:lineRule="auto"/>
        <w:ind w:left="2835" w:right="1134" w:hanging="567"/>
        <w:jc w:val="both"/>
        <w:rPr>
          <w:i/>
        </w:rPr>
      </w:pPr>
      <w:r w:rsidRPr="00867822">
        <w:rPr>
          <w:i/>
        </w:rPr>
        <w:t>(ii)</w:t>
      </w:r>
      <w:r w:rsidRPr="00867822">
        <w:rPr>
          <w:i/>
        </w:rPr>
        <w:tab/>
        <w:t>The decomposition energy of the substance or mixture is less than 2000 J/g; and</w:t>
      </w:r>
    </w:p>
    <w:p w14:paraId="1C961042" w14:textId="77777777" w:rsidR="00E24E95" w:rsidRPr="00867822" w:rsidRDefault="00E24E95" w:rsidP="000F74A6">
      <w:pPr>
        <w:spacing w:after="240" w:line="240" w:lineRule="auto"/>
        <w:ind w:left="2835" w:right="1134" w:hanging="567"/>
        <w:jc w:val="both"/>
        <w:rPr>
          <w:i/>
        </w:rPr>
      </w:pPr>
      <w:r w:rsidRPr="00867822">
        <w:rPr>
          <w:i/>
        </w:rPr>
        <w:t>(iii)</w:t>
      </w:r>
      <w:r w:rsidRPr="00867822">
        <w:rPr>
          <w:i/>
        </w:rPr>
        <w:tab/>
        <w:t>The result in test 3(a) and test 3(b) of the Manual of Tests and Criteria is negative; and</w:t>
      </w:r>
    </w:p>
    <w:p w14:paraId="43FA7384" w14:textId="77777777" w:rsidR="00E24E95" w:rsidRPr="00867822" w:rsidRDefault="00E24E95" w:rsidP="000F74A6">
      <w:pPr>
        <w:spacing w:after="240" w:line="240" w:lineRule="auto"/>
        <w:ind w:left="2835" w:right="1134" w:hanging="567"/>
        <w:jc w:val="both"/>
        <w:rPr>
          <w:i/>
        </w:rPr>
      </w:pPr>
      <w:r w:rsidRPr="00867822">
        <w:rPr>
          <w:i/>
        </w:rPr>
        <w:t>(iv)</w:t>
      </w:r>
      <w:r w:rsidRPr="00867822">
        <w:rPr>
          <w:i/>
        </w:rPr>
        <w:tab/>
        <w:t>The result in test 2(b) of the Manual of Tests and Criteria is “no explosion” at an orifice diameter of 6 mm; and</w:t>
      </w:r>
    </w:p>
    <w:p w14:paraId="7A2E69FD" w14:textId="77777777" w:rsidR="00E24E95" w:rsidRDefault="00E24E95" w:rsidP="000F74A6">
      <w:pPr>
        <w:spacing w:after="240" w:line="240" w:lineRule="auto"/>
        <w:ind w:left="2835" w:right="1134" w:hanging="567"/>
        <w:jc w:val="both"/>
        <w:rPr>
          <w:i/>
        </w:rPr>
      </w:pPr>
      <w:r w:rsidRPr="00867822">
        <w:rPr>
          <w:i/>
        </w:rPr>
        <w:t>(v)</w:t>
      </w:r>
      <w:r w:rsidRPr="00867822">
        <w:rPr>
          <w:i/>
        </w:rPr>
        <w:tab/>
        <w:t>The expansion of the lead block in Test F.3 of the Manual of Tests and Criteria is less than 100 ml per 10 g substance or mixture.</w:t>
      </w:r>
    </w:p>
    <w:p w14:paraId="61A50359" w14:textId="77777777" w:rsidR="00E24E95" w:rsidRPr="000F74A6" w:rsidRDefault="00E24E95" w:rsidP="00B7429F">
      <w:pPr>
        <w:keepNext/>
        <w:keepLines/>
        <w:spacing w:after="240"/>
        <w:ind w:left="1134" w:right="1134"/>
        <w:jc w:val="both"/>
        <w:rPr>
          <w:b/>
          <w:bCs/>
        </w:rPr>
      </w:pPr>
      <w:r w:rsidRPr="000F74A6">
        <w:rPr>
          <w:b/>
          <w:bCs/>
        </w:rPr>
        <w:lastRenderedPageBreak/>
        <w:t>2.1.1.3</w:t>
      </w:r>
      <w:r w:rsidRPr="000F74A6">
        <w:rPr>
          <w:b/>
          <w:bCs/>
        </w:rPr>
        <w:tab/>
      </w:r>
      <w:r w:rsidRPr="000F74A6">
        <w:rPr>
          <w:b/>
          <w:bCs/>
        </w:rPr>
        <w:tab/>
      </w:r>
      <w:r w:rsidRPr="000F74A6">
        <w:rPr>
          <w:b/>
          <w:bCs/>
          <w:i/>
          <w:iCs/>
        </w:rPr>
        <w:t>Other considerations</w:t>
      </w:r>
    </w:p>
    <w:p w14:paraId="127E51AA" w14:textId="77777777" w:rsidR="00B7429F" w:rsidRDefault="00E24E95" w:rsidP="00B7429F">
      <w:pPr>
        <w:keepNext/>
        <w:keepLines/>
        <w:spacing w:after="240"/>
        <w:ind w:left="1134" w:right="1134"/>
        <w:jc w:val="both"/>
      </w:pPr>
      <w:r>
        <w:t>2.1.1.3.1</w:t>
      </w:r>
      <w:r>
        <w:tab/>
      </w:r>
      <w:r w:rsidRPr="001D5D28">
        <w:rPr>
          <w:i/>
          <w:iCs/>
        </w:rPr>
        <w:t>The relation to the classification according to the UN Model Regulations</w:t>
      </w:r>
    </w:p>
    <w:p w14:paraId="130FA28E" w14:textId="77777777" w:rsidR="00E24E95" w:rsidRDefault="00B7429F" w:rsidP="00B7429F">
      <w:pPr>
        <w:keepNext/>
        <w:keepLines/>
        <w:tabs>
          <w:tab w:val="left" w:pos="2268"/>
        </w:tabs>
        <w:spacing w:after="240"/>
        <w:ind w:left="1134" w:right="1134"/>
        <w:jc w:val="both"/>
      </w:pPr>
      <w:r>
        <w:tab/>
      </w:r>
      <w:r>
        <w:tab/>
      </w:r>
      <w:r w:rsidR="00E24E95" w:rsidRPr="001D5D28">
        <w:t xml:space="preserve">The GHS classification of substances, mixtures and articles as explosives builds largely on the classification used for transport according to the </w:t>
      </w:r>
      <w:r w:rsidR="00E24E95" w:rsidRPr="00CF62CC">
        <w:rPr>
          <w:i/>
          <w:iCs/>
        </w:rPr>
        <w:t>UN Model Regulations</w:t>
      </w:r>
      <w:r w:rsidR="00E24E95" w:rsidRPr="001D5D28">
        <w:t>. Information on their transport division and</w:t>
      </w:r>
      <w:r w:rsidR="00E24E95">
        <w:t>, when available,</w:t>
      </w:r>
      <w:r w:rsidR="00E24E95" w:rsidRPr="001D5D28">
        <w:t xml:space="preserve"> some of the underlying test results according to Part I of the </w:t>
      </w:r>
      <w:r w:rsidR="00E24E95" w:rsidRPr="00CF62CC">
        <w:rPr>
          <w:i/>
        </w:rPr>
        <w:t>Manual of Tests and Criteria</w:t>
      </w:r>
      <w:r w:rsidR="00E24E95" w:rsidRPr="001D5D28">
        <w:t xml:space="preserve">, is therefore relevant for the GHS classification. While the transport divisions are designed for the purpose of safe transportation of explosives, the GHS classification draws from this classification to ensure appropriate hazard communication in other sectors, </w:t>
      </w:r>
      <w:proofErr w:type="gramStart"/>
      <w:r w:rsidR="00E24E95" w:rsidRPr="001D5D28">
        <w:t>in particular supply</w:t>
      </w:r>
      <w:proofErr w:type="gramEnd"/>
      <w:r w:rsidR="00E24E95" w:rsidRPr="001D5D28">
        <w:t xml:space="preserve"> and use. In doing this, any mitigating effects of the transport configuration on the explosive behaviour, such as a </w:t>
      </w:r>
      <w:proofErr w:type="gramStart"/>
      <w:r w:rsidR="00E24E95" w:rsidRPr="001D5D28">
        <w:t>particular packaging</w:t>
      </w:r>
      <w:proofErr w:type="gramEnd"/>
      <w:r w:rsidR="00E24E95" w:rsidRPr="001D5D28">
        <w:t>, are evaluated as they may not be present in sectors outside of transport.</w:t>
      </w:r>
    </w:p>
    <w:p w14:paraId="59DBD31D" w14:textId="77777777" w:rsidR="00E24E95" w:rsidRPr="001D5D28" w:rsidRDefault="00E24E95" w:rsidP="00B7429F">
      <w:pPr>
        <w:spacing w:after="240"/>
        <w:ind w:left="1134" w:right="1134"/>
        <w:rPr>
          <w:i/>
        </w:rPr>
      </w:pPr>
      <w:r>
        <w:t>2.1.1.3.2</w:t>
      </w:r>
      <w:r>
        <w:tab/>
      </w:r>
      <w:r w:rsidRPr="001D5D28">
        <w:rPr>
          <w:i/>
        </w:rPr>
        <w:t>The configuration dependence of the division</w:t>
      </w:r>
    </w:p>
    <w:p w14:paraId="613EDBD8" w14:textId="77777777" w:rsidR="00E24E95" w:rsidRDefault="00B7429F" w:rsidP="000F74A6">
      <w:pPr>
        <w:tabs>
          <w:tab w:val="left" w:pos="2268"/>
        </w:tabs>
        <w:spacing w:after="240"/>
        <w:ind w:left="1134" w:right="1134"/>
        <w:jc w:val="both"/>
      </w:pPr>
      <w:r>
        <w:tab/>
      </w:r>
      <w:r w:rsidR="00E24E95" w:rsidRPr="001D5D28">
        <w:t>Entry into the hazard class of explosives is based on the intrinsic explosive properties of substances and mixtures. The assignment to a division, however, is also dependent on the configuration using packaging, and the incorporation into articles of such substances and mixtures. The division is the relevant level of classification when the explosive is in the configuration to which the division was assigned, e.g. when transported or stored, and may form the basis for explosives licencing and safety measures such as distance requirements. The hazard categories, on the other hand, are the relevant level of classification for the safe handling.</w:t>
      </w:r>
    </w:p>
    <w:p w14:paraId="4384E547" w14:textId="77777777" w:rsidR="00E24E95" w:rsidRPr="001D5D28" w:rsidRDefault="00E24E95" w:rsidP="00B7429F">
      <w:pPr>
        <w:spacing w:after="240"/>
        <w:ind w:left="1134" w:right="1134"/>
        <w:rPr>
          <w:i/>
        </w:rPr>
      </w:pPr>
      <w:r>
        <w:t>2.1.1.3.3</w:t>
      </w:r>
      <w:r w:rsidRPr="001D5D28">
        <w:rPr>
          <w:rFonts w:eastAsiaTheme="minorHAnsi"/>
          <w:i/>
        </w:rPr>
        <w:t xml:space="preserve"> </w:t>
      </w:r>
      <w:r>
        <w:rPr>
          <w:rFonts w:eastAsiaTheme="minorHAnsi"/>
          <w:i/>
        </w:rPr>
        <w:tab/>
      </w:r>
      <w:r w:rsidRPr="001D5D28">
        <w:rPr>
          <w:i/>
        </w:rPr>
        <w:t>The hierarchy of the categories</w:t>
      </w:r>
    </w:p>
    <w:p w14:paraId="5C5CBFA4" w14:textId="77777777" w:rsidR="00E24E95" w:rsidRDefault="00B7429F" w:rsidP="000F74A6">
      <w:pPr>
        <w:tabs>
          <w:tab w:val="left" w:pos="2268"/>
        </w:tabs>
        <w:spacing w:after="240"/>
        <w:ind w:left="1134" w:right="1134"/>
        <w:jc w:val="both"/>
      </w:pPr>
      <w:r>
        <w:tab/>
      </w:r>
      <w:r>
        <w:tab/>
      </w:r>
      <w:r w:rsidR="00E24E95" w:rsidRPr="001D5D28">
        <w:t xml:space="preserve">Category 2 only contains explosives which have been assigned to a division and corresponds to Class 1 of the </w:t>
      </w:r>
      <w:r w:rsidR="00E24E95" w:rsidRPr="001D5D28">
        <w:rPr>
          <w:i/>
        </w:rPr>
        <w:t>UN Model Regulations</w:t>
      </w:r>
      <w:r w:rsidR="00E24E95" w:rsidRPr="001D5D28">
        <w:t>. The sub-categories within Category 2 classify explosives on basis of the hazardous behaviour of the explosive in its primary packaging or, where applicable, of the explosive article alone. An explosive that has not been assigned to a division is classified in Category 1 of the hazard class of explosives. This may be because it is considered too dangerous to be assigned a division, or because it is not (yet) in a suitable configuration to assign it to a division. Explosives in Category 1 are therefore not necessarily more hazardous than explosives in Category 2.</w:t>
      </w:r>
    </w:p>
    <w:p w14:paraId="6D30D12A" w14:textId="77777777" w:rsidR="00B7429F" w:rsidRDefault="00E24E95" w:rsidP="00B7429F">
      <w:pPr>
        <w:tabs>
          <w:tab w:val="left" w:pos="2268"/>
        </w:tabs>
        <w:spacing w:after="240"/>
        <w:ind w:left="1134" w:right="1134"/>
        <w:rPr>
          <w:i/>
        </w:rPr>
      </w:pPr>
      <w:r>
        <w:t>2.1.1.3.4</w:t>
      </w:r>
      <w:r>
        <w:tab/>
      </w:r>
      <w:r w:rsidRPr="001D5D28">
        <w:rPr>
          <w:i/>
        </w:rPr>
        <w:t>Change of classification over the life cycle</w:t>
      </w:r>
    </w:p>
    <w:p w14:paraId="04D52941" w14:textId="77777777" w:rsidR="00E24E95" w:rsidRDefault="00B7429F" w:rsidP="00B7429F">
      <w:pPr>
        <w:tabs>
          <w:tab w:val="left" w:pos="2268"/>
        </w:tabs>
        <w:spacing w:after="240"/>
        <w:ind w:left="1134" w:right="1134"/>
        <w:jc w:val="both"/>
      </w:pPr>
      <w:r>
        <w:tab/>
      </w:r>
      <w:r>
        <w:tab/>
      </w:r>
      <w:r w:rsidR="00E24E95" w:rsidRPr="001D5D28">
        <w:t xml:space="preserve">As the assignment </w:t>
      </w:r>
      <w:r w:rsidR="00E24E95">
        <w:t>to</w:t>
      </w:r>
      <w:r w:rsidR="00E24E95" w:rsidRPr="001D5D28">
        <w:t xml:space="preserve"> a division depends on the configuration, the classification of an explosive may change over its life-cycle as a result of reconfiguration. An explosive that was assigned </w:t>
      </w:r>
      <w:r w:rsidR="00E24E95">
        <w:t xml:space="preserve">to </w:t>
      </w:r>
      <w:r w:rsidR="00E24E95" w:rsidRPr="001D5D28">
        <w:t>a division in a certain configuration, and hence classified in a sub-category within Category 2, no longer retains that division when out of that configuration. If assigned</w:t>
      </w:r>
      <w:r w:rsidR="00E24E95">
        <w:t xml:space="preserve"> to</w:t>
      </w:r>
      <w:r w:rsidR="00E24E95" w:rsidRPr="001D5D28">
        <w:t xml:space="preserve"> another division in the new configuration, it may need to be classified in another sub-category within Category 2, and if not assigned a </w:t>
      </w:r>
      <w:r w:rsidR="00E24E95">
        <w:t xml:space="preserve">to </w:t>
      </w:r>
      <w:r w:rsidR="00E24E95" w:rsidRPr="001D5D28">
        <w:t>division it should be classified in to Category 1. However, the use of an explosive, meaning the preparation and intentional functioning, including removal from the primary packaging for functioning or installation or deployment in readiness for functioning, is not intended to require such re-classification.</w:t>
      </w:r>
    </w:p>
    <w:p w14:paraId="009C52CC" w14:textId="77777777" w:rsidR="00B7429F" w:rsidRDefault="00E24E95" w:rsidP="00B7429F">
      <w:pPr>
        <w:tabs>
          <w:tab w:val="left" w:pos="2268"/>
        </w:tabs>
        <w:spacing w:after="240"/>
        <w:ind w:left="1134" w:right="1134"/>
        <w:jc w:val="both"/>
        <w:rPr>
          <w:i/>
        </w:rPr>
      </w:pPr>
      <w:r>
        <w:t>2.1.1.3.5</w:t>
      </w:r>
      <w:r>
        <w:tab/>
      </w:r>
      <w:r w:rsidRPr="001D5D28">
        <w:rPr>
          <w:i/>
        </w:rPr>
        <w:t>Exclusions from the hazard class</w:t>
      </w:r>
    </w:p>
    <w:p w14:paraId="082107B9" w14:textId="77777777" w:rsidR="00E24E95" w:rsidRDefault="00B7429F" w:rsidP="00B7429F">
      <w:pPr>
        <w:tabs>
          <w:tab w:val="left" w:pos="2268"/>
        </w:tabs>
        <w:spacing w:after="240"/>
        <w:ind w:left="1134" w:right="1134"/>
        <w:jc w:val="both"/>
      </w:pPr>
      <w:r>
        <w:tab/>
      </w:r>
      <w:r w:rsidR="00E24E95" w:rsidRPr="001D5D28">
        <w:t xml:space="preserve">Some substances, mixtures and articles that have explosive properties are excluded from the hazard class of explosives because they are not considered sensitive enough or because they do not present a significant explosion hazard in a </w:t>
      </w:r>
      <w:proofErr w:type="gramStart"/>
      <w:r w:rsidR="00E24E95" w:rsidRPr="001D5D28">
        <w:t>particular configuration</w:t>
      </w:r>
      <w:proofErr w:type="gramEnd"/>
      <w:r w:rsidR="00E24E95" w:rsidRPr="001D5D28">
        <w:t>. The safety data sheet is an appropriate means to convey information on explosive properties for such substances and mixtures, and the explosion hazards of such articles (see Chapter 1.4).</w:t>
      </w:r>
    </w:p>
    <w:p w14:paraId="7631ECBE" w14:textId="77777777" w:rsidR="00E24E95" w:rsidRDefault="00E24E95" w:rsidP="00B7429F">
      <w:pPr>
        <w:spacing w:after="240"/>
        <w:ind w:left="1134" w:right="1134"/>
        <w:jc w:val="both"/>
      </w:pPr>
    </w:p>
    <w:p w14:paraId="745424A0" w14:textId="77777777" w:rsidR="00E24E95" w:rsidRPr="00B7429F" w:rsidRDefault="00E24E95" w:rsidP="00B7429F">
      <w:pPr>
        <w:pStyle w:val="SingleTxtG"/>
        <w:tabs>
          <w:tab w:val="left" w:pos="2268"/>
        </w:tabs>
        <w:spacing w:after="240"/>
        <w:rPr>
          <w:b/>
          <w:bCs/>
        </w:rPr>
      </w:pPr>
      <w:r w:rsidRPr="00B7429F">
        <w:rPr>
          <w:b/>
          <w:bCs/>
        </w:rPr>
        <w:lastRenderedPageBreak/>
        <w:t>2.1.2</w:t>
      </w:r>
      <w:r w:rsidRPr="00B7429F">
        <w:rPr>
          <w:b/>
          <w:bCs/>
        </w:rPr>
        <w:tab/>
        <w:t>Classification criteria</w:t>
      </w:r>
    </w:p>
    <w:p w14:paraId="5B0E106D" w14:textId="77777777" w:rsidR="00E24E95" w:rsidRPr="00B7429F" w:rsidRDefault="00E24E95" w:rsidP="00B7429F">
      <w:pPr>
        <w:pStyle w:val="SingleTxtG"/>
        <w:tabs>
          <w:tab w:val="left" w:pos="2268"/>
        </w:tabs>
      </w:pPr>
      <w:r w:rsidRPr="00B7429F">
        <w:rPr>
          <w:rStyle w:val="SingleTxtGChar"/>
        </w:rPr>
        <w:t>2.1.2.1</w:t>
      </w:r>
      <w:r w:rsidRPr="00B7429F">
        <w:rPr>
          <w:rStyle w:val="SingleTxtGChar"/>
        </w:rPr>
        <w:tab/>
        <w:t>Explosive substances, mixtures and articles of this class are classified into one of two</w:t>
      </w:r>
      <w:r w:rsidRPr="00B7429F">
        <w:t xml:space="preserve"> categories according to the following table:</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187"/>
        <w:gridCol w:w="6621"/>
      </w:tblGrid>
      <w:tr w:rsidR="00E24E95" w14:paraId="228052D0" w14:textId="77777777" w:rsidTr="00B7429F">
        <w:tc>
          <w:tcPr>
            <w:tcW w:w="1187" w:type="dxa"/>
          </w:tcPr>
          <w:p w14:paraId="4598FAA4" w14:textId="77777777" w:rsidR="00E24E95" w:rsidRPr="00C81DC2" w:rsidRDefault="00E24E95" w:rsidP="00E24E95">
            <w:pPr>
              <w:ind w:right="284"/>
              <w:rPr>
                <w:b/>
              </w:rPr>
            </w:pPr>
            <w:r w:rsidRPr="00C81DC2">
              <w:rPr>
                <w:b/>
              </w:rPr>
              <w:t>Category</w:t>
            </w:r>
          </w:p>
        </w:tc>
        <w:tc>
          <w:tcPr>
            <w:tcW w:w="6621" w:type="dxa"/>
          </w:tcPr>
          <w:p w14:paraId="18D445A4" w14:textId="77777777" w:rsidR="00E24E95" w:rsidRPr="00C81DC2" w:rsidRDefault="00E24E95" w:rsidP="00E24E95">
            <w:pPr>
              <w:ind w:right="284"/>
              <w:rPr>
                <w:b/>
              </w:rPr>
            </w:pPr>
            <w:r w:rsidRPr="00C81DC2">
              <w:rPr>
                <w:b/>
              </w:rPr>
              <w:t>Criteria</w:t>
            </w:r>
          </w:p>
        </w:tc>
      </w:tr>
      <w:tr w:rsidR="00E24E95" w14:paraId="757CA031" w14:textId="77777777" w:rsidTr="00B7429F">
        <w:tc>
          <w:tcPr>
            <w:tcW w:w="1187" w:type="dxa"/>
            <w:vAlign w:val="center"/>
          </w:tcPr>
          <w:p w14:paraId="2FF5ABD0" w14:textId="77777777" w:rsidR="00E24E95" w:rsidRPr="00C81DC2" w:rsidRDefault="00E24E95" w:rsidP="00E24E95">
            <w:pPr>
              <w:ind w:right="284"/>
              <w:jc w:val="center"/>
              <w:rPr>
                <w:b/>
              </w:rPr>
            </w:pPr>
            <w:r w:rsidRPr="00C81DC2">
              <w:rPr>
                <w:b/>
              </w:rPr>
              <w:t>1</w:t>
            </w:r>
          </w:p>
        </w:tc>
        <w:tc>
          <w:tcPr>
            <w:tcW w:w="6621" w:type="dxa"/>
          </w:tcPr>
          <w:p w14:paraId="7ECD1184" w14:textId="77777777" w:rsidR="00E24E95" w:rsidRDefault="00E24E95" w:rsidP="00B7429F">
            <w:pPr>
              <w:spacing w:before="40" w:afterLines="40" w:after="96" w:line="240" w:lineRule="auto"/>
            </w:pPr>
            <w:r>
              <w:t>Explosive substances, mixtures and articles which:</w:t>
            </w:r>
            <w:r>
              <w:br/>
            </w:r>
            <w:r w:rsidR="00933C9A">
              <w:t>(a)</w:t>
            </w:r>
            <w:r w:rsidR="00933C9A">
              <w:tab/>
            </w:r>
            <w:r>
              <w:t>have not been assigned a division and which:</w:t>
            </w:r>
          </w:p>
          <w:p w14:paraId="1C25F5AF" w14:textId="61BFE1A0" w:rsidR="00E24E95" w:rsidRDefault="00094ED9" w:rsidP="00ED626B">
            <w:pPr>
              <w:kinsoku/>
              <w:overflowPunct/>
              <w:autoSpaceDE/>
              <w:autoSpaceDN/>
              <w:adjustRightInd/>
              <w:snapToGrid/>
              <w:spacing w:before="40" w:afterLines="40" w:after="96" w:line="240" w:lineRule="auto"/>
              <w:ind w:left="1023" w:hanging="425"/>
              <w:contextualSpacing/>
            </w:pPr>
            <w:r>
              <w:t>(</w:t>
            </w:r>
            <w:proofErr w:type="spellStart"/>
            <w:r>
              <w:t>i</w:t>
            </w:r>
            <w:proofErr w:type="spellEnd"/>
            <w:r>
              <w:t>)</w:t>
            </w:r>
            <w:r>
              <w:tab/>
            </w:r>
            <w:r w:rsidR="00E24E95">
              <w:t>are manufactured with the view of producing an explosive or pyrotechnic effect; or</w:t>
            </w:r>
          </w:p>
          <w:p w14:paraId="774EF072" w14:textId="39894243" w:rsidR="00E24E95" w:rsidRDefault="00094ED9" w:rsidP="00ED626B">
            <w:pPr>
              <w:kinsoku/>
              <w:overflowPunct/>
              <w:autoSpaceDE/>
              <w:autoSpaceDN/>
              <w:adjustRightInd/>
              <w:snapToGrid/>
              <w:spacing w:before="40" w:afterLines="40" w:after="96" w:line="240" w:lineRule="auto"/>
              <w:ind w:left="1023" w:hanging="425"/>
              <w:contextualSpacing/>
            </w:pPr>
            <w:r>
              <w:t>(ii)</w:t>
            </w:r>
            <w:r>
              <w:tab/>
            </w:r>
            <w:r w:rsidR="00E24E95">
              <w:t xml:space="preserve">are substances or mixtures which show positive effects when tested in Test series 2 of the </w:t>
            </w:r>
            <w:r w:rsidR="00E24E95">
              <w:rPr>
                <w:i/>
              </w:rPr>
              <w:t>Manual of Tests and Criteria</w:t>
            </w:r>
          </w:p>
          <w:p w14:paraId="2A6B3642" w14:textId="77777777" w:rsidR="00E24E95" w:rsidRDefault="00E24E95" w:rsidP="00B7429F">
            <w:pPr>
              <w:spacing w:before="40" w:afterLines="40" w:after="96" w:line="240" w:lineRule="auto"/>
            </w:pPr>
            <w:r>
              <w:t>or</w:t>
            </w:r>
          </w:p>
          <w:p w14:paraId="6E0D4ABB" w14:textId="77777777" w:rsidR="00E24E95" w:rsidRDefault="00933C9A" w:rsidP="00ED626B">
            <w:pPr>
              <w:kinsoku/>
              <w:overflowPunct/>
              <w:autoSpaceDE/>
              <w:autoSpaceDN/>
              <w:adjustRightInd/>
              <w:snapToGrid/>
              <w:spacing w:before="40" w:afterLines="40" w:after="96" w:line="240" w:lineRule="auto"/>
              <w:ind w:left="598" w:hanging="572"/>
              <w:contextualSpacing/>
              <w:rPr>
                <w:rFonts w:asciiTheme="minorHAnsi" w:hAnsiTheme="minorHAnsi" w:cstheme="minorBidi"/>
              </w:rPr>
            </w:pPr>
            <w:r>
              <w:t>(b)</w:t>
            </w:r>
            <w:r>
              <w:tab/>
            </w:r>
            <w:r w:rsidR="00E24E95">
              <w:t xml:space="preserve">are out of the primary packaging of the configuration to which a division was </w:t>
            </w:r>
            <w:proofErr w:type="spellStart"/>
            <w:proofErr w:type="gramStart"/>
            <w:r w:rsidR="00E24E95">
              <w:t>assigned</w:t>
            </w:r>
            <w:r w:rsidR="00CA0819" w:rsidRPr="00051FC2">
              <w:rPr>
                <w:i/>
                <w:vertAlign w:val="superscript"/>
              </w:rPr>
              <w:t>a</w:t>
            </w:r>
            <w:proofErr w:type="spellEnd"/>
            <w:r w:rsidR="00CA0819" w:rsidRPr="00051FC2" w:rsidDel="00CA0819">
              <w:rPr>
                <w:vertAlign w:val="superscript"/>
              </w:rPr>
              <w:t xml:space="preserve"> </w:t>
            </w:r>
            <w:r w:rsidR="00E24E95">
              <w:t>,</w:t>
            </w:r>
            <w:proofErr w:type="gramEnd"/>
            <w:r w:rsidR="00E24E95">
              <w:t xml:space="preserve"> unless they are explosive articles assigned to a division</w:t>
            </w:r>
            <w:r>
              <w:t>:</w:t>
            </w:r>
          </w:p>
          <w:p w14:paraId="0EF8D016" w14:textId="6A6DE6D9" w:rsidR="00E24E95" w:rsidRDefault="00094ED9" w:rsidP="00ED626B">
            <w:pPr>
              <w:kinsoku/>
              <w:overflowPunct/>
              <w:autoSpaceDE/>
              <w:autoSpaceDN/>
              <w:adjustRightInd/>
              <w:snapToGrid/>
              <w:spacing w:before="40" w:afterLines="40" w:after="96" w:line="240" w:lineRule="auto"/>
              <w:ind w:left="1023" w:hanging="425"/>
              <w:contextualSpacing/>
            </w:pPr>
            <w:r>
              <w:t>(</w:t>
            </w:r>
            <w:proofErr w:type="spellStart"/>
            <w:r>
              <w:t>i</w:t>
            </w:r>
            <w:proofErr w:type="spellEnd"/>
            <w:r>
              <w:t>)</w:t>
            </w:r>
            <w:r>
              <w:tab/>
            </w:r>
            <w:r w:rsidR="00E24E95">
              <w:t>without a primary packaging; or</w:t>
            </w:r>
          </w:p>
          <w:p w14:paraId="7A53A20C" w14:textId="153E0AB8" w:rsidR="00E24E95" w:rsidRPr="00C81DC2" w:rsidRDefault="00094ED9" w:rsidP="00ED626B">
            <w:pPr>
              <w:kinsoku/>
              <w:overflowPunct/>
              <w:autoSpaceDE/>
              <w:autoSpaceDN/>
              <w:adjustRightInd/>
              <w:snapToGrid/>
              <w:spacing w:before="40" w:afterLines="40" w:after="96" w:line="240" w:lineRule="auto"/>
              <w:ind w:left="1023" w:hanging="425"/>
              <w:contextualSpacing/>
              <w:rPr>
                <w:sz w:val="23"/>
                <w:szCs w:val="23"/>
              </w:rPr>
            </w:pPr>
            <w:r w:rsidRPr="00C81DC2">
              <w:t>(</w:t>
            </w:r>
            <w:r>
              <w:t>ii</w:t>
            </w:r>
            <w:r w:rsidRPr="00C81DC2">
              <w:t>)</w:t>
            </w:r>
            <w:r w:rsidRPr="00C81DC2">
              <w:tab/>
            </w:r>
            <w:r w:rsidR="00E24E95">
              <w:t xml:space="preserve">in a primary packaging that does not attenuate the explosive effect, </w:t>
            </w:r>
            <w:proofErr w:type="gramStart"/>
            <w:r w:rsidR="00E24E95">
              <w:t>taking into account</w:t>
            </w:r>
            <w:proofErr w:type="gramEnd"/>
            <w:r w:rsidR="00E24E95">
              <w:t xml:space="preserve"> also intervening packaging material, spacing or critical orientation.</w:t>
            </w:r>
          </w:p>
        </w:tc>
      </w:tr>
      <w:tr w:rsidR="00E24E95" w14:paraId="50A60ED4" w14:textId="77777777" w:rsidTr="00B7429F">
        <w:tc>
          <w:tcPr>
            <w:tcW w:w="1187" w:type="dxa"/>
            <w:vAlign w:val="center"/>
          </w:tcPr>
          <w:p w14:paraId="491A5F20" w14:textId="77777777" w:rsidR="00E24E95" w:rsidRPr="00C81DC2" w:rsidRDefault="00E24E95" w:rsidP="00E24E95">
            <w:pPr>
              <w:ind w:right="284"/>
              <w:jc w:val="center"/>
              <w:rPr>
                <w:b/>
              </w:rPr>
            </w:pPr>
            <w:r w:rsidRPr="00C81DC2">
              <w:rPr>
                <w:b/>
              </w:rPr>
              <w:t>2</w:t>
            </w:r>
          </w:p>
        </w:tc>
        <w:tc>
          <w:tcPr>
            <w:tcW w:w="6621" w:type="dxa"/>
          </w:tcPr>
          <w:p w14:paraId="13C03B0D" w14:textId="77777777" w:rsidR="00E24E95" w:rsidRDefault="00E24E95" w:rsidP="00E24E95">
            <w:r>
              <w:t>Explosive substances, mixtures, and articles which have been assigned to a division.</w:t>
            </w:r>
          </w:p>
        </w:tc>
      </w:tr>
    </w:tbl>
    <w:p w14:paraId="0D93C232" w14:textId="77777777" w:rsidR="00E24E95" w:rsidRPr="00051FC2" w:rsidRDefault="00E24E95" w:rsidP="00B7429F">
      <w:pPr>
        <w:spacing w:before="240"/>
        <w:ind w:left="1134" w:right="284"/>
        <w:rPr>
          <w:i/>
        </w:rPr>
      </w:pPr>
      <w:proofErr w:type="spellStart"/>
      <w:proofErr w:type="gramStart"/>
      <w:r w:rsidRPr="00051FC2">
        <w:rPr>
          <w:i/>
          <w:vertAlign w:val="superscript"/>
        </w:rPr>
        <w:t>a</w:t>
      </w:r>
      <w:proofErr w:type="spellEnd"/>
      <w:proofErr w:type="gramEnd"/>
      <w:r w:rsidRPr="00051FC2">
        <w:rPr>
          <w:i/>
        </w:rPr>
        <w:t xml:space="preserve"> </w:t>
      </w:r>
      <w:r w:rsidR="00B7429F">
        <w:rPr>
          <w:i/>
        </w:rPr>
        <w:tab/>
      </w:r>
      <w:r w:rsidRPr="00051FC2">
        <w:rPr>
          <w:i/>
        </w:rPr>
        <w:t>Explosives in Category 2 that are removed from their primary packaging for use remain classified in Category 2, see 2.1.1.3.4.</w:t>
      </w:r>
    </w:p>
    <w:p w14:paraId="788DB035" w14:textId="77777777" w:rsidR="00E24E95" w:rsidRDefault="00E24E95" w:rsidP="00E24E95">
      <w:pPr>
        <w:ind w:left="1134" w:right="284"/>
      </w:pPr>
    </w:p>
    <w:p w14:paraId="6EADDC5C" w14:textId="77777777" w:rsidR="00E24E95" w:rsidRDefault="00E24E95" w:rsidP="00B7429F">
      <w:pPr>
        <w:pStyle w:val="SingleTxtG"/>
      </w:pPr>
      <w:r>
        <w:t>2.1.2.2</w:t>
      </w:r>
      <w:r>
        <w:tab/>
      </w:r>
      <w:r>
        <w:tab/>
        <w:t xml:space="preserve">The </w:t>
      </w:r>
      <w:r w:rsidR="00B7429F">
        <w:t>d</w:t>
      </w:r>
      <w:r>
        <w:t>ivisions are as follows</w:t>
      </w:r>
      <w:r w:rsidR="00B7429F">
        <w:t>:</w:t>
      </w:r>
    </w:p>
    <w:p w14:paraId="1EEBA00C" w14:textId="77777777" w:rsidR="00E24E95" w:rsidRDefault="00E24E95" w:rsidP="00B7429F">
      <w:pPr>
        <w:pStyle w:val="SingleTxtG"/>
        <w:ind w:left="2835" w:hanging="567"/>
      </w:pPr>
      <w:r>
        <w:t>(a)</w:t>
      </w:r>
      <w:r>
        <w:tab/>
        <w:t>Division 1.1: Substances, mixtures and articles which have a mass explosion hazard (a mass explosion is one which affects almost the entire quantity present virtually instantaneously);</w:t>
      </w:r>
    </w:p>
    <w:p w14:paraId="5067B21E" w14:textId="77777777" w:rsidR="00E24E95" w:rsidRDefault="00E24E95" w:rsidP="00B7429F">
      <w:pPr>
        <w:pStyle w:val="SingleTxtG"/>
        <w:ind w:left="2835" w:hanging="567"/>
      </w:pPr>
      <w:r>
        <w:t>(b)</w:t>
      </w:r>
      <w:r>
        <w:tab/>
        <w:t>Division 1.2: Substances, mixtures and articles which have a projection hazard but not a mass explosion hazard;</w:t>
      </w:r>
    </w:p>
    <w:p w14:paraId="352906DC" w14:textId="77777777" w:rsidR="00E24E95" w:rsidRDefault="00E24E95" w:rsidP="00B7429F">
      <w:pPr>
        <w:pStyle w:val="SingleTxtG"/>
        <w:ind w:left="2835" w:hanging="567"/>
      </w:pPr>
      <w:r>
        <w:t>(c)</w:t>
      </w:r>
      <w:r>
        <w:tab/>
        <w:t>Division 1.3: Substances, mixtures and articles which have a fire hazard and either a minor blast hazard or a minor projection hazard or both, but not a mass explosion hazard:</w:t>
      </w:r>
    </w:p>
    <w:p w14:paraId="01F8F739" w14:textId="77777777" w:rsidR="00E24E95" w:rsidRDefault="00E24E95" w:rsidP="000F74A6">
      <w:pPr>
        <w:spacing w:after="240"/>
        <w:ind w:left="3402" w:right="1134" w:hanging="567"/>
      </w:pPr>
      <w:r>
        <w:t>(</w:t>
      </w:r>
      <w:proofErr w:type="spellStart"/>
      <w:r>
        <w:t>i</w:t>
      </w:r>
      <w:proofErr w:type="spellEnd"/>
      <w:r>
        <w:t>)</w:t>
      </w:r>
      <w:r>
        <w:tab/>
        <w:t>combustion of which give rise to considerable radiant heat; or</w:t>
      </w:r>
    </w:p>
    <w:p w14:paraId="4730FC41" w14:textId="77777777" w:rsidR="00E24E95" w:rsidRDefault="00E24E95" w:rsidP="000F74A6">
      <w:pPr>
        <w:spacing w:after="240"/>
        <w:ind w:left="3402" w:right="1134" w:hanging="567"/>
      </w:pPr>
      <w:r>
        <w:t>(ii)</w:t>
      </w:r>
      <w:r>
        <w:tab/>
        <w:t>which burn one after another, producing minor blast or projection effects or both;</w:t>
      </w:r>
    </w:p>
    <w:p w14:paraId="3D4A2C72" w14:textId="77777777" w:rsidR="00E24E95" w:rsidRDefault="00E24E95" w:rsidP="00B7429F">
      <w:pPr>
        <w:pStyle w:val="SingleTxtG"/>
        <w:ind w:left="2835" w:hanging="567"/>
      </w:pPr>
      <w:r>
        <w:t>(d)</w:t>
      </w:r>
      <w:r>
        <w:tab/>
        <w:t>Division 1.4: Substances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p w14:paraId="6197F24B" w14:textId="77777777" w:rsidR="00E24E95" w:rsidRDefault="00E24E95" w:rsidP="00B7429F">
      <w:pPr>
        <w:pStyle w:val="SingleTxtG"/>
        <w:ind w:left="2835" w:hanging="567"/>
      </w:pPr>
      <w:r>
        <w:t>(e)</w:t>
      </w:r>
      <w:r>
        <w:tab/>
        <w:t>Division 1.4 compatibility group S: Substances, mixtures and articles so packed or designed that any hazardous effects arising from accidental functioning are confined within the package unless the package has been degraded by fire, in which case all blast or projection effects are limited to the extent that they do not significantly hinder fire-fighting or other emergency response efforts in the immediate vicinity of the package.</w:t>
      </w:r>
    </w:p>
    <w:p w14:paraId="1D372222" w14:textId="77777777" w:rsidR="00E24E95" w:rsidRDefault="00E24E95" w:rsidP="00B7429F">
      <w:pPr>
        <w:pStyle w:val="SingleTxtG"/>
        <w:ind w:left="2835" w:hanging="567"/>
      </w:pPr>
      <w:r>
        <w:t>(f)</w:t>
      </w:r>
      <w:r>
        <w:tab/>
        <w:t xml:space="preserve">Division 1.5: Very insensitive substances or mixtures which have a mass explosion hazard: substances and mixtures which have a mass explosion hazard but are so insensitive that there is very little </w:t>
      </w:r>
      <w:r>
        <w:lastRenderedPageBreak/>
        <w:t>probability of initiation or of transition from burning to detonation under normal conditions. The probability of transition from burning to detonation is greater when large quantities are present.</w:t>
      </w:r>
    </w:p>
    <w:p w14:paraId="672521A1" w14:textId="77777777" w:rsidR="00E24E95" w:rsidRDefault="00E24E95" w:rsidP="00B7429F">
      <w:pPr>
        <w:pStyle w:val="SingleTxtG"/>
        <w:ind w:left="2835" w:hanging="567"/>
      </w:pPr>
      <w:r>
        <w:t>(g)</w:t>
      </w:r>
      <w:r>
        <w:tab/>
        <w:t xml:space="preserve">Division 1.6: Extremely insensitive articles which do not have a mass explosion hazard: articles which predominantly contain extremely insensitive substances or </w:t>
      </w:r>
      <w:proofErr w:type="gramStart"/>
      <w:r>
        <w:t>mixtures</w:t>
      </w:r>
      <w:proofErr w:type="gramEnd"/>
      <w:r>
        <w:t xml:space="preserve"> and which demonstrate a negligible probability of accidental initiation or propagation. The hazard from articles of Division 1.6 is limited to the explosion of a single article.</w:t>
      </w:r>
    </w:p>
    <w:p w14:paraId="16880EEF" w14:textId="77777777" w:rsidR="00E24E95" w:rsidRPr="00B7429F" w:rsidRDefault="00E24E95" w:rsidP="00B7429F">
      <w:pPr>
        <w:pStyle w:val="SingleTxtG"/>
        <w:rPr>
          <w:i/>
          <w:iCs/>
        </w:rPr>
      </w:pPr>
      <w:r w:rsidRPr="00B7429F">
        <w:rPr>
          <w:b/>
          <w:i/>
          <w:iCs/>
        </w:rPr>
        <w:t>NOTE 1:</w:t>
      </w:r>
      <w:r w:rsidRPr="00B7429F">
        <w:rPr>
          <w:i/>
          <w:iCs/>
        </w:rPr>
        <w:t xml:space="preserve"> For some regulatory purposes, the divisions are further subdivided into compatibility groups which identify the kinds of explosives that are deemed to be compatible (see 2.1.2 of the UN Model Regulations, Chapter 2.1).</w:t>
      </w:r>
    </w:p>
    <w:p w14:paraId="7CB19A72" w14:textId="77777777" w:rsidR="00E24E95" w:rsidRPr="00B7429F" w:rsidRDefault="00E24E95" w:rsidP="00B7429F">
      <w:pPr>
        <w:pStyle w:val="SingleTxtG"/>
        <w:rPr>
          <w:i/>
          <w:iCs/>
        </w:rPr>
      </w:pPr>
      <w:r w:rsidRPr="00B7429F">
        <w:rPr>
          <w:b/>
          <w:i/>
          <w:iCs/>
        </w:rPr>
        <w:t>NOTE 2:</w:t>
      </w:r>
      <w:r w:rsidRPr="00B7429F">
        <w:rPr>
          <w:i/>
          <w:iCs/>
        </w:rPr>
        <w:t xml:space="preserve"> While Division 1.4 compatibility group S is not a division of its own, this classification corresponds to a separate division based on additional criteria.</w:t>
      </w:r>
    </w:p>
    <w:p w14:paraId="447F0D63" w14:textId="77777777" w:rsidR="00E24E95" w:rsidRPr="00B7429F" w:rsidRDefault="00E24E95" w:rsidP="00B7429F">
      <w:pPr>
        <w:pStyle w:val="SingleTxtG"/>
        <w:rPr>
          <w:i/>
          <w:iCs/>
        </w:rPr>
      </w:pPr>
      <w:r w:rsidRPr="00B7429F">
        <w:rPr>
          <w:b/>
          <w:i/>
          <w:iCs/>
        </w:rPr>
        <w:t>NOTE 3:</w:t>
      </w:r>
      <w:r w:rsidRPr="00B7429F">
        <w:rPr>
          <w:i/>
          <w:iCs/>
        </w:rPr>
        <w:t xml:space="preserve"> For classification tests on explosive substances or mixtures, the tests should be performed on the substance or mixture as presented. If for example, for the purposes of supply or transport, the same substance or mixture is to be presented in a physical form different from that which was tested and which is considered likely to materially alter its performance in a classification test, it must also be tested in the new form.</w:t>
      </w:r>
    </w:p>
    <w:p w14:paraId="5931601C" w14:textId="77777777" w:rsidR="00E24E95" w:rsidRDefault="00E24E95" w:rsidP="00B7429F">
      <w:pPr>
        <w:pStyle w:val="SingleTxtG"/>
      </w:pPr>
      <w:r>
        <w:t>2.1.2.3</w:t>
      </w:r>
      <w:r>
        <w:tab/>
      </w:r>
      <w:r>
        <w:tab/>
      </w:r>
      <w:r w:rsidRPr="002179A2">
        <w:t>Explosive substances, mixtures and articles in Category 2 are assigned to one of three sub</w:t>
      </w:r>
      <w:r w:rsidR="002943A7">
        <w:t>-</w:t>
      </w:r>
      <w:r w:rsidRPr="002179A2">
        <w:t>categories in accordance with the following table:</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131"/>
        <w:gridCol w:w="6621"/>
      </w:tblGrid>
      <w:tr w:rsidR="00E24E95" w14:paraId="393AE01A" w14:textId="77777777" w:rsidTr="00B7429F">
        <w:tc>
          <w:tcPr>
            <w:tcW w:w="1131" w:type="dxa"/>
          </w:tcPr>
          <w:p w14:paraId="56410782" w14:textId="77777777" w:rsidR="00E24E95" w:rsidRPr="00C81DC2" w:rsidRDefault="00E24E95" w:rsidP="000F74A6">
            <w:pPr>
              <w:jc w:val="center"/>
              <w:rPr>
                <w:b/>
              </w:rPr>
            </w:pPr>
            <w:r>
              <w:rPr>
                <w:b/>
              </w:rPr>
              <w:t>Sub-c</w:t>
            </w:r>
            <w:r w:rsidRPr="00C81DC2">
              <w:rPr>
                <w:b/>
              </w:rPr>
              <w:t>ategory</w:t>
            </w:r>
          </w:p>
        </w:tc>
        <w:tc>
          <w:tcPr>
            <w:tcW w:w="6621" w:type="dxa"/>
          </w:tcPr>
          <w:p w14:paraId="17C9F14D" w14:textId="77777777" w:rsidR="00E24E95" w:rsidRPr="00C81DC2" w:rsidRDefault="00E24E95" w:rsidP="00E24E95">
            <w:pPr>
              <w:ind w:right="284"/>
              <w:rPr>
                <w:b/>
              </w:rPr>
            </w:pPr>
            <w:r w:rsidRPr="00C81DC2">
              <w:rPr>
                <w:b/>
              </w:rPr>
              <w:t>Criteria</w:t>
            </w:r>
          </w:p>
        </w:tc>
      </w:tr>
      <w:tr w:rsidR="00E24E95" w14:paraId="0E143D4E" w14:textId="77777777" w:rsidTr="00B7429F">
        <w:tc>
          <w:tcPr>
            <w:tcW w:w="1131" w:type="dxa"/>
            <w:vAlign w:val="center"/>
          </w:tcPr>
          <w:p w14:paraId="22B42A13" w14:textId="77777777" w:rsidR="00E24E95" w:rsidRPr="00C81DC2" w:rsidRDefault="00E24E95" w:rsidP="000F74A6">
            <w:pPr>
              <w:jc w:val="center"/>
              <w:rPr>
                <w:b/>
              </w:rPr>
            </w:pPr>
            <w:r>
              <w:rPr>
                <w:b/>
              </w:rPr>
              <w:t>2A</w:t>
            </w:r>
          </w:p>
        </w:tc>
        <w:tc>
          <w:tcPr>
            <w:tcW w:w="6621" w:type="dxa"/>
          </w:tcPr>
          <w:p w14:paraId="74BEF291" w14:textId="77777777" w:rsidR="00E24E95" w:rsidRDefault="00E24E95" w:rsidP="00B7429F">
            <w:pPr>
              <w:spacing w:before="40" w:afterLines="40" w:after="96"/>
            </w:pPr>
            <w:r>
              <w:t>Explosive substances, mixtures and articles in Category 2 which have been assigned:</w:t>
            </w:r>
          </w:p>
          <w:p w14:paraId="5C6C9272" w14:textId="77777777" w:rsidR="00E24E95" w:rsidRPr="0018797F" w:rsidRDefault="00B7429F" w:rsidP="00B7429F">
            <w:pPr>
              <w:tabs>
                <w:tab w:val="left" w:pos="509"/>
              </w:tabs>
              <w:kinsoku/>
              <w:overflowPunct/>
              <w:autoSpaceDE/>
              <w:autoSpaceDN/>
              <w:adjustRightInd/>
              <w:snapToGrid/>
              <w:spacing w:before="40" w:afterLines="40" w:after="96"/>
              <w:ind w:left="509" w:hanging="509"/>
              <w:contextualSpacing/>
            </w:pPr>
            <w:r>
              <w:t>(a)</w:t>
            </w:r>
            <w:r>
              <w:tab/>
            </w:r>
            <w:r w:rsidR="00E24E95">
              <w:t>Division 1.1, 1.2, 1.3, 1.5, or 1.6; or</w:t>
            </w:r>
          </w:p>
          <w:p w14:paraId="4C3AFD4C" w14:textId="77777777" w:rsidR="00E24E95" w:rsidRPr="0018797F" w:rsidRDefault="00B7429F" w:rsidP="00B7429F">
            <w:pPr>
              <w:kinsoku/>
              <w:overflowPunct/>
              <w:autoSpaceDE/>
              <w:autoSpaceDN/>
              <w:adjustRightInd/>
              <w:snapToGrid/>
              <w:spacing w:before="40" w:afterLines="40" w:after="96"/>
              <w:ind w:left="509" w:hanging="509"/>
              <w:contextualSpacing/>
            </w:pPr>
            <w:r>
              <w:t>(b)</w:t>
            </w:r>
            <w:r>
              <w:tab/>
            </w:r>
            <w:r w:rsidR="00E24E95">
              <w:t xml:space="preserve">Division 1.4 and are not meeting the criteria for </w:t>
            </w:r>
            <w:r w:rsidR="002943A7">
              <w:t>s</w:t>
            </w:r>
            <w:r w:rsidR="00E24E95">
              <w:t>ub-category 2B or 2C.</w:t>
            </w:r>
            <w:r w:rsidR="002943A7" w:rsidRPr="007519BB">
              <w:rPr>
                <w:i/>
                <w:vertAlign w:val="superscript"/>
              </w:rPr>
              <w:t>a</w:t>
            </w:r>
            <w:r w:rsidR="002943A7" w:rsidRPr="007519BB" w:rsidDel="002943A7">
              <w:rPr>
                <w:vertAlign w:val="superscript"/>
              </w:rPr>
              <w:t xml:space="preserve"> </w:t>
            </w:r>
          </w:p>
        </w:tc>
      </w:tr>
      <w:tr w:rsidR="00E24E95" w14:paraId="493FB7EF" w14:textId="77777777" w:rsidTr="00B7429F">
        <w:tc>
          <w:tcPr>
            <w:tcW w:w="1131" w:type="dxa"/>
            <w:vAlign w:val="center"/>
          </w:tcPr>
          <w:p w14:paraId="39809401" w14:textId="77777777" w:rsidR="00E24E95" w:rsidRPr="00C81DC2" w:rsidRDefault="00E24E95" w:rsidP="000F74A6">
            <w:pPr>
              <w:jc w:val="center"/>
              <w:rPr>
                <w:b/>
              </w:rPr>
            </w:pPr>
            <w:r w:rsidRPr="00C81DC2">
              <w:rPr>
                <w:b/>
              </w:rPr>
              <w:t>2</w:t>
            </w:r>
            <w:r>
              <w:rPr>
                <w:b/>
              </w:rPr>
              <w:t>B</w:t>
            </w:r>
          </w:p>
        </w:tc>
        <w:tc>
          <w:tcPr>
            <w:tcW w:w="6621" w:type="dxa"/>
          </w:tcPr>
          <w:p w14:paraId="14BACCD2" w14:textId="2393C7E5" w:rsidR="00E24E95" w:rsidRDefault="00E24E95" w:rsidP="00ED626B">
            <w:pPr>
              <w:spacing w:before="40" w:after="40"/>
            </w:pPr>
            <w:r>
              <w:t>Explosive substances, mixtures and articles in Category 2 which have been assigned to Division 1.4 and a compatibility group other than S, and which:</w:t>
            </w:r>
            <w:r>
              <w:br/>
            </w:r>
            <w:r w:rsidR="00094ED9">
              <w:t>(a)</w:t>
            </w:r>
            <w:r w:rsidR="00094ED9">
              <w:tab/>
            </w:r>
            <w:r>
              <w:t xml:space="preserve">do not detonate and disintegrate when functioned as intended; and </w:t>
            </w:r>
          </w:p>
          <w:p w14:paraId="5D5061B0" w14:textId="082E004D" w:rsidR="00E24E95" w:rsidRDefault="00B7429F" w:rsidP="00B7429F">
            <w:pPr>
              <w:kinsoku/>
              <w:overflowPunct/>
              <w:autoSpaceDE/>
              <w:autoSpaceDN/>
              <w:adjustRightInd/>
              <w:snapToGrid/>
              <w:spacing w:before="40" w:afterLines="40" w:after="96"/>
              <w:ind w:left="509" w:hanging="509"/>
              <w:contextualSpacing/>
            </w:pPr>
            <w:r>
              <w:t>(</w:t>
            </w:r>
            <w:r w:rsidR="00094ED9">
              <w:t>b</w:t>
            </w:r>
            <w:r>
              <w:t>)</w:t>
            </w:r>
            <w:r>
              <w:tab/>
            </w:r>
            <w:r w:rsidR="00E24E95">
              <w:t xml:space="preserve">exhibit no high hazard </w:t>
            </w:r>
            <w:proofErr w:type="spellStart"/>
            <w:r w:rsidR="00E24E95">
              <w:t>event</w:t>
            </w:r>
            <w:r w:rsidR="00E24E95">
              <w:rPr>
                <w:vertAlign w:val="superscript"/>
              </w:rPr>
              <w:t>b</w:t>
            </w:r>
            <w:proofErr w:type="spellEnd"/>
            <w:r w:rsidR="00E24E95">
              <w:t xml:space="preserve"> in test 6(a) or 6(b) of the </w:t>
            </w:r>
            <w:r w:rsidR="00E24E95">
              <w:rPr>
                <w:i/>
              </w:rPr>
              <w:t>Manual of Tests and Criteria</w:t>
            </w:r>
            <w:r w:rsidR="00E24E95">
              <w:t>; and</w:t>
            </w:r>
          </w:p>
          <w:p w14:paraId="6FC08F20" w14:textId="67CE3A13" w:rsidR="00E24E95" w:rsidRDefault="00B7429F" w:rsidP="00B7429F">
            <w:pPr>
              <w:kinsoku/>
              <w:overflowPunct/>
              <w:autoSpaceDE/>
              <w:autoSpaceDN/>
              <w:adjustRightInd/>
              <w:snapToGrid/>
              <w:spacing w:before="40" w:afterLines="40" w:after="96"/>
              <w:ind w:left="509" w:hanging="509"/>
            </w:pPr>
            <w:r>
              <w:t>(</w:t>
            </w:r>
            <w:r w:rsidR="00094ED9">
              <w:t>c</w:t>
            </w:r>
            <w:r>
              <w:t>)</w:t>
            </w:r>
            <w:r>
              <w:tab/>
            </w:r>
            <w:r w:rsidR="00E24E95">
              <w:t xml:space="preserve">do not require attenuating features, other than that which may be provided by a primary packaging, to mitigate a high hazard </w:t>
            </w:r>
            <w:proofErr w:type="spellStart"/>
            <w:proofErr w:type="gramStart"/>
            <w:r w:rsidR="00E24E95">
              <w:t>event.</w:t>
            </w:r>
            <w:r w:rsidR="00E24E95">
              <w:rPr>
                <w:vertAlign w:val="superscript"/>
              </w:rPr>
              <w:t>b</w:t>
            </w:r>
            <w:proofErr w:type="spellEnd"/>
            <w:proofErr w:type="gramEnd"/>
          </w:p>
        </w:tc>
      </w:tr>
      <w:tr w:rsidR="00E24E95" w14:paraId="3F2E1FA5" w14:textId="77777777" w:rsidTr="00B7429F">
        <w:tc>
          <w:tcPr>
            <w:tcW w:w="1131" w:type="dxa"/>
            <w:vAlign w:val="center"/>
          </w:tcPr>
          <w:p w14:paraId="2C8028A9" w14:textId="77777777" w:rsidR="00E24E95" w:rsidRPr="00C81DC2" w:rsidRDefault="00E24E95" w:rsidP="000F74A6">
            <w:pPr>
              <w:jc w:val="center"/>
              <w:rPr>
                <w:b/>
              </w:rPr>
            </w:pPr>
            <w:r>
              <w:rPr>
                <w:b/>
              </w:rPr>
              <w:t>2C</w:t>
            </w:r>
          </w:p>
        </w:tc>
        <w:tc>
          <w:tcPr>
            <w:tcW w:w="6621" w:type="dxa"/>
          </w:tcPr>
          <w:p w14:paraId="4BA4B742" w14:textId="77777777" w:rsidR="00E24E95" w:rsidRDefault="00E24E95" w:rsidP="00E24E95">
            <w:r>
              <w:t>Explosive substances, mixtures and articles in Category 2 which have been assigned to Division 1.4 compatibility group S, and which:</w:t>
            </w:r>
          </w:p>
          <w:p w14:paraId="09172CFB" w14:textId="77777777" w:rsidR="00E24E95" w:rsidRDefault="00B7429F" w:rsidP="00B7429F">
            <w:pPr>
              <w:kinsoku/>
              <w:overflowPunct/>
              <w:autoSpaceDE/>
              <w:autoSpaceDN/>
              <w:adjustRightInd/>
              <w:snapToGrid/>
              <w:spacing w:after="160"/>
              <w:ind w:left="720" w:hanging="720"/>
              <w:contextualSpacing/>
            </w:pPr>
            <w:r>
              <w:t>(a)</w:t>
            </w:r>
            <w:r>
              <w:tab/>
            </w:r>
            <w:r w:rsidR="00E24E95">
              <w:t>do not detonate and disintegrate when functioned as intended; and</w:t>
            </w:r>
          </w:p>
          <w:p w14:paraId="59255008" w14:textId="77777777" w:rsidR="00E24E95" w:rsidRDefault="00B7429F" w:rsidP="00B7429F">
            <w:pPr>
              <w:kinsoku/>
              <w:overflowPunct/>
              <w:autoSpaceDE/>
              <w:autoSpaceDN/>
              <w:adjustRightInd/>
              <w:snapToGrid/>
              <w:spacing w:after="160"/>
              <w:ind w:left="720" w:hanging="720"/>
              <w:contextualSpacing/>
            </w:pPr>
            <w:r>
              <w:t>(b)</w:t>
            </w:r>
            <w:r>
              <w:tab/>
            </w:r>
            <w:r w:rsidR="00E24E95">
              <w:t xml:space="preserve">exhibit no high hazard </w:t>
            </w:r>
            <w:proofErr w:type="spellStart"/>
            <w:r w:rsidR="00E24E95">
              <w:t>event</w:t>
            </w:r>
            <w:r w:rsidR="00E24E95">
              <w:rPr>
                <w:vertAlign w:val="superscript"/>
              </w:rPr>
              <w:t>b</w:t>
            </w:r>
            <w:proofErr w:type="spellEnd"/>
            <w:r w:rsidR="00E24E95">
              <w:t xml:space="preserve"> in test 6(a) or 6(b), or in the absence of these test results, similar results in test 6(d) of the </w:t>
            </w:r>
            <w:r w:rsidR="00E24E95">
              <w:rPr>
                <w:i/>
              </w:rPr>
              <w:t>Manual of Tests and Criteria</w:t>
            </w:r>
            <w:r w:rsidR="00E24E95">
              <w:t>; and</w:t>
            </w:r>
          </w:p>
          <w:p w14:paraId="077C1B40" w14:textId="77777777" w:rsidR="00E24E95" w:rsidRDefault="00B7429F" w:rsidP="00B7429F">
            <w:pPr>
              <w:kinsoku/>
              <w:overflowPunct/>
              <w:autoSpaceDE/>
              <w:autoSpaceDN/>
              <w:adjustRightInd/>
              <w:snapToGrid/>
              <w:spacing w:after="160"/>
              <w:ind w:left="720" w:hanging="720"/>
            </w:pPr>
            <w:r>
              <w:t>(c)</w:t>
            </w:r>
            <w:r>
              <w:tab/>
            </w:r>
            <w:r w:rsidR="00E24E95">
              <w:t xml:space="preserve">do not require attenuating features, other than that which may be provided by a primary packaging, to mitigate a high hazard </w:t>
            </w:r>
            <w:proofErr w:type="spellStart"/>
            <w:proofErr w:type="gramStart"/>
            <w:r w:rsidR="00E24E95">
              <w:t>event.</w:t>
            </w:r>
            <w:r w:rsidR="00E24E95">
              <w:rPr>
                <w:vertAlign w:val="superscript"/>
              </w:rPr>
              <w:t>b</w:t>
            </w:r>
            <w:proofErr w:type="spellEnd"/>
            <w:proofErr w:type="gramEnd"/>
          </w:p>
        </w:tc>
      </w:tr>
    </w:tbl>
    <w:p w14:paraId="6780DC06" w14:textId="77777777" w:rsidR="00E24E95" w:rsidRPr="00E70FF2" w:rsidRDefault="00E24E95" w:rsidP="00B7429F">
      <w:pPr>
        <w:spacing w:before="240"/>
        <w:ind w:left="1418" w:right="284" w:hanging="284"/>
        <w:rPr>
          <w:i/>
        </w:rPr>
      </w:pPr>
      <w:proofErr w:type="spellStart"/>
      <w:r w:rsidRPr="007519BB">
        <w:rPr>
          <w:i/>
          <w:vertAlign w:val="superscript"/>
        </w:rPr>
        <w:t>a</w:t>
      </w:r>
      <w:proofErr w:type="spellEnd"/>
      <w:r w:rsidRPr="00E70FF2">
        <w:rPr>
          <w:i/>
        </w:rPr>
        <w:t xml:space="preserve"> </w:t>
      </w:r>
      <w:r w:rsidR="00B7429F">
        <w:rPr>
          <w:i/>
        </w:rPr>
        <w:tab/>
      </w:r>
      <w:proofErr w:type="gramStart"/>
      <w:r w:rsidRPr="00E70FF2">
        <w:rPr>
          <w:i/>
        </w:rPr>
        <w:t>The</w:t>
      </w:r>
      <w:proofErr w:type="gramEnd"/>
      <w:r w:rsidRPr="00E70FF2">
        <w:rPr>
          <w:i/>
        </w:rPr>
        <w:t xml:space="preserve"> manufacturer, supplier or competent authority may classify an explosive of </w:t>
      </w:r>
      <w:r w:rsidR="002943A7">
        <w:rPr>
          <w:i/>
        </w:rPr>
        <w:t>D</w:t>
      </w:r>
      <w:r w:rsidRPr="00E70FF2">
        <w:rPr>
          <w:i/>
        </w:rPr>
        <w:t>ivision 1.4 as sub-category 2A on basis of data or other considerations even if it meets the technical criteria for sub-category 2B or 2C.</w:t>
      </w:r>
    </w:p>
    <w:p w14:paraId="5585BF46" w14:textId="77777777" w:rsidR="00E24E95" w:rsidRDefault="00E24E95" w:rsidP="00B7429F">
      <w:pPr>
        <w:ind w:left="1418" w:right="284" w:hanging="284"/>
      </w:pPr>
    </w:p>
    <w:p w14:paraId="0707CC41" w14:textId="77777777" w:rsidR="00E24E95" w:rsidRPr="00E70FF2" w:rsidRDefault="00E24E95" w:rsidP="00B7429F">
      <w:pPr>
        <w:ind w:left="1418" w:right="284" w:hanging="284"/>
        <w:rPr>
          <w:i/>
        </w:rPr>
      </w:pPr>
      <w:r w:rsidRPr="007519BB">
        <w:rPr>
          <w:i/>
          <w:vertAlign w:val="superscript"/>
        </w:rPr>
        <w:t>b</w:t>
      </w:r>
      <w:r w:rsidRPr="00E70FF2">
        <w:rPr>
          <w:i/>
        </w:rPr>
        <w:t xml:space="preserve"> </w:t>
      </w:r>
      <w:r w:rsidR="00B7429F">
        <w:rPr>
          <w:i/>
        </w:rPr>
        <w:tab/>
      </w:r>
      <w:r w:rsidRPr="00E70FF2">
        <w:rPr>
          <w:i/>
        </w:rPr>
        <w:t>A high hazard event is exhibited when performing test 6(a) or 6(b), according to the Manual of Tests and Criteria, by</w:t>
      </w:r>
    </w:p>
    <w:p w14:paraId="51339BB3" w14:textId="77777777" w:rsidR="00E24E95" w:rsidRPr="00E70FF2" w:rsidRDefault="00E24E95" w:rsidP="00B7429F">
      <w:pPr>
        <w:ind w:left="1843" w:right="284" w:hanging="425"/>
        <w:rPr>
          <w:i/>
        </w:rPr>
      </w:pPr>
      <w:r w:rsidRPr="00E70FF2">
        <w:rPr>
          <w:i/>
        </w:rPr>
        <w:t>(</w:t>
      </w:r>
      <w:r w:rsidR="00B7429F">
        <w:rPr>
          <w:i/>
        </w:rPr>
        <w:t>a</w:t>
      </w:r>
      <w:r w:rsidRPr="00E70FF2">
        <w:rPr>
          <w:i/>
        </w:rPr>
        <w:t>)</w:t>
      </w:r>
      <w:r w:rsidRPr="00E70FF2">
        <w:rPr>
          <w:i/>
        </w:rPr>
        <w:tab/>
        <w:t>a significant change in the witness plate shape, such as perforation, gouge, substantial dent or bowing; or</w:t>
      </w:r>
    </w:p>
    <w:p w14:paraId="43E903CF" w14:textId="77777777" w:rsidR="00E24E95" w:rsidRPr="00E70FF2" w:rsidRDefault="00E24E95" w:rsidP="00B7429F">
      <w:pPr>
        <w:spacing w:after="240"/>
        <w:ind w:left="1843" w:right="284" w:hanging="425"/>
        <w:rPr>
          <w:i/>
        </w:rPr>
      </w:pPr>
      <w:r w:rsidRPr="00E70FF2">
        <w:rPr>
          <w:i/>
        </w:rPr>
        <w:t>(</w:t>
      </w:r>
      <w:r w:rsidR="00B7429F">
        <w:rPr>
          <w:i/>
        </w:rPr>
        <w:t>b</w:t>
      </w:r>
      <w:r w:rsidRPr="00E70FF2">
        <w:rPr>
          <w:i/>
        </w:rPr>
        <w:t>)</w:t>
      </w:r>
      <w:r w:rsidRPr="00E70FF2">
        <w:rPr>
          <w:i/>
        </w:rPr>
        <w:tab/>
        <w:t>instantaneous scattering of most of the confining material.</w:t>
      </w:r>
    </w:p>
    <w:p w14:paraId="5D43F79C" w14:textId="77777777" w:rsidR="00E24E95" w:rsidRPr="00B7429F" w:rsidRDefault="00E24E95" w:rsidP="00B7429F">
      <w:pPr>
        <w:pStyle w:val="SingleTxtG"/>
        <w:tabs>
          <w:tab w:val="left" w:pos="2268"/>
        </w:tabs>
        <w:rPr>
          <w:b/>
          <w:bCs/>
        </w:rPr>
      </w:pPr>
      <w:r w:rsidRPr="00B7429F">
        <w:rPr>
          <w:b/>
          <w:bCs/>
        </w:rPr>
        <w:lastRenderedPageBreak/>
        <w:t>2.1.3</w:t>
      </w:r>
      <w:r w:rsidRPr="00B7429F">
        <w:rPr>
          <w:b/>
          <w:bCs/>
        </w:rPr>
        <w:tab/>
        <w:t>Hazard communication</w:t>
      </w:r>
    </w:p>
    <w:p w14:paraId="137F0C98" w14:textId="77777777" w:rsidR="00E24E95" w:rsidRDefault="00B7429F" w:rsidP="00B7429F">
      <w:pPr>
        <w:pStyle w:val="SingleTxtG"/>
        <w:tabs>
          <w:tab w:val="left" w:pos="2127"/>
        </w:tabs>
      </w:pPr>
      <w:r>
        <w:tab/>
      </w:r>
      <w:r>
        <w:tab/>
      </w:r>
      <w:r w:rsidR="00E24E95" w:rsidRPr="00BD4EFE">
        <w:t>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413"/>
        <w:gridCol w:w="1559"/>
        <w:gridCol w:w="1559"/>
        <w:gridCol w:w="1560"/>
        <w:gridCol w:w="1554"/>
      </w:tblGrid>
      <w:tr w:rsidR="00E24E95" w14:paraId="5325914C" w14:textId="77777777" w:rsidTr="00E24E95">
        <w:tc>
          <w:tcPr>
            <w:tcW w:w="1413" w:type="dxa"/>
          </w:tcPr>
          <w:p w14:paraId="0C12CC6F" w14:textId="77777777" w:rsidR="00E24E95" w:rsidRPr="0018797F" w:rsidRDefault="00E24E95" w:rsidP="00E24E95">
            <w:pPr>
              <w:ind w:right="-84"/>
              <w:rPr>
                <w:b/>
              </w:rPr>
            </w:pPr>
            <w:r w:rsidRPr="0018797F">
              <w:rPr>
                <w:b/>
              </w:rPr>
              <w:t>Category</w:t>
            </w:r>
          </w:p>
        </w:tc>
        <w:tc>
          <w:tcPr>
            <w:tcW w:w="1559" w:type="dxa"/>
            <w:vAlign w:val="center"/>
          </w:tcPr>
          <w:p w14:paraId="48396E0E" w14:textId="77777777" w:rsidR="00E24E95" w:rsidRPr="0018797F" w:rsidRDefault="00E24E95" w:rsidP="00E24E95">
            <w:pPr>
              <w:jc w:val="center"/>
              <w:rPr>
                <w:b/>
              </w:rPr>
            </w:pPr>
            <w:r w:rsidRPr="0018797F">
              <w:rPr>
                <w:b/>
              </w:rPr>
              <w:t>1</w:t>
            </w:r>
          </w:p>
        </w:tc>
        <w:tc>
          <w:tcPr>
            <w:tcW w:w="4673" w:type="dxa"/>
            <w:gridSpan w:val="3"/>
            <w:vAlign w:val="center"/>
          </w:tcPr>
          <w:p w14:paraId="5E3FDD9C" w14:textId="77777777" w:rsidR="00E24E95" w:rsidRPr="0018797F" w:rsidRDefault="00E24E95" w:rsidP="00E24E95">
            <w:pPr>
              <w:jc w:val="center"/>
              <w:rPr>
                <w:b/>
              </w:rPr>
            </w:pPr>
            <w:r w:rsidRPr="0018797F">
              <w:rPr>
                <w:b/>
              </w:rPr>
              <w:t>2</w:t>
            </w:r>
          </w:p>
        </w:tc>
      </w:tr>
      <w:tr w:rsidR="00E24E95" w14:paraId="73506C75" w14:textId="77777777" w:rsidTr="00E24E95">
        <w:tc>
          <w:tcPr>
            <w:tcW w:w="1413" w:type="dxa"/>
          </w:tcPr>
          <w:p w14:paraId="6343F277" w14:textId="77777777" w:rsidR="00E24E95" w:rsidRPr="0018797F" w:rsidRDefault="00E24E95" w:rsidP="00E24E95">
            <w:pPr>
              <w:ind w:right="-84"/>
              <w:rPr>
                <w:b/>
              </w:rPr>
            </w:pPr>
            <w:r w:rsidRPr="0018797F">
              <w:rPr>
                <w:b/>
              </w:rPr>
              <w:t>Sub-category</w:t>
            </w:r>
          </w:p>
        </w:tc>
        <w:tc>
          <w:tcPr>
            <w:tcW w:w="1559" w:type="dxa"/>
            <w:vAlign w:val="center"/>
          </w:tcPr>
          <w:p w14:paraId="40B9A19D" w14:textId="77777777" w:rsidR="00E24E95" w:rsidRPr="0018797F" w:rsidRDefault="00E24E95" w:rsidP="00E24E95">
            <w:pPr>
              <w:jc w:val="center"/>
              <w:rPr>
                <w:i/>
              </w:rPr>
            </w:pPr>
            <w:r w:rsidRPr="0018797F">
              <w:rPr>
                <w:i/>
              </w:rPr>
              <w:t>Not applicable</w:t>
            </w:r>
          </w:p>
        </w:tc>
        <w:tc>
          <w:tcPr>
            <w:tcW w:w="1559" w:type="dxa"/>
            <w:vAlign w:val="center"/>
          </w:tcPr>
          <w:p w14:paraId="2C79CA78" w14:textId="77777777" w:rsidR="00E24E95" w:rsidRPr="0018797F" w:rsidRDefault="00E24E95" w:rsidP="00E24E95">
            <w:pPr>
              <w:jc w:val="center"/>
              <w:rPr>
                <w:b/>
              </w:rPr>
            </w:pPr>
            <w:r w:rsidRPr="0018797F">
              <w:rPr>
                <w:b/>
              </w:rPr>
              <w:t>2A</w:t>
            </w:r>
          </w:p>
        </w:tc>
        <w:tc>
          <w:tcPr>
            <w:tcW w:w="1560" w:type="dxa"/>
            <w:vAlign w:val="center"/>
          </w:tcPr>
          <w:p w14:paraId="57592D8B" w14:textId="77777777" w:rsidR="00E24E95" w:rsidRPr="0018797F" w:rsidRDefault="00E24E95" w:rsidP="00E24E95">
            <w:pPr>
              <w:jc w:val="center"/>
              <w:rPr>
                <w:b/>
              </w:rPr>
            </w:pPr>
            <w:r w:rsidRPr="0018797F">
              <w:rPr>
                <w:b/>
              </w:rPr>
              <w:t>2B</w:t>
            </w:r>
          </w:p>
        </w:tc>
        <w:tc>
          <w:tcPr>
            <w:tcW w:w="1554" w:type="dxa"/>
            <w:vAlign w:val="center"/>
          </w:tcPr>
          <w:p w14:paraId="13350012" w14:textId="77777777" w:rsidR="00E24E95" w:rsidRPr="0018797F" w:rsidRDefault="00E24E95" w:rsidP="00E24E95">
            <w:pPr>
              <w:jc w:val="center"/>
              <w:rPr>
                <w:b/>
              </w:rPr>
            </w:pPr>
            <w:r w:rsidRPr="0018797F">
              <w:rPr>
                <w:b/>
              </w:rPr>
              <w:t>2C</w:t>
            </w:r>
          </w:p>
        </w:tc>
      </w:tr>
      <w:tr w:rsidR="00E24E95" w14:paraId="063AC670" w14:textId="77777777" w:rsidTr="00E24E95">
        <w:tc>
          <w:tcPr>
            <w:tcW w:w="1413" w:type="dxa"/>
          </w:tcPr>
          <w:p w14:paraId="6F5DAE00" w14:textId="77777777" w:rsidR="00E24E95" w:rsidRPr="0018797F" w:rsidRDefault="00E24E95" w:rsidP="00E24E95">
            <w:pPr>
              <w:ind w:right="-84"/>
              <w:rPr>
                <w:b/>
              </w:rPr>
            </w:pPr>
            <w:proofErr w:type="spellStart"/>
            <w:r w:rsidRPr="0018797F">
              <w:rPr>
                <w:b/>
              </w:rPr>
              <w:t>Symbol</w:t>
            </w:r>
            <w:r w:rsidR="002943A7" w:rsidRPr="007519BB">
              <w:rPr>
                <w:i/>
                <w:vertAlign w:val="superscript"/>
              </w:rPr>
              <w:t>a</w:t>
            </w:r>
            <w:proofErr w:type="spellEnd"/>
          </w:p>
        </w:tc>
        <w:tc>
          <w:tcPr>
            <w:tcW w:w="1559" w:type="dxa"/>
            <w:vAlign w:val="center"/>
          </w:tcPr>
          <w:p w14:paraId="77E92C9C" w14:textId="77777777" w:rsidR="00E24E95" w:rsidRDefault="00E24E95" w:rsidP="00E24E95">
            <w:pPr>
              <w:jc w:val="center"/>
            </w:pPr>
            <w:r>
              <w:t xml:space="preserve">Exploding </w:t>
            </w:r>
            <w:r>
              <w:br/>
              <w:t>bomb</w:t>
            </w:r>
          </w:p>
        </w:tc>
        <w:tc>
          <w:tcPr>
            <w:tcW w:w="1559" w:type="dxa"/>
            <w:vAlign w:val="center"/>
          </w:tcPr>
          <w:p w14:paraId="47614B31" w14:textId="77777777" w:rsidR="00E24E95" w:rsidRPr="00426776" w:rsidRDefault="00E24E95" w:rsidP="00E24E95">
            <w:pPr>
              <w:jc w:val="center"/>
              <w:rPr>
                <w:vertAlign w:val="superscript"/>
              </w:rPr>
            </w:pPr>
            <w:r>
              <w:t xml:space="preserve">Exploding </w:t>
            </w:r>
            <w:r>
              <w:br/>
              <w:t>bomb</w:t>
            </w:r>
          </w:p>
        </w:tc>
        <w:tc>
          <w:tcPr>
            <w:tcW w:w="1560" w:type="dxa"/>
            <w:vAlign w:val="center"/>
          </w:tcPr>
          <w:p w14:paraId="7A8E6DA4" w14:textId="77777777" w:rsidR="00E24E95" w:rsidRDefault="00E24E95" w:rsidP="00E24E95">
            <w:pPr>
              <w:jc w:val="center"/>
            </w:pPr>
            <w:r>
              <w:t xml:space="preserve">Exploding </w:t>
            </w:r>
            <w:r>
              <w:br/>
              <w:t>bomb</w:t>
            </w:r>
          </w:p>
        </w:tc>
        <w:tc>
          <w:tcPr>
            <w:tcW w:w="1554" w:type="dxa"/>
            <w:vAlign w:val="center"/>
          </w:tcPr>
          <w:p w14:paraId="45111A6C" w14:textId="77777777" w:rsidR="00E24E95" w:rsidRDefault="00E24E95" w:rsidP="00E24E95">
            <w:pPr>
              <w:jc w:val="center"/>
            </w:pPr>
            <w:r>
              <w:t>Exclamation</w:t>
            </w:r>
          </w:p>
          <w:p w14:paraId="3C2F862A" w14:textId="77777777" w:rsidR="00E24E95" w:rsidRDefault="00E24E95" w:rsidP="00E24E95">
            <w:pPr>
              <w:jc w:val="center"/>
            </w:pPr>
            <w:r>
              <w:t>mark</w:t>
            </w:r>
          </w:p>
        </w:tc>
      </w:tr>
      <w:tr w:rsidR="00E24E95" w14:paraId="6A601B95" w14:textId="77777777" w:rsidTr="00E24E95">
        <w:tc>
          <w:tcPr>
            <w:tcW w:w="1413" w:type="dxa"/>
          </w:tcPr>
          <w:p w14:paraId="17DB6D9D" w14:textId="77777777" w:rsidR="00E24E95" w:rsidRPr="0018797F" w:rsidRDefault="00E24E95" w:rsidP="00E24E95">
            <w:pPr>
              <w:ind w:right="-84"/>
              <w:rPr>
                <w:b/>
              </w:rPr>
            </w:pPr>
            <w:r w:rsidRPr="0018797F">
              <w:rPr>
                <w:b/>
              </w:rPr>
              <w:t>Signal word</w:t>
            </w:r>
          </w:p>
        </w:tc>
        <w:tc>
          <w:tcPr>
            <w:tcW w:w="1559" w:type="dxa"/>
            <w:vAlign w:val="center"/>
          </w:tcPr>
          <w:p w14:paraId="5808D8FB" w14:textId="77777777" w:rsidR="00E24E95" w:rsidRDefault="00E24E95" w:rsidP="00E24E95">
            <w:pPr>
              <w:jc w:val="center"/>
            </w:pPr>
            <w:r>
              <w:t>Danger</w:t>
            </w:r>
          </w:p>
        </w:tc>
        <w:tc>
          <w:tcPr>
            <w:tcW w:w="1559" w:type="dxa"/>
            <w:vAlign w:val="center"/>
          </w:tcPr>
          <w:p w14:paraId="6678F0D2" w14:textId="77777777" w:rsidR="00E24E95" w:rsidRDefault="00E24E95" w:rsidP="00E24E95">
            <w:pPr>
              <w:jc w:val="center"/>
            </w:pPr>
            <w:r>
              <w:t>Danger</w:t>
            </w:r>
          </w:p>
        </w:tc>
        <w:tc>
          <w:tcPr>
            <w:tcW w:w="1560" w:type="dxa"/>
            <w:vAlign w:val="center"/>
          </w:tcPr>
          <w:p w14:paraId="48BB87BF" w14:textId="77777777" w:rsidR="00E24E95" w:rsidRDefault="00E24E95" w:rsidP="00E24E95">
            <w:pPr>
              <w:jc w:val="center"/>
            </w:pPr>
            <w:r>
              <w:t>Warning</w:t>
            </w:r>
          </w:p>
        </w:tc>
        <w:tc>
          <w:tcPr>
            <w:tcW w:w="1554" w:type="dxa"/>
            <w:vAlign w:val="center"/>
          </w:tcPr>
          <w:p w14:paraId="5D5393F6" w14:textId="77777777" w:rsidR="00E24E95" w:rsidRDefault="00E24E95" w:rsidP="00E24E95">
            <w:pPr>
              <w:jc w:val="center"/>
            </w:pPr>
            <w:r>
              <w:t>Warning</w:t>
            </w:r>
          </w:p>
        </w:tc>
      </w:tr>
      <w:tr w:rsidR="00E24E95" w14:paraId="4173C604" w14:textId="77777777" w:rsidTr="00E24E95">
        <w:tc>
          <w:tcPr>
            <w:tcW w:w="1413" w:type="dxa"/>
          </w:tcPr>
          <w:p w14:paraId="040F0D75" w14:textId="77777777" w:rsidR="00E24E95" w:rsidRPr="0018797F" w:rsidRDefault="00E24E95" w:rsidP="00E24E95">
            <w:pPr>
              <w:ind w:right="-84"/>
              <w:rPr>
                <w:b/>
              </w:rPr>
            </w:pPr>
            <w:r w:rsidRPr="0018797F">
              <w:rPr>
                <w:b/>
              </w:rPr>
              <w:t>Hazard statement</w:t>
            </w:r>
          </w:p>
        </w:tc>
        <w:tc>
          <w:tcPr>
            <w:tcW w:w="1559" w:type="dxa"/>
            <w:vAlign w:val="center"/>
          </w:tcPr>
          <w:p w14:paraId="5083EB50" w14:textId="77777777" w:rsidR="00E24E95" w:rsidRDefault="00E24E95" w:rsidP="00E24E95">
            <w:pPr>
              <w:jc w:val="center"/>
            </w:pPr>
            <w:r>
              <w:t>Explosive</w:t>
            </w:r>
          </w:p>
        </w:tc>
        <w:tc>
          <w:tcPr>
            <w:tcW w:w="1559" w:type="dxa"/>
            <w:vAlign w:val="center"/>
          </w:tcPr>
          <w:p w14:paraId="6FE74389" w14:textId="77777777" w:rsidR="00E24E95" w:rsidRDefault="00E24E95" w:rsidP="00E24E95">
            <w:pPr>
              <w:jc w:val="center"/>
            </w:pPr>
            <w:r>
              <w:t>Explosive</w:t>
            </w:r>
          </w:p>
        </w:tc>
        <w:tc>
          <w:tcPr>
            <w:tcW w:w="1560" w:type="dxa"/>
            <w:vAlign w:val="center"/>
          </w:tcPr>
          <w:p w14:paraId="1616D90E" w14:textId="77777777" w:rsidR="00E24E95" w:rsidRDefault="00E24E95" w:rsidP="00E24E95">
            <w:pPr>
              <w:jc w:val="center"/>
            </w:pPr>
            <w:r>
              <w:t>Fire or projection hazard</w:t>
            </w:r>
          </w:p>
        </w:tc>
        <w:tc>
          <w:tcPr>
            <w:tcW w:w="1554" w:type="dxa"/>
            <w:vAlign w:val="center"/>
          </w:tcPr>
          <w:p w14:paraId="0591B259" w14:textId="77777777" w:rsidR="00E24E95" w:rsidRDefault="00E24E95" w:rsidP="00E24E95">
            <w:pPr>
              <w:jc w:val="center"/>
            </w:pPr>
            <w:r>
              <w:t>Fire or projection hazard</w:t>
            </w:r>
          </w:p>
        </w:tc>
      </w:tr>
      <w:tr w:rsidR="00E24E95" w14:paraId="6BAAA27A" w14:textId="77777777" w:rsidTr="00E24E95">
        <w:tc>
          <w:tcPr>
            <w:tcW w:w="1413" w:type="dxa"/>
          </w:tcPr>
          <w:p w14:paraId="11805E73" w14:textId="77777777" w:rsidR="00E24E95" w:rsidRPr="0018797F" w:rsidRDefault="00E24E95" w:rsidP="00E24E95">
            <w:pPr>
              <w:ind w:right="-84"/>
              <w:rPr>
                <w:b/>
              </w:rPr>
            </w:pPr>
            <w:r w:rsidRPr="0018797F">
              <w:rPr>
                <w:b/>
              </w:rPr>
              <w:t>Additional hazard statement</w:t>
            </w:r>
          </w:p>
        </w:tc>
        <w:tc>
          <w:tcPr>
            <w:tcW w:w="1559" w:type="dxa"/>
            <w:vAlign w:val="center"/>
          </w:tcPr>
          <w:p w14:paraId="04B410D6" w14:textId="77777777" w:rsidR="00E24E95" w:rsidRDefault="00E24E95" w:rsidP="00E24E95">
            <w:pPr>
              <w:jc w:val="center"/>
            </w:pPr>
            <w:r>
              <w:t xml:space="preserve">Very </w:t>
            </w:r>
            <w:proofErr w:type="spellStart"/>
            <w:r>
              <w:t>sensitive</w:t>
            </w:r>
            <w:r w:rsidRPr="007519BB">
              <w:rPr>
                <w:vertAlign w:val="superscript"/>
              </w:rPr>
              <w:t>b</w:t>
            </w:r>
            <w:proofErr w:type="spellEnd"/>
          </w:p>
          <w:p w14:paraId="0AF697EB" w14:textId="77777777" w:rsidR="00E24E95" w:rsidRPr="0018797F" w:rsidRDefault="00E24E95" w:rsidP="00E24E95">
            <w:pPr>
              <w:jc w:val="center"/>
              <w:rPr>
                <w:b/>
                <w:i/>
                <w:u w:val="single"/>
              </w:rPr>
            </w:pPr>
            <w:r w:rsidRPr="0018797F">
              <w:rPr>
                <w:b/>
                <w:i/>
                <w:u w:val="single"/>
              </w:rPr>
              <w:t>or</w:t>
            </w:r>
          </w:p>
          <w:p w14:paraId="312ED25C" w14:textId="77777777" w:rsidR="00E24E95" w:rsidRDefault="00E24E95" w:rsidP="00E24E95">
            <w:pPr>
              <w:jc w:val="center"/>
            </w:pPr>
            <w:r>
              <w:t xml:space="preserve">May be </w:t>
            </w:r>
            <w:proofErr w:type="spellStart"/>
            <w:r>
              <w:t>sensitive</w:t>
            </w:r>
            <w:r w:rsidRPr="007519BB">
              <w:rPr>
                <w:vertAlign w:val="superscript"/>
              </w:rPr>
              <w:t>c</w:t>
            </w:r>
            <w:proofErr w:type="spellEnd"/>
          </w:p>
        </w:tc>
        <w:tc>
          <w:tcPr>
            <w:tcW w:w="1559" w:type="dxa"/>
            <w:vAlign w:val="center"/>
          </w:tcPr>
          <w:p w14:paraId="6C48F1E7" w14:textId="77777777" w:rsidR="00E24E95" w:rsidRDefault="00E24E95" w:rsidP="00E24E95">
            <w:pPr>
              <w:jc w:val="center"/>
            </w:pPr>
            <w:r w:rsidRPr="0018797F">
              <w:rPr>
                <w:i/>
              </w:rPr>
              <w:t>Not applicable</w:t>
            </w:r>
          </w:p>
        </w:tc>
        <w:tc>
          <w:tcPr>
            <w:tcW w:w="1560" w:type="dxa"/>
            <w:vAlign w:val="center"/>
          </w:tcPr>
          <w:p w14:paraId="45752CFE" w14:textId="77777777" w:rsidR="00E24E95" w:rsidRDefault="00E24E95" w:rsidP="00E24E95">
            <w:pPr>
              <w:jc w:val="center"/>
            </w:pPr>
            <w:r w:rsidRPr="0018797F">
              <w:rPr>
                <w:i/>
              </w:rPr>
              <w:t>Not applicable</w:t>
            </w:r>
          </w:p>
        </w:tc>
        <w:tc>
          <w:tcPr>
            <w:tcW w:w="1554" w:type="dxa"/>
            <w:vAlign w:val="center"/>
          </w:tcPr>
          <w:p w14:paraId="3B4BF2B3" w14:textId="77777777" w:rsidR="00E24E95" w:rsidRDefault="00E24E95" w:rsidP="00E24E95">
            <w:pPr>
              <w:jc w:val="center"/>
            </w:pPr>
            <w:r w:rsidRPr="0018797F">
              <w:rPr>
                <w:i/>
              </w:rPr>
              <w:t>Not applicable</w:t>
            </w:r>
          </w:p>
        </w:tc>
      </w:tr>
    </w:tbl>
    <w:p w14:paraId="0C282047" w14:textId="77777777" w:rsidR="00E24E95" w:rsidRPr="00B36363" w:rsidRDefault="00E24E95" w:rsidP="00B7429F">
      <w:pPr>
        <w:pStyle w:val="SingleTxtG"/>
        <w:rPr>
          <w:i/>
          <w:iCs/>
        </w:rPr>
      </w:pPr>
      <w:proofErr w:type="spellStart"/>
      <w:r w:rsidRPr="00B36363">
        <w:rPr>
          <w:i/>
          <w:iCs/>
          <w:vertAlign w:val="superscript"/>
        </w:rPr>
        <w:t>a</w:t>
      </w:r>
      <w:proofErr w:type="spellEnd"/>
      <w:r w:rsidRPr="00B36363">
        <w:rPr>
          <w:i/>
          <w:iCs/>
        </w:rPr>
        <w:t xml:space="preserve"> </w:t>
      </w:r>
      <w:r w:rsidR="00B7429F" w:rsidRPr="00B36363">
        <w:rPr>
          <w:i/>
          <w:iCs/>
        </w:rPr>
        <w:tab/>
      </w:r>
      <w:r w:rsidRPr="00B36363">
        <w:rPr>
          <w:i/>
          <w:iCs/>
        </w:rPr>
        <w:t xml:space="preserve">For </w:t>
      </w:r>
      <w:r w:rsidR="002943A7">
        <w:rPr>
          <w:i/>
          <w:iCs/>
        </w:rPr>
        <w:t>D</w:t>
      </w:r>
      <w:r w:rsidRPr="00B36363">
        <w:rPr>
          <w:i/>
          <w:iCs/>
        </w:rPr>
        <w:t>ivisions 1.4, 1.5 and 1.6 no symbol appears on the label for transport, according to the UN Model Regulations.</w:t>
      </w:r>
    </w:p>
    <w:p w14:paraId="7A6B044E" w14:textId="77777777" w:rsidR="00E24E95" w:rsidRPr="00B36363" w:rsidRDefault="00E24E95" w:rsidP="00B7429F">
      <w:pPr>
        <w:pStyle w:val="SingleTxtG"/>
        <w:rPr>
          <w:i/>
          <w:iCs/>
        </w:rPr>
      </w:pPr>
      <w:r w:rsidRPr="00B36363">
        <w:rPr>
          <w:i/>
          <w:iCs/>
          <w:vertAlign w:val="superscript"/>
        </w:rPr>
        <w:t xml:space="preserve">b </w:t>
      </w:r>
      <w:r w:rsidR="00B36363">
        <w:rPr>
          <w:i/>
          <w:iCs/>
          <w:vertAlign w:val="superscript"/>
        </w:rPr>
        <w:tab/>
      </w:r>
      <w:proofErr w:type="gramStart"/>
      <w:r w:rsidRPr="00B36363">
        <w:rPr>
          <w:i/>
          <w:iCs/>
        </w:rPr>
        <w:t>To</w:t>
      </w:r>
      <w:proofErr w:type="gramEnd"/>
      <w:r w:rsidRPr="00B36363">
        <w:rPr>
          <w:i/>
          <w:iCs/>
        </w:rPr>
        <w:t xml:space="preserve"> be assigned additionally to explosives that are sensitive to initiation as determined by test series 3 or 4 of the Manual of Tests and Criteria. May also be applied to explosives sensitive to other stimuli, e.g. electrostatic discharge.</w:t>
      </w:r>
    </w:p>
    <w:p w14:paraId="76910D3C" w14:textId="77777777" w:rsidR="00E24E95" w:rsidRPr="00B36363" w:rsidRDefault="00E24E95" w:rsidP="00B7429F">
      <w:pPr>
        <w:pStyle w:val="SingleTxtG"/>
        <w:rPr>
          <w:i/>
          <w:iCs/>
        </w:rPr>
      </w:pPr>
      <w:r w:rsidRPr="00B36363">
        <w:rPr>
          <w:i/>
          <w:iCs/>
          <w:vertAlign w:val="superscript"/>
        </w:rPr>
        <w:t xml:space="preserve">c </w:t>
      </w:r>
      <w:r w:rsidR="00B36363">
        <w:rPr>
          <w:i/>
          <w:iCs/>
          <w:vertAlign w:val="superscript"/>
        </w:rPr>
        <w:tab/>
      </w:r>
      <w:proofErr w:type="gramStart"/>
      <w:r w:rsidRPr="00B36363">
        <w:rPr>
          <w:i/>
          <w:iCs/>
        </w:rPr>
        <w:t>To</w:t>
      </w:r>
      <w:proofErr w:type="gramEnd"/>
      <w:r w:rsidRPr="00B36363">
        <w:rPr>
          <w:i/>
          <w:iCs/>
        </w:rPr>
        <w:t xml:space="preserve"> be assigned additionally to explosives for which sufficient information on their sensitivity to initiation is not available.</w:t>
      </w:r>
    </w:p>
    <w:p w14:paraId="35B59C07" w14:textId="77777777" w:rsidR="00E24E95" w:rsidRPr="00B36363" w:rsidRDefault="00E24E95" w:rsidP="00B36363">
      <w:pPr>
        <w:pStyle w:val="SingleTxtG"/>
        <w:tabs>
          <w:tab w:val="left" w:pos="2268"/>
        </w:tabs>
        <w:rPr>
          <w:i/>
          <w:iCs/>
        </w:rPr>
      </w:pPr>
      <w:r w:rsidRPr="00B36363">
        <w:rPr>
          <w:b/>
          <w:bCs/>
          <w:i/>
          <w:iCs/>
        </w:rPr>
        <w:t xml:space="preserve">NOTE: </w:t>
      </w:r>
      <w:r w:rsidR="00B36363">
        <w:rPr>
          <w:b/>
          <w:bCs/>
          <w:i/>
          <w:iCs/>
        </w:rPr>
        <w:tab/>
      </w:r>
      <w:r w:rsidRPr="00B36363">
        <w:rPr>
          <w:i/>
          <w:iCs/>
        </w:rPr>
        <w:t xml:space="preserve">Substances and mixtures excluded by 2.1.1.2.2 (c) (v) still have explosive properties. The user should be informed of these intrinsic explosive properties because they </w:t>
      </w:r>
      <w:proofErr w:type="gramStart"/>
      <w:r w:rsidRPr="00B36363">
        <w:rPr>
          <w:i/>
          <w:iCs/>
        </w:rPr>
        <w:t>have to</w:t>
      </w:r>
      <w:proofErr w:type="gramEnd"/>
      <w:r w:rsidRPr="00B36363">
        <w:rPr>
          <w:i/>
          <w:iCs/>
        </w:rPr>
        <w:t xml:space="preserve"> be considered for handling – especially if the substance or mixture is removed from its packaging or is repackaged – and for storage. For this reason, the explosive properties of the substance or mixture should be communicated in </w:t>
      </w:r>
      <w:r w:rsidR="00B36363">
        <w:rPr>
          <w:i/>
          <w:iCs/>
        </w:rPr>
        <w:t>s</w:t>
      </w:r>
      <w:r w:rsidR="00B36363" w:rsidRPr="00B36363">
        <w:rPr>
          <w:i/>
          <w:iCs/>
        </w:rPr>
        <w:t>ub</w:t>
      </w:r>
      <w:r w:rsidRPr="00B36363">
        <w:rPr>
          <w:i/>
          <w:iCs/>
        </w:rPr>
        <w:t>-section 2.3 (Other hazards which do not result in classification) and Section 9 (Physical and chemical properties) or 10 (Stability and reactivity) of the Safety Data Sheet in accordance with Table 1.5.2, and other sections of the Safety Data Sheet, as appropriate.</w:t>
      </w:r>
    </w:p>
    <w:p w14:paraId="132F7B4F" w14:textId="77777777" w:rsidR="00E24E95" w:rsidRPr="00B36363" w:rsidRDefault="00B36363" w:rsidP="000F74A6">
      <w:pPr>
        <w:pStyle w:val="SingleTxtG"/>
        <w:tabs>
          <w:tab w:val="left" w:pos="2268"/>
        </w:tabs>
        <w:rPr>
          <w:bCs/>
          <w:i/>
          <w:iCs/>
        </w:rPr>
      </w:pPr>
      <w:r>
        <w:rPr>
          <w:bCs/>
          <w:i/>
          <w:iCs/>
        </w:rPr>
        <w:tab/>
      </w:r>
      <w:r w:rsidR="00E24E95" w:rsidRPr="00B36363">
        <w:rPr>
          <w:bCs/>
          <w:i/>
          <w:iCs/>
        </w:rPr>
        <w:t xml:space="preserve">Similarly, articles excluded by 2.1.1.2.2 </w:t>
      </w:r>
      <w:r>
        <w:rPr>
          <w:bCs/>
          <w:i/>
          <w:iCs/>
        </w:rPr>
        <w:t>(</w:t>
      </w:r>
      <w:r w:rsidR="00E24E95" w:rsidRPr="00B36363">
        <w:rPr>
          <w:bCs/>
          <w:i/>
          <w:iCs/>
        </w:rPr>
        <w:t xml:space="preserve">d) may still pose an explosion hazard which should be conveyed in </w:t>
      </w:r>
      <w:r>
        <w:rPr>
          <w:bCs/>
          <w:i/>
          <w:iCs/>
        </w:rPr>
        <w:t>s</w:t>
      </w:r>
      <w:r w:rsidRPr="00B36363">
        <w:rPr>
          <w:bCs/>
          <w:i/>
          <w:iCs/>
        </w:rPr>
        <w:t>ub</w:t>
      </w:r>
      <w:r w:rsidR="00E24E95" w:rsidRPr="00B36363">
        <w:rPr>
          <w:bCs/>
          <w:i/>
          <w:iCs/>
        </w:rPr>
        <w:t>-section 2.3 of the Safety Data Sheet, and in other sections as appropriate.</w:t>
      </w:r>
    </w:p>
    <w:p w14:paraId="1F9A331C" w14:textId="77777777" w:rsidR="00E24E95" w:rsidRPr="00B36363" w:rsidRDefault="00E24E95" w:rsidP="00B36363">
      <w:pPr>
        <w:pStyle w:val="SingleTxtG"/>
        <w:tabs>
          <w:tab w:val="left" w:pos="2268"/>
        </w:tabs>
        <w:rPr>
          <w:b/>
          <w:bCs/>
        </w:rPr>
      </w:pPr>
      <w:r w:rsidRPr="00B36363">
        <w:rPr>
          <w:b/>
          <w:bCs/>
        </w:rPr>
        <w:t xml:space="preserve">2.1.4 </w:t>
      </w:r>
      <w:r w:rsidRPr="00B36363">
        <w:rPr>
          <w:b/>
          <w:bCs/>
        </w:rPr>
        <w:tab/>
        <w:t>Decision logic and guidance</w:t>
      </w:r>
    </w:p>
    <w:p w14:paraId="79A76F7E" w14:textId="77777777" w:rsidR="00E24E95" w:rsidRPr="00BA65B3" w:rsidRDefault="00B36363" w:rsidP="00B36363">
      <w:pPr>
        <w:pStyle w:val="SingleTxtG"/>
        <w:tabs>
          <w:tab w:val="left" w:pos="2268"/>
        </w:tabs>
      </w:pPr>
      <w:r>
        <w:tab/>
      </w:r>
      <w:r w:rsidR="00E24E95" w:rsidRPr="00BA65B3">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14:paraId="276D2910" w14:textId="77777777" w:rsidR="00E24E95" w:rsidRPr="00B36363" w:rsidRDefault="00E24E95" w:rsidP="00B36363">
      <w:pPr>
        <w:pStyle w:val="SingleTxtG"/>
        <w:tabs>
          <w:tab w:val="left" w:pos="2268"/>
        </w:tabs>
        <w:rPr>
          <w:b/>
          <w:bCs/>
          <w:i/>
          <w:iCs/>
        </w:rPr>
      </w:pPr>
      <w:r w:rsidRPr="00B36363">
        <w:rPr>
          <w:b/>
          <w:bCs/>
        </w:rPr>
        <w:t xml:space="preserve">2.1.4.1 </w:t>
      </w:r>
      <w:r w:rsidRPr="00B36363">
        <w:rPr>
          <w:b/>
          <w:bCs/>
        </w:rPr>
        <w:tab/>
      </w:r>
      <w:r w:rsidRPr="00B36363">
        <w:rPr>
          <w:b/>
          <w:bCs/>
          <w:i/>
          <w:iCs/>
        </w:rPr>
        <w:t>Decision logic</w:t>
      </w:r>
    </w:p>
    <w:p w14:paraId="21CD210F" w14:textId="77777777" w:rsidR="00E24E95" w:rsidRPr="00FC06C1" w:rsidRDefault="00E24E95" w:rsidP="00E24E95">
      <w:pPr>
        <w:ind w:left="1134" w:right="284"/>
        <w:rPr>
          <w:b/>
          <w:i/>
        </w:rPr>
      </w:pPr>
      <w:r w:rsidRPr="00BF291E">
        <w:rPr>
          <w:b/>
          <w:i/>
          <w:highlight w:val="lightGray"/>
        </w:rPr>
        <w:t>[</w:t>
      </w:r>
      <w:r w:rsidR="00B36363">
        <w:rPr>
          <w:b/>
          <w:i/>
          <w:highlight w:val="lightGray"/>
        </w:rPr>
        <w:t>to be developed</w:t>
      </w:r>
      <w:r w:rsidRPr="00BF291E">
        <w:rPr>
          <w:b/>
          <w:i/>
          <w:highlight w:val="lightGray"/>
        </w:rPr>
        <w:t>]</w:t>
      </w:r>
    </w:p>
    <w:p w14:paraId="5579F28C" w14:textId="77777777" w:rsidR="00B36363" w:rsidRDefault="00B36363" w:rsidP="00E24E95">
      <w:pPr>
        <w:ind w:left="1134" w:right="284"/>
        <w:rPr>
          <w:b/>
          <w:bCs/>
        </w:rPr>
      </w:pPr>
    </w:p>
    <w:p w14:paraId="425AC43E" w14:textId="77777777" w:rsidR="00E24E95" w:rsidRPr="00B36363" w:rsidRDefault="00E24E95">
      <w:pPr>
        <w:keepNext/>
        <w:keepLines/>
        <w:ind w:left="1134" w:right="284"/>
        <w:rPr>
          <w:b/>
          <w:bCs/>
        </w:rPr>
      </w:pPr>
      <w:r w:rsidRPr="00B36363">
        <w:rPr>
          <w:b/>
          <w:bCs/>
        </w:rPr>
        <w:lastRenderedPageBreak/>
        <w:t>2.1.4.2</w:t>
      </w:r>
      <w:r w:rsidRPr="00B36363">
        <w:rPr>
          <w:b/>
          <w:bCs/>
        </w:rPr>
        <w:tab/>
      </w:r>
      <w:r w:rsidRPr="00B36363">
        <w:rPr>
          <w:b/>
          <w:bCs/>
        </w:rPr>
        <w:tab/>
      </w:r>
      <w:r w:rsidRPr="00B36363">
        <w:rPr>
          <w:b/>
          <w:bCs/>
          <w:i/>
          <w:iCs/>
        </w:rPr>
        <w:t>Description of explosion hazard levels</w:t>
      </w:r>
    </w:p>
    <w:p w14:paraId="2F276121" w14:textId="77777777" w:rsidR="00E24E95" w:rsidRDefault="00E24E95">
      <w:pPr>
        <w:keepNext/>
        <w:keepLines/>
        <w:ind w:left="1134" w:right="284"/>
      </w:pP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131"/>
        <w:gridCol w:w="6799"/>
      </w:tblGrid>
      <w:tr w:rsidR="00E24E95" w14:paraId="31824524" w14:textId="77777777" w:rsidTr="00E24E95">
        <w:tc>
          <w:tcPr>
            <w:tcW w:w="846" w:type="dxa"/>
          </w:tcPr>
          <w:p w14:paraId="14C60A54" w14:textId="77777777" w:rsidR="00E24E95" w:rsidRPr="00E53EE2" w:rsidRDefault="00E24E95">
            <w:pPr>
              <w:keepNext/>
              <w:keepLines/>
              <w:ind w:right="284"/>
              <w:rPr>
                <w:b/>
              </w:rPr>
            </w:pPr>
            <w:r w:rsidRPr="00E53EE2">
              <w:rPr>
                <w:b/>
              </w:rPr>
              <w:t>Sub-category</w:t>
            </w:r>
          </w:p>
        </w:tc>
        <w:tc>
          <w:tcPr>
            <w:tcW w:w="6799" w:type="dxa"/>
          </w:tcPr>
          <w:p w14:paraId="0C86FC1B" w14:textId="77777777" w:rsidR="00E24E95" w:rsidRPr="00E53EE2" w:rsidRDefault="00E24E95">
            <w:pPr>
              <w:keepNext/>
              <w:keepLines/>
              <w:ind w:right="284"/>
              <w:rPr>
                <w:b/>
              </w:rPr>
            </w:pPr>
            <w:r w:rsidRPr="00E53EE2">
              <w:rPr>
                <w:b/>
              </w:rPr>
              <w:t>Explosion hazard level</w:t>
            </w:r>
          </w:p>
        </w:tc>
      </w:tr>
      <w:tr w:rsidR="00E24E95" w14:paraId="03430B7A" w14:textId="77777777" w:rsidTr="00E24E95">
        <w:tc>
          <w:tcPr>
            <w:tcW w:w="846" w:type="dxa"/>
            <w:vAlign w:val="center"/>
          </w:tcPr>
          <w:p w14:paraId="6DA34BCB" w14:textId="77777777" w:rsidR="00E24E95" w:rsidRDefault="00E24E95" w:rsidP="00ED626B">
            <w:pPr>
              <w:keepNext/>
              <w:keepLines/>
              <w:ind w:right="284"/>
            </w:pPr>
            <w:r>
              <w:t>2A</w:t>
            </w:r>
          </w:p>
        </w:tc>
        <w:tc>
          <w:tcPr>
            <w:tcW w:w="6799" w:type="dxa"/>
          </w:tcPr>
          <w:p w14:paraId="2C9FA328" w14:textId="77777777" w:rsidR="00E24E95" w:rsidRDefault="00E24E95" w:rsidP="00ED626B">
            <w:pPr>
              <w:keepNext/>
              <w:keepLines/>
            </w:pPr>
            <w:r w:rsidRPr="00E93BAC">
              <w:rPr>
                <w:color w:val="000000" w:themeColor="text1"/>
              </w:rPr>
              <w:t xml:space="preserve">Sub-category 2A represents a high explosion hazard. An explosive in this sub-category </w:t>
            </w:r>
            <w:r w:rsidRPr="00AD0C4B">
              <w:t xml:space="preserve">has the potential to </w:t>
            </w:r>
            <w:r w:rsidRPr="00E93BAC">
              <w:rPr>
                <w:color w:val="000000" w:themeColor="text1"/>
              </w:rPr>
              <w:t>cause complete destruction of objects and lethal or very severe injuries to persons</w:t>
            </w:r>
            <w:r>
              <w:rPr>
                <w:color w:val="000000" w:themeColor="text1"/>
              </w:rPr>
              <w:t>.</w:t>
            </w:r>
          </w:p>
        </w:tc>
      </w:tr>
      <w:tr w:rsidR="00E24E95" w14:paraId="3E4B8CEA" w14:textId="77777777" w:rsidTr="00E24E95">
        <w:tc>
          <w:tcPr>
            <w:tcW w:w="846" w:type="dxa"/>
            <w:vAlign w:val="center"/>
          </w:tcPr>
          <w:p w14:paraId="3E1C07E9" w14:textId="77777777" w:rsidR="00E24E95" w:rsidRDefault="00E24E95" w:rsidP="00ED626B">
            <w:pPr>
              <w:keepNext/>
              <w:keepLines/>
              <w:ind w:right="284"/>
            </w:pPr>
            <w:r>
              <w:t>2B</w:t>
            </w:r>
          </w:p>
        </w:tc>
        <w:tc>
          <w:tcPr>
            <w:tcW w:w="6799" w:type="dxa"/>
          </w:tcPr>
          <w:p w14:paraId="54683F27" w14:textId="77777777" w:rsidR="00E24E95" w:rsidRDefault="00E24E95" w:rsidP="00ED626B">
            <w:pPr>
              <w:keepNext/>
              <w:keepLines/>
            </w:pPr>
            <w:r w:rsidRPr="00E93BAC">
              <w:rPr>
                <w:color w:val="000000" w:themeColor="text1"/>
              </w:rPr>
              <w:t>Sub-category 2B represents a medium explosion hazard.</w:t>
            </w:r>
            <w:r w:rsidRPr="00E93BAC">
              <w:rPr>
                <w:color w:val="CC0000"/>
              </w:rPr>
              <w:t xml:space="preserve"> </w:t>
            </w:r>
            <w:r w:rsidRPr="00E93BAC">
              <w:rPr>
                <w:color w:val="000000" w:themeColor="text1"/>
              </w:rPr>
              <w:t xml:space="preserve">An explosive in this sub-category </w:t>
            </w:r>
            <w:r>
              <w:rPr>
                <w:color w:val="000000" w:themeColor="text1"/>
              </w:rPr>
              <w:t>has the potential to</w:t>
            </w:r>
            <w:r w:rsidRPr="00E93BAC">
              <w:rPr>
                <w:color w:val="000000" w:themeColor="text1"/>
              </w:rPr>
              <w:t xml:space="preserve"> cause serious damage to objects and</w:t>
            </w:r>
            <w:r w:rsidRPr="00E93BAC">
              <w:rPr>
                <w:color w:val="CC0000"/>
              </w:rPr>
              <w:t xml:space="preserve"> </w:t>
            </w:r>
            <w:r w:rsidRPr="00AD0C4B">
              <w:t xml:space="preserve">serious injuries </w:t>
            </w:r>
            <w:r w:rsidRPr="00E93BAC">
              <w:rPr>
                <w:color w:val="000000" w:themeColor="text1"/>
              </w:rPr>
              <w:t>to persons</w:t>
            </w:r>
            <w:r>
              <w:rPr>
                <w:color w:val="000000" w:themeColor="text1"/>
              </w:rPr>
              <w:t>.</w:t>
            </w:r>
            <w:r w:rsidRPr="00E93BAC">
              <w:rPr>
                <w:color w:val="000000" w:themeColor="text1"/>
              </w:rPr>
              <w:t xml:space="preserve"> Injuries may result in permanent impairment.</w:t>
            </w:r>
          </w:p>
        </w:tc>
      </w:tr>
      <w:tr w:rsidR="00E24E95" w14:paraId="1E84DED1" w14:textId="77777777" w:rsidTr="00E24E95">
        <w:tc>
          <w:tcPr>
            <w:tcW w:w="846" w:type="dxa"/>
            <w:vAlign w:val="center"/>
          </w:tcPr>
          <w:p w14:paraId="7369CD5D" w14:textId="77777777" w:rsidR="00E24E95" w:rsidRDefault="00E24E95" w:rsidP="00ED626B">
            <w:pPr>
              <w:keepNext/>
              <w:keepLines/>
              <w:ind w:right="284"/>
            </w:pPr>
            <w:r>
              <w:t>2C</w:t>
            </w:r>
          </w:p>
        </w:tc>
        <w:tc>
          <w:tcPr>
            <w:tcW w:w="6799" w:type="dxa"/>
          </w:tcPr>
          <w:p w14:paraId="3CF85941" w14:textId="77777777" w:rsidR="00E24E95" w:rsidRDefault="00E24E95" w:rsidP="00ED626B">
            <w:pPr>
              <w:keepNext/>
              <w:keepLines/>
            </w:pPr>
            <w:r w:rsidRPr="00E93BAC">
              <w:rPr>
                <w:color w:val="000000" w:themeColor="text1"/>
              </w:rPr>
              <w:t>Sub-category 2C represents a low explosion hazard.</w:t>
            </w:r>
            <w:r w:rsidRPr="00E93BAC">
              <w:rPr>
                <w:color w:val="CC0000"/>
              </w:rPr>
              <w:t xml:space="preserve"> </w:t>
            </w:r>
            <w:r w:rsidRPr="00E93BAC">
              <w:rPr>
                <w:color w:val="000000" w:themeColor="text1"/>
              </w:rPr>
              <w:t>An explosive in this sub-category can cause minor damage to objects a</w:t>
            </w:r>
            <w:r>
              <w:rPr>
                <w:color w:val="000000" w:themeColor="text1"/>
              </w:rPr>
              <w:t xml:space="preserve">nd moderate injuries to persons. </w:t>
            </w:r>
            <w:r w:rsidRPr="00E93BAC">
              <w:rPr>
                <w:color w:val="000000" w:themeColor="text1"/>
              </w:rPr>
              <w:t>Injuries would not normally result in permanent impairment</w:t>
            </w:r>
            <w:r w:rsidRPr="0096310B">
              <w:t>.</w:t>
            </w:r>
          </w:p>
        </w:tc>
      </w:tr>
    </w:tbl>
    <w:p w14:paraId="6A64C759" w14:textId="77777777" w:rsidR="00E24E95" w:rsidRPr="00B36363" w:rsidRDefault="00E24E95" w:rsidP="00B36363">
      <w:pPr>
        <w:pStyle w:val="SingleTxtG"/>
        <w:tabs>
          <w:tab w:val="left" w:pos="2268"/>
        </w:tabs>
        <w:spacing w:before="240"/>
        <w:rPr>
          <w:b/>
          <w:bCs/>
        </w:rPr>
      </w:pPr>
      <w:r w:rsidRPr="00B36363">
        <w:rPr>
          <w:b/>
          <w:bCs/>
        </w:rPr>
        <w:t>2.1.4.3</w:t>
      </w:r>
      <w:r w:rsidRPr="00B36363">
        <w:rPr>
          <w:b/>
          <w:bCs/>
        </w:rPr>
        <w:tab/>
      </w:r>
      <w:r w:rsidRPr="00B36363">
        <w:rPr>
          <w:b/>
          <w:bCs/>
        </w:rPr>
        <w:tab/>
        <w:t>Principles of explosives classification</w:t>
      </w:r>
    </w:p>
    <w:p w14:paraId="37408FDA" w14:textId="77777777" w:rsidR="00B36363" w:rsidRDefault="00E24E95" w:rsidP="00B36363">
      <w:pPr>
        <w:pStyle w:val="SingleTxtG"/>
        <w:rPr>
          <w:i/>
        </w:rPr>
      </w:pPr>
      <w:r>
        <w:t>2.1.4.3.1</w:t>
      </w:r>
      <w:r>
        <w:tab/>
      </w:r>
      <w:r w:rsidRPr="00E53EE2">
        <w:rPr>
          <w:i/>
        </w:rPr>
        <w:t>Assigning explosives to divisions by testing</w:t>
      </w:r>
    </w:p>
    <w:p w14:paraId="42DB74F6" w14:textId="77777777" w:rsidR="00E24E95" w:rsidRPr="00E53EE2" w:rsidRDefault="00B36363" w:rsidP="00B36363">
      <w:pPr>
        <w:pStyle w:val="SingleTxtG"/>
        <w:tabs>
          <w:tab w:val="left" w:pos="2268"/>
        </w:tabs>
      </w:pPr>
      <w:r>
        <w:tab/>
      </w:r>
      <w:r w:rsidR="00E24E95" w:rsidRPr="00E53EE2">
        <w:t xml:space="preserve">Explosives are assigned to divisions based on testing of specific configurations, which quantifies levels of blast, projections and fire. Formation of a configuration provides a level of protection from outside stimuli and fixes the sensitivity and hazard magnitude, which enables the assignment to a division. The divisions therefore describe the explosive behaviour in the </w:t>
      </w:r>
      <w:proofErr w:type="gramStart"/>
      <w:r w:rsidR="00E24E95" w:rsidRPr="00E53EE2">
        <w:t>particular configuration</w:t>
      </w:r>
      <w:proofErr w:type="gramEnd"/>
      <w:r w:rsidR="00E24E95" w:rsidRPr="00E53EE2">
        <w:t xml:space="preserve">. Such descriptions reflect attenuating properties of the packaging and article, which may include spacing, or specific orientations of explosive articles to mitigate an explosive effect. The configuration is further controlled by design and packaging requirements specified in the </w:t>
      </w:r>
      <w:r w:rsidR="00E24E95" w:rsidRPr="00E53EE2">
        <w:rPr>
          <w:i/>
        </w:rPr>
        <w:t>UN Model Regulations</w:t>
      </w:r>
      <w:r w:rsidR="00E24E95" w:rsidRPr="00E53EE2">
        <w:t>. Although divisions are not valid outside of the configurations to which they were assigned, they may still be used as a basis for regulatory measures in storage and handling when these configurations are modified. This normally presumes that additional safety measures are taken to account for the modified configurations, e.g. aggregate quantity limits and protective building designs.</w:t>
      </w:r>
    </w:p>
    <w:p w14:paraId="7822E83E" w14:textId="77777777" w:rsidR="00B36363" w:rsidRPr="00B36363" w:rsidRDefault="00E24E95" w:rsidP="00B36363">
      <w:pPr>
        <w:pStyle w:val="SingleTxtG"/>
        <w:rPr>
          <w:i/>
          <w:iCs/>
        </w:rPr>
      </w:pPr>
      <w:r>
        <w:t>2.1.4.3.2</w:t>
      </w:r>
      <w:r>
        <w:tab/>
      </w:r>
      <w:r w:rsidRPr="00B36363">
        <w:rPr>
          <w:i/>
          <w:iCs/>
        </w:rPr>
        <w:t>Assigning explosive to divisions based on analogy</w:t>
      </w:r>
    </w:p>
    <w:p w14:paraId="6E347B6C" w14:textId="77777777" w:rsidR="00E24E95" w:rsidRDefault="00B36363" w:rsidP="00B36363">
      <w:pPr>
        <w:pStyle w:val="SingleTxtG"/>
        <w:tabs>
          <w:tab w:val="left" w:pos="2268"/>
        </w:tabs>
      </w:pPr>
      <w:r>
        <w:tab/>
      </w:r>
      <w:r w:rsidR="00E24E95" w:rsidRPr="00E53EE2">
        <w:t>While classification in a division or a sub-category is based on testing in accordance with Part I of the Manual of Tests and Criteria, similar explosives configurations may be classified without testing, where appropriate, based on analogy to tested explosives. The use of analogy should take into consideration whether changes to the configuration may affect the hazard posed compared to the tested configuration, and is narrowly limited according to the quantity, packaging and design of the explosive.</w:t>
      </w:r>
    </w:p>
    <w:p w14:paraId="6E6FC376" w14:textId="77777777" w:rsidR="00E24E95" w:rsidRDefault="00E24E95" w:rsidP="00B36363">
      <w:pPr>
        <w:spacing w:after="240"/>
        <w:ind w:left="1134" w:right="284"/>
      </w:pPr>
      <w:r>
        <w:t>2.1.4.3.3</w:t>
      </w:r>
      <w:r>
        <w:tab/>
      </w:r>
      <w:r w:rsidRPr="00E53EE2">
        <w:rPr>
          <w:i/>
        </w:rPr>
        <w:t>Assigning explosives to sub-categories</w:t>
      </w:r>
    </w:p>
    <w:p w14:paraId="50AA6EFE" w14:textId="77777777" w:rsidR="00E24E95" w:rsidRDefault="00B36363" w:rsidP="00B36363">
      <w:pPr>
        <w:pStyle w:val="SingleTxtG"/>
        <w:tabs>
          <w:tab w:val="left" w:pos="2268"/>
        </w:tabs>
      </w:pPr>
      <w:r>
        <w:t>2.1.4.3.3.1</w:t>
      </w:r>
      <w:r>
        <w:tab/>
      </w:r>
      <w:r>
        <w:tab/>
        <w:t>A</w:t>
      </w:r>
      <w:r w:rsidR="00E24E95">
        <w:t>ssignment to sub</w:t>
      </w:r>
      <w:r>
        <w:t>-</w:t>
      </w:r>
      <w:r w:rsidR="00E24E95">
        <w:t xml:space="preserve">categories within Category 2 builds on the information provided by the division to better reflect the hazard of the explosive in its primary packaging, which is intended to be retained until use. The primary packaging is all or part of the original tested configuration. It is normally the immediate container or the innermost packaging layer and may include attenuating properties which mitigate hazardous effects. However, only flexible inner packaging such as a thin-wall plastic bag or other unsubstantial material which provides negligible attenuation of explosive effects should not be considered the primary packaging. As explosives are unpackaged from their primary </w:t>
      </w:r>
      <w:proofErr w:type="gramStart"/>
      <w:r w:rsidR="00E24E95">
        <w:t>packaging</w:t>
      </w:r>
      <w:proofErr w:type="gramEnd"/>
      <w:r w:rsidR="00E24E95">
        <w:t xml:space="preserve"> they may present greater sensitivity or blast, projection or fire hazards. Retaining the primary packaging until use and limiting the </w:t>
      </w:r>
      <w:proofErr w:type="gramStart"/>
      <w:r w:rsidR="00E24E95">
        <w:t>amount</w:t>
      </w:r>
      <w:proofErr w:type="gramEnd"/>
      <w:r w:rsidR="00E24E95">
        <w:t xml:space="preserve"> of unpacked explosives are therefore generally important safety measures when handling explosives. When an explosive is installed or deployed and is later removed from use without initiation, it should be replaced in its primary packaging or an identical primary packaging.</w:t>
      </w:r>
    </w:p>
    <w:p w14:paraId="3570DA1F" w14:textId="77777777" w:rsidR="00E24E95" w:rsidRDefault="00B36363" w:rsidP="00B36363">
      <w:pPr>
        <w:pStyle w:val="SingleTxtG"/>
      </w:pPr>
      <w:r>
        <w:t>2.1.4.3.3.2</w:t>
      </w:r>
      <w:r>
        <w:tab/>
      </w:r>
      <w:r w:rsidR="00E24E95">
        <w:t xml:space="preserve">Multiple explosive articles may sometimes be supplied where they are in direct contact without any intervening packaging material or spacing, or critical orientation. </w:t>
      </w:r>
      <w:r w:rsidR="00E24E95">
        <w:lastRenderedPageBreak/>
        <w:t>Provided all applicable classification evaluation occurred in this configuration, their primary packaging can be discarded without affecting the classification.</w:t>
      </w:r>
    </w:p>
    <w:p w14:paraId="456C948E" w14:textId="77777777" w:rsidR="00E24E95" w:rsidRDefault="00B36363" w:rsidP="00B36363">
      <w:pPr>
        <w:pStyle w:val="SingleTxtG"/>
      </w:pPr>
      <w:r>
        <w:t>2.1.4.3.3.3</w:t>
      </w:r>
      <w:r>
        <w:tab/>
      </w:r>
      <w:r w:rsidR="00E24E95">
        <w:t xml:space="preserve">Occasionally, larger explosive articles are supplied without any packaging, e.g. in a handling device such as a cradle. In these </w:t>
      </w:r>
      <w:proofErr w:type="gramStart"/>
      <w:r w:rsidR="00E24E95">
        <w:t>cases</w:t>
      </w:r>
      <w:proofErr w:type="gramEnd"/>
      <w:r w:rsidR="00E24E95">
        <w:t xml:space="preserve"> there may be no primary packaging, i.e. the classification is of the article as such. Handling devices that do not affect the classification can be discarded.</w:t>
      </w:r>
    </w:p>
    <w:p w14:paraId="718BD563" w14:textId="77777777" w:rsidR="00E24E95" w:rsidRPr="00E53EE2" w:rsidRDefault="00E24E95" w:rsidP="000F74A6">
      <w:pPr>
        <w:pStyle w:val="SingleTxtG"/>
        <w:keepNext/>
        <w:keepLines/>
      </w:pPr>
      <w:r>
        <w:t>2.1.4.3.4</w:t>
      </w:r>
      <w:r>
        <w:tab/>
      </w:r>
      <w:r w:rsidRPr="00B36363">
        <w:rPr>
          <w:i/>
          <w:iCs/>
        </w:rPr>
        <w:t>Classification during explosives manufacturing and processing</w:t>
      </w:r>
    </w:p>
    <w:p w14:paraId="1C8633F3" w14:textId="77777777" w:rsidR="00E24E95" w:rsidRPr="00E53EE2" w:rsidRDefault="00B36363" w:rsidP="000F74A6">
      <w:pPr>
        <w:pStyle w:val="SingleTxtG"/>
        <w:keepNext/>
        <w:keepLines/>
        <w:tabs>
          <w:tab w:val="left" w:pos="2268"/>
        </w:tabs>
      </w:pPr>
      <w:r>
        <w:tab/>
      </w:r>
      <w:r w:rsidR="00E24E95" w:rsidRPr="00E53EE2">
        <w:t>Explosives in manufacturing and processing cannot be assigned to a division until configured for transport, and hence are assigned to Category 1. Similarly, explosives assigned to Category 2 when taken out of their primary packaging for purposes other than use, are re-assigned to Category 1</w:t>
      </w:r>
      <w:r w:rsidR="00E24E95">
        <w:t xml:space="preserve"> (unless their primary packaging can be discarded, see </w:t>
      </w:r>
      <w:r w:rsidR="00E24E95" w:rsidRPr="006C759B">
        <w:t>2.1.4.3.3).</w:t>
      </w:r>
      <w:r w:rsidR="00E24E95" w:rsidRPr="00E53EE2">
        <w:t xml:space="preserve"> The sensitivity and hazard severity of unpackaged explosives in manufacturing and processing is dependent on non-intrinsic parameters related to the methods used, including quantity, depth, confinement, initiation stimulus, composition, physical state such as particle size, etc. The hazards posed by explosives in Category 1 thus vary extensively and may also vary dynamically as they flow through a process. For these reasons, the hazard communication for Category 1 cannot provide any details regarding the explosive behaviour. Process hazards analysis and risk management principles should be applied in </w:t>
      </w:r>
      <w:r w:rsidR="00E24E95">
        <w:t>these cases</w:t>
      </w:r>
      <w:r w:rsidR="00E24E95" w:rsidRPr="00E53EE2">
        <w:t xml:space="preserve"> to identify and manage the risk of processes in accordance with best practices and applicable regulations.</w:t>
      </w:r>
    </w:p>
    <w:p w14:paraId="6383A3DA" w14:textId="77777777" w:rsidR="00E24E95" w:rsidRPr="00E53EE2" w:rsidRDefault="00E24E95" w:rsidP="00B36363">
      <w:pPr>
        <w:spacing w:after="240"/>
        <w:ind w:left="1134" w:right="284"/>
      </w:pPr>
      <w:r>
        <w:t>2.1.4.3.5</w:t>
      </w:r>
      <w:r>
        <w:tab/>
      </w:r>
      <w:r w:rsidRPr="00E53EE2">
        <w:rPr>
          <w:i/>
        </w:rPr>
        <w:t>Safety during explosives manufacturing and processing</w:t>
      </w:r>
    </w:p>
    <w:p w14:paraId="4C31D356" w14:textId="77777777" w:rsidR="00E24E95" w:rsidRDefault="00B36363" w:rsidP="00B36363">
      <w:pPr>
        <w:pStyle w:val="SingleTxtG"/>
        <w:tabs>
          <w:tab w:val="left" w:pos="2268"/>
        </w:tabs>
      </w:pPr>
      <w:r>
        <w:tab/>
      </w:r>
      <w:r w:rsidR="00E24E95" w:rsidRPr="00E53EE2">
        <w:t>Category 1 also includes explosives that fail Test series 3 or 4 as configured, having an unacceptable level of sensitivity to stimuli encountered during transport. These tests and their thresholds may not be representative of the energy levels encountered during explosives processing and manufacturing, and do not include all types of stimuli that may be encountered, such as electrostatic discharge. Therefore, further investigations of the properties of the explosive at hand and appropriate risk management are needed for safe processing and handling.</w:t>
      </w:r>
      <w:r w:rsidR="00260F97">
        <w:t>”</w:t>
      </w:r>
    </w:p>
    <w:p w14:paraId="2E856EB9" w14:textId="77777777" w:rsidR="00E24E95" w:rsidRDefault="00E24E95" w:rsidP="00B36363">
      <w:pPr>
        <w:pStyle w:val="SingleTxtG"/>
        <w:rPr>
          <w:b/>
          <w:sz w:val="24"/>
        </w:rPr>
      </w:pPr>
      <w:r>
        <w:rPr>
          <w:b/>
          <w:sz w:val="24"/>
        </w:rPr>
        <w:br w:type="page"/>
      </w:r>
    </w:p>
    <w:p w14:paraId="4FF578F0" w14:textId="77777777" w:rsidR="00E24E95" w:rsidRPr="002B7AD2" w:rsidRDefault="00B36363" w:rsidP="00E24E95">
      <w:pPr>
        <w:pStyle w:val="HChG"/>
      </w:pPr>
      <w:r>
        <w:lastRenderedPageBreak/>
        <w:tab/>
      </w:r>
      <w:r>
        <w:tab/>
      </w:r>
      <w:r w:rsidR="00E24E95" w:rsidRPr="002B7AD2">
        <w:t>Annex II</w:t>
      </w:r>
    </w:p>
    <w:p w14:paraId="172D5ED7" w14:textId="77777777" w:rsidR="00E24E95" w:rsidRPr="002B7AD2" w:rsidRDefault="00E24E95" w:rsidP="00E24E95">
      <w:pPr>
        <w:pStyle w:val="HChG"/>
      </w:pPr>
      <w:r>
        <w:tab/>
      </w:r>
      <w:r>
        <w:tab/>
      </w:r>
      <w:r w:rsidRPr="002B7AD2">
        <w:t xml:space="preserve">Amendments to </w:t>
      </w:r>
      <w:r>
        <w:t>GHS Annex 3, Section 1</w:t>
      </w:r>
    </w:p>
    <w:p w14:paraId="429C14CE" w14:textId="77777777" w:rsidR="00E24E95" w:rsidRDefault="00B36363" w:rsidP="00E24E95">
      <w:pPr>
        <w:ind w:right="284"/>
      </w:pPr>
      <w:r>
        <w:tab/>
      </w:r>
      <w:r>
        <w:tab/>
        <w:t xml:space="preserve">Amend table </w:t>
      </w:r>
      <w:r w:rsidR="00E24E95">
        <w:t>A3.1.1</w:t>
      </w:r>
      <w:r>
        <w:t xml:space="preserve"> as follows (changes are indicated):</w:t>
      </w:r>
    </w:p>
    <w:p w14:paraId="78D6ED3D" w14:textId="77777777" w:rsidR="00E24E95" w:rsidRDefault="00E24E95" w:rsidP="00E24E95">
      <w:pPr>
        <w:ind w:right="284"/>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827"/>
        <w:gridCol w:w="2632"/>
        <w:gridCol w:w="1776"/>
      </w:tblGrid>
      <w:tr w:rsidR="00E24E95" w:rsidRPr="00B36363" w14:paraId="063F1671" w14:textId="77777777" w:rsidTr="00E24E95">
        <w:trPr>
          <w:cantSplit/>
          <w:trHeight w:val="570"/>
          <w:tblHeader/>
          <w:jc w:val="center"/>
        </w:trPr>
        <w:tc>
          <w:tcPr>
            <w:tcW w:w="709" w:type="dxa"/>
            <w:tcBorders>
              <w:top w:val="single" w:sz="4" w:space="0" w:color="auto"/>
              <w:left w:val="single" w:sz="4" w:space="0" w:color="auto"/>
              <w:bottom w:val="nil"/>
              <w:right w:val="single" w:sz="4" w:space="0" w:color="auto"/>
            </w:tcBorders>
            <w:noWrap/>
            <w:tcMar>
              <w:top w:w="6" w:type="dxa"/>
              <w:left w:w="6" w:type="dxa"/>
              <w:bottom w:w="6" w:type="dxa"/>
              <w:right w:w="6" w:type="dxa"/>
            </w:tcMar>
            <w:hideMark/>
          </w:tcPr>
          <w:p w14:paraId="68582529"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Code</w:t>
            </w:r>
          </w:p>
        </w:tc>
        <w:tc>
          <w:tcPr>
            <w:tcW w:w="3827" w:type="dxa"/>
            <w:tcBorders>
              <w:top w:val="single" w:sz="4" w:space="0" w:color="auto"/>
              <w:left w:val="single" w:sz="4" w:space="0" w:color="auto"/>
              <w:bottom w:val="nil"/>
              <w:right w:val="single" w:sz="4" w:space="0" w:color="auto"/>
            </w:tcBorders>
            <w:noWrap/>
            <w:tcMar>
              <w:top w:w="6" w:type="dxa"/>
              <w:left w:w="6" w:type="dxa"/>
              <w:bottom w:w="6" w:type="dxa"/>
              <w:right w:w="6" w:type="dxa"/>
            </w:tcMar>
            <w:hideMark/>
          </w:tcPr>
          <w:p w14:paraId="1896743B"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Physical hazard statements</w:t>
            </w:r>
          </w:p>
        </w:tc>
        <w:tc>
          <w:tcPr>
            <w:tcW w:w="2632" w:type="dxa"/>
            <w:tcBorders>
              <w:top w:val="single" w:sz="4" w:space="0" w:color="auto"/>
              <w:left w:val="single" w:sz="4" w:space="0" w:color="auto"/>
              <w:bottom w:val="nil"/>
              <w:right w:val="single" w:sz="4" w:space="0" w:color="auto"/>
            </w:tcBorders>
            <w:tcMar>
              <w:top w:w="6" w:type="dxa"/>
              <w:left w:w="6" w:type="dxa"/>
              <w:bottom w:w="6" w:type="dxa"/>
              <w:right w:w="6" w:type="dxa"/>
            </w:tcMar>
            <w:hideMark/>
          </w:tcPr>
          <w:p w14:paraId="5EF5C935"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Hazard class (GHS chapter)</w:t>
            </w:r>
          </w:p>
        </w:tc>
        <w:tc>
          <w:tcPr>
            <w:tcW w:w="1776" w:type="dxa"/>
            <w:tcBorders>
              <w:top w:val="single" w:sz="4" w:space="0" w:color="auto"/>
              <w:left w:val="single" w:sz="4" w:space="0" w:color="auto"/>
              <w:bottom w:val="nil"/>
              <w:right w:val="single" w:sz="4" w:space="0" w:color="auto"/>
            </w:tcBorders>
            <w:tcMar>
              <w:top w:w="6" w:type="dxa"/>
              <w:left w:w="6" w:type="dxa"/>
              <w:bottom w:w="6" w:type="dxa"/>
              <w:right w:w="6" w:type="dxa"/>
            </w:tcMar>
            <w:hideMark/>
          </w:tcPr>
          <w:p w14:paraId="1634E4ED"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 xml:space="preserve">Hazard </w:t>
            </w:r>
            <w:r w:rsidRPr="00B36363">
              <w:rPr>
                <w:rFonts w:asciiTheme="majorBidi" w:hAnsiTheme="majorBidi" w:cstheme="majorBidi"/>
                <w:b/>
              </w:rPr>
              <w:br/>
              <w:t>category</w:t>
            </w:r>
          </w:p>
        </w:tc>
      </w:tr>
      <w:tr w:rsidR="00E24E95" w:rsidRPr="00B36363" w14:paraId="250F8588"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hideMark/>
          </w:tcPr>
          <w:p w14:paraId="3D4CA553"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(1)</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hideMark/>
          </w:tcPr>
          <w:p w14:paraId="406F2470"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(2)</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hideMark/>
          </w:tcPr>
          <w:p w14:paraId="02D5BAE0"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(3)</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hideMark/>
          </w:tcPr>
          <w:p w14:paraId="5C6EE336"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rPr>
              <w:t>(4)</w:t>
            </w:r>
          </w:p>
        </w:tc>
      </w:tr>
      <w:tr w:rsidR="00E24E95" w:rsidRPr="00B36363" w14:paraId="2E17839F"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5F828700"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H20</w:t>
            </w:r>
            <w:r w:rsidRPr="000F74A6">
              <w:rPr>
                <w:rFonts w:asciiTheme="majorBidi" w:hAnsiTheme="majorBidi" w:cstheme="majorBidi"/>
                <w:bCs/>
              </w:rPr>
              <w:t>0</w:t>
            </w:r>
          </w:p>
          <w:p w14:paraId="2D81E79D" w14:textId="77777777" w:rsidR="00E24E95" w:rsidRPr="00B36363" w:rsidRDefault="00E24E95" w:rsidP="00E24E95">
            <w:pPr>
              <w:spacing w:before="40" w:after="40"/>
              <w:jc w:val="center"/>
              <w:rPr>
                <w:rFonts w:asciiTheme="majorBidi" w:hAnsiTheme="majorBidi" w:cstheme="majorBidi"/>
                <w:b/>
                <w:u w:val="single"/>
              </w:rPr>
            </w:pPr>
            <w:r w:rsidRPr="00B36363">
              <w:rPr>
                <w:rFonts w:asciiTheme="majorBidi" w:hAnsiTheme="majorBidi" w:cstheme="majorBidi"/>
                <w:b/>
                <w:u w:val="single"/>
              </w:rPr>
              <w:t>Deleted</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6B9F38FD" w14:textId="77777777" w:rsidR="00E24E95" w:rsidRPr="00B36363" w:rsidRDefault="00E24E95" w:rsidP="00E24E95">
            <w:pPr>
              <w:spacing w:before="40" w:after="40"/>
              <w:ind w:left="80"/>
              <w:rPr>
                <w:rFonts w:asciiTheme="majorBidi" w:hAnsiTheme="majorBidi" w:cstheme="majorBidi"/>
                <w:b/>
                <w:strike/>
              </w:rPr>
            </w:pPr>
            <w:r w:rsidRPr="00B36363">
              <w:rPr>
                <w:rFonts w:asciiTheme="majorBidi" w:hAnsiTheme="majorBidi" w:cstheme="majorBidi"/>
                <w:b/>
                <w:strike/>
                <w:snapToGrid w:val="0"/>
              </w:rPr>
              <w:t>Unstable explosive</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565A42A3"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5FBB4373"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Unstable explosive</w:t>
            </w:r>
          </w:p>
        </w:tc>
      </w:tr>
      <w:tr w:rsidR="00E24E95" w:rsidRPr="00B36363" w14:paraId="245B32D6"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5721335E"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H201</w:t>
            </w:r>
          </w:p>
          <w:p w14:paraId="2FBC775D"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u w:val="single"/>
              </w:rPr>
              <w:t>Deleted</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6C3BF8EF" w14:textId="77777777" w:rsidR="00E24E95" w:rsidRPr="00B36363" w:rsidRDefault="00E24E95" w:rsidP="00E24E95">
            <w:pPr>
              <w:spacing w:before="40" w:after="40"/>
              <w:ind w:left="80"/>
              <w:rPr>
                <w:rFonts w:asciiTheme="majorBidi" w:hAnsiTheme="majorBidi" w:cstheme="majorBidi"/>
                <w:b/>
                <w:strike/>
              </w:rPr>
            </w:pPr>
            <w:r w:rsidRPr="00B36363">
              <w:rPr>
                <w:rFonts w:asciiTheme="majorBidi" w:hAnsiTheme="majorBidi" w:cstheme="majorBidi"/>
                <w:b/>
                <w:strike/>
              </w:rPr>
              <w:t>Explosive; mass explosion hazard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53C9D3F9"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00D5C7B6"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Division 1.1</w:t>
            </w:r>
          </w:p>
        </w:tc>
      </w:tr>
      <w:tr w:rsidR="00E24E95" w:rsidRPr="00B36363" w14:paraId="69083164"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59BA0B8A"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H202</w:t>
            </w:r>
          </w:p>
          <w:p w14:paraId="5159A3A2"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u w:val="single"/>
              </w:rPr>
              <w:t>Deleted</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6E74E9F" w14:textId="77777777" w:rsidR="00E24E95" w:rsidRPr="00B36363" w:rsidRDefault="00E24E95" w:rsidP="00E24E95">
            <w:pPr>
              <w:spacing w:before="40" w:after="40"/>
              <w:ind w:left="80"/>
              <w:rPr>
                <w:rFonts w:asciiTheme="majorBidi" w:hAnsiTheme="majorBidi" w:cstheme="majorBidi"/>
                <w:b/>
                <w:strike/>
              </w:rPr>
            </w:pPr>
            <w:r w:rsidRPr="00B36363">
              <w:rPr>
                <w:rFonts w:asciiTheme="majorBidi" w:hAnsiTheme="majorBidi" w:cstheme="majorBidi"/>
                <w:b/>
                <w:strike/>
              </w:rPr>
              <w:t>Explosive; severe projection hazard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22C022A0"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3FFD0727"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Division 1.2</w:t>
            </w:r>
          </w:p>
        </w:tc>
      </w:tr>
      <w:tr w:rsidR="00E24E95" w:rsidRPr="00B36363" w14:paraId="6A44E5FA"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A5BBB71"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H203</w:t>
            </w:r>
          </w:p>
          <w:p w14:paraId="2C32D065"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u w:val="single"/>
              </w:rPr>
              <w:t>Deleted</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34716D5C" w14:textId="77777777" w:rsidR="00E24E95" w:rsidRPr="00B36363" w:rsidRDefault="00E24E95" w:rsidP="00E24E95">
            <w:pPr>
              <w:spacing w:before="40" w:after="40"/>
              <w:ind w:left="80"/>
              <w:rPr>
                <w:rFonts w:asciiTheme="majorBidi" w:hAnsiTheme="majorBidi" w:cstheme="majorBidi"/>
                <w:b/>
                <w:strike/>
              </w:rPr>
            </w:pPr>
            <w:r w:rsidRPr="00B36363">
              <w:rPr>
                <w:rFonts w:asciiTheme="majorBidi" w:hAnsiTheme="majorBidi" w:cstheme="majorBidi"/>
                <w:b/>
                <w:strike/>
              </w:rPr>
              <w:t>Explosive; fire, blast or projection hazard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E7D44E0"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26C83924"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Division 1.3</w:t>
            </w:r>
          </w:p>
        </w:tc>
      </w:tr>
      <w:tr w:rsidR="00E24E95" w:rsidRPr="00B36363" w14:paraId="26133D69"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037A818"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H204</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22389FB9" w14:textId="77777777" w:rsidR="00E24E95" w:rsidRPr="00B36363" w:rsidRDefault="00E24E95" w:rsidP="00E24E95">
            <w:pPr>
              <w:spacing w:before="40" w:after="40"/>
              <w:ind w:left="80"/>
              <w:rPr>
                <w:rFonts w:asciiTheme="majorBidi" w:hAnsiTheme="majorBidi" w:cstheme="majorBidi"/>
              </w:rPr>
            </w:pPr>
            <w:r w:rsidRPr="00B36363">
              <w:rPr>
                <w:rFonts w:asciiTheme="majorBidi" w:hAnsiTheme="majorBidi" w:cstheme="majorBidi"/>
              </w:rPr>
              <w:t>Fire or projection hazard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154518C"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4AC963CA"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Division 1.4</w:t>
            </w:r>
          </w:p>
          <w:p w14:paraId="2B062702" w14:textId="77777777" w:rsidR="00E24E95" w:rsidRPr="00B36363" w:rsidRDefault="00E24E95" w:rsidP="00E24E95">
            <w:pPr>
              <w:spacing w:before="40" w:after="40"/>
              <w:jc w:val="center"/>
              <w:rPr>
                <w:rFonts w:asciiTheme="majorBidi" w:hAnsiTheme="majorBidi" w:cstheme="majorBidi"/>
                <w:b/>
                <w:u w:val="single"/>
              </w:rPr>
            </w:pPr>
            <w:r w:rsidRPr="00B36363">
              <w:rPr>
                <w:rFonts w:asciiTheme="majorBidi" w:hAnsiTheme="majorBidi" w:cstheme="majorBidi"/>
                <w:b/>
                <w:u w:val="single"/>
              </w:rPr>
              <w:t>2B, 2C</w:t>
            </w:r>
          </w:p>
        </w:tc>
      </w:tr>
      <w:tr w:rsidR="00E24E95" w:rsidRPr="00B36363" w14:paraId="2D82E5DC"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4B27BC23"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H205</w:t>
            </w:r>
          </w:p>
          <w:p w14:paraId="4E696022"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u w:val="single"/>
              </w:rPr>
              <w:t>Deleted</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3B99D4E3" w14:textId="77777777" w:rsidR="00E24E95" w:rsidRPr="00B36363" w:rsidRDefault="00E24E95" w:rsidP="00E24E95">
            <w:pPr>
              <w:spacing w:before="40" w:after="40"/>
              <w:ind w:left="80"/>
              <w:rPr>
                <w:rFonts w:asciiTheme="majorBidi" w:hAnsiTheme="majorBidi" w:cstheme="majorBidi"/>
                <w:b/>
                <w:strike/>
              </w:rPr>
            </w:pPr>
            <w:r w:rsidRPr="00B36363">
              <w:rPr>
                <w:rFonts w:asciiTheme="majorBidi" w:hAnsiTheme="majorBidi" w:cstheme="majorBidi"/>
                <w:b/>
                <w:strike/>
              </w:rPr>
              <w:t>May mass explode in fire</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1788EED2"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B3EA668" w14:textId="77777777" w:rsidR="00E24E95" w:rsidRPr="00B36363" w:rsidRDefault="00E24E95" w:rsidP="00E24E95">
            <w:pPr>
              <w:spacing w:before="40" w:after="40"/>
              <w:jc w:val="center"/>
              <w:rPr>
                <w:rFonts w:asciiTheme="majorBidi" w:hAnsiTheme="majorBidi" w:cstheme="majorBidi"/>
                <w:b/>
                <w:strike/>
              </w:rPr>
            </w:pPr>
            <w:r w:rsidRPr="00B36363">
              <w:rPr>
                <w:rFonts w:asciiTheme="majorBidi" w:hAnsiTheme="majorBidi" w:cstheme="majorBidi"/>
                <w:b/>
                <w:strike/>
              </w:rPr>
              <w:t>Division 1.5</w:t>
            </w:r>
          </w:p>
        </w:tc>
      </w:tr>
      <w:tr w:rsidR="00E24E95" w:rsidRPr="00B36363" w14:paraId="223D7DD6"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11B8E8FD"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H206</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CEF0FF" w14:textId="77777777" w:rsidR="00E24E95" w:rsidRPr="00B36363" w:rsidRDefault="00E24E95" w:rsidP="00E24E95">
            <w:pPr>
              <w:spacing w:before="40" w:after="40"/>
              <w:ind w:left="80"/>
              <w:rPr>
                <w:rFonts w:asciiTheme="majorBidi" w:hAnsiTheme="majorBidi" w:cstheme="majorBidi"/>
              </w:rPr>
            </w:pPr>
            <w:r w:rsidRPr="00B36363">
              <w:rPr>
                <w:rFonts w:asciiTheme="majorBidi" w:hAnsiTheme="majorBidi" w:cstheme="majorBidi"/>
              </w:rPr>
              <w:t>Fire, blast or projection hazard</w:t>
            </w:r>
            <w:r w:rsidRPr="00B36363">
              <w:rPr>
                <w:rFonts w:asciiTheme="majorBidi" w:hAnsiTheme="majorBidi" w:cstheme="majorBidi"/>
                <w:bCs/>
                <w:lang w:val="en-US" w:eastAsia="de-DE"/>
              </w:rPr>
              <w:t>; increased risk of explosion if desensitizing agent is reduced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14:paraId="07006498"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 xml:space="preserve">Desensitized explosives </w:t>
            </w:r>
            <w:r w:rsidRPr="00B36363">
              <w:rPr>
                <w:rFonts w:asciiTheme="majorBidi" w:hAnsiTheme="majorBidi" w:cstheme="majorBidi"/>
              </w:rPr>
              <w:br/>
              <w:t>(chapter 2.17)</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351FDBBC"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1</w:t>
            </w:r>
          </w:p>
        </w:tc>
      </w:tr>
      <w:tr w:rsidR="00E24E95" w:rsidRPr="00B36363" w14:paraId="16737282"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2C11399C"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H207</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2BDBD85C" w14:textId="77777777" w:rsidR="00E24E95" w:rsidRPr="00B36363" w:rsidRDefault="00E24E95" w:rsidP="00E24E95">
            <w:pPr>
              <w:spacing w:before="40" w:after="40"/>
              <w:ind w:left="80"/>
              <w:rPr>
                <w:rFonts w:asciiTheme="majorBidi" w:hAnsiTheme="majorBidi" w:cstheme="majorBidi"/>
              </w:rPr>
            </w:pPr>
            <w:r w:rsidRPr="00B36363">
              <w:rPr>
                <w:rFonts w:asciiTheme="majorBidi" w:hAnsiTheme="majorBidi" w:cstheme="majorBidi"/>
              </w:rPr>
              <w:t>Fire or projection hazard</w:t>
            </w:r>
            <w:r w:rsidRPr="00B36363">
              <w:rPr>
                <w:rFonts w:asciiTheme="majorBidi" w:hAnsiTheme="majorBidi" w:cstheme="majorBidi"/>
                <w:bCs/>
                <w:lang w:val="en-US" w:eastAsia="de-DE"/>
              </w:rPr>
              <w:t>; increased risk of explosion if desensitizing agent is reduced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14:paraId="2C080E3A"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 xml:space="preserve">Desensitized explosives </w:t>
            </w:r>
            <w:r w:rsidRPr="00B36363">
              <w:rPr>
                <w:rFonts w:asciiTheme="majorBidi" w:hAnsiTheme="majorBidi" w:cstheme="majorBidi"/>
              </w:rPr>
              <w:br/>
              <w:t>(chapter 2.17)</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4C168184"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2, 3</w:t>
            </w:r>
          </w:p>
        </w:tc>
      </w:tr>
      <w:tr w:rsidR="00E24E95" w:rsidRPr="00B36363" w14:paraId="4EDC8E48"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65FC98A0" w14:textId="77777777" w:rsidR="00E24E95" w:rsidRPr="00B36363" w:rsidRDefault="00E24E95" w:rsidP="00E24E95">
            <w:pPr>
              <w:spacing w:before="40" w:after="40"/>
              <w:jc w:val="center"/>
              <w:rPr>
                <w:rFonts w:asciiTheme="majorBidi" w:hAnsiTheme="majorBidi" w:cstheme="majorBidi"/>
              </w:rPr>
            </w:pPr>
            <w:r w:rsidRPr="00B36363">
              <w:rPr>
                <w:rFonts w:asciiTheme="majorBidi" w:hAnsiTheme="majorBidi" w:cstheme="majorBidi"/>
              </w:rPr>
              <w:t>H208</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26782332" w14:textId="77777777" w:rsidR="00E24E95" w:rsidRPr="00B36363" w:rsidRDefault="00E24E95" w:rsidP="00E24E95">
            <w:pPr>
              <w:spacing w:before="40" w:after="40"/>
              <w:ind w:left="80"/>
              <w:rPr>
                <w:rFonts w:asciiTheme="majorBidi" w:hAnsiTheme="majorBidi" w:cstheme="majorBidi"/>
              </w:rPr>
            </w:pPr>
            <w:r w:rsidRPr="00B36363">
              <w:rPr>
                <w:rFonts w:asciiTheme="majorBidi" w:hAnsiTheme="majorBidi" w:cstheme="majorBidi"/>
              </w:rPr>
              <w:t>Fire hazard</w:t>
            </w:r>
            <w:r w:rsidRPr="00B36363">
              <w:rPr>
                <w:rFonts w:asciiTheme="majorBidi" w:hAnsiTheme="majorBidi" w:cstheme="majorBidi"/>
                <w:bCs/>
                <w:lang w:val="en-US" w:eastAsia="de-DE"/>
              </w:rPr>
              <w:t>; increased risk of explosion if desensitizing agent is reduced</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14:paraId="69EAEC4F"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 xml:space="preserve">Desensitized explosives </w:t>
            </w:r>
            <w:r w:rsidRPr="00B36363">
              <w:rPr>
                <w:rFonts w:asciiTheme="majorBidi" w:hAnsiTheme="majorBidi" w:cstheme="majorBidi"/>
              </w:rPr>
              <w:br/>
              <w:t>(chapter 2.17)</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47886E9"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rPr>
              <w:t>4</w:t>
            </w:r>
          </w:p>
        </w:tc>
      </w:tr>
      <w:tr w:rsidR="00E24E95" w:rsidRPr="00B36363" w14:paraId="65CE7A9C" w14:textId="77777777" w:rsidTr="00E24E95">
        <w:trPr>
          <w:cantSplit/>
          <w:trHeight w:val="255"/>
          <w:tblHeader/>
          <w:jc w:val="center"/>
        </w:trPr>
        <w:tc>
          <w:tcPr>
            <w:tcW w:w="709"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E4B40E3" w14:textId="77777777" w:rsidR="00E24E95" w:rsidRPr="00B36363" w:rsidRDefault="00E24E95" w:rsidP="00E24E95">
            <w:pPr>
              <w:spacing w:before="40" w:after="40"/>
              <w:jc w:val="center"/>
              <w:rPr>
                <w:rFonts w:asciiTheme="majorBidi" w:hAnsiTheme="majorBidi" w:cstheme="majorBidi"/>
                <w:b/>
                <w:u w:val="single"/>
              </w:rPr>
            </w:pPr>
            <w:r w:rsidRPr="00B36363">
              <w:rPr>
                <w:rFonts w:asciiTheme="majorBidi" w:hAnsiTheme="majorBidi" w:cstheme="majorBidi"/>
                <w:b/>
                <w:u w:val="single"/>
              </w:rPr>
              <w:t>H209</w:t>
            </w:r>
          </w:p>
        </w:tc>
        <w:tc>
          <w:tcPr>
            <w:tcW w:w="3827"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2805316A" w14:textId="77777777" w:rsidR="00E24E95" w:rsidRPr="00B36363" w:rsidRDefault="00E24E95" w:rsidP="00E24E95">
            <w:pPr>
              <w:spacing w:before="40" w:after="40"/>
              <w:ind w:left="80"/>
              <w:rPr>
                <w:rFonts w:asciiTheme="majorBidi" w:hAnsiTheme="majorBidi" w:cstheme="majorBidi"/>
                <w:b/>
              </w:rPr>
            </w:pPr>
            <w:r w:rsidRPr="00B36363">
              <w:rPr>
                <w:rFonts w:asciiTheme="majorBidi" w:hAnsiTheme="majorBidi" w:cstheme="majorBidi"/>
                <w:b/>
                <w:snapToGrid w:val="0"/>
                <w:u w:val="single"/>
              </w:rPr>
              <w:t>Explosive</w:t>
            </w:r>
          </w:p>
        </w:tc>
        <w:tc>
          <w:tcPr>
            <w:tcW w:w="2632"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14:paraId="6A45672D"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u w:val="single"/>
              </w:rPr>
              <w:t>Explosives (chapter 2.1)</w:t>
            </w:r>
          </w:p>
        </w:tc>
        <w:tc>
          <w:tcPr>
            <w:tcW w:w="1776"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039427FB" w14:textId="77777777" w:rsidR="00E24E95" w:rsidRPr="00B36363" w:rsidRDefault="00E24E95" w:rsidP="00E24E95">
            <w:pPr>
              <w:spacing w:before="40" w:after="40"/>
              <w:jc w:val="center"/>
              <w:rPr>
                <w:rFonts w:asciiTheme="majorBidi" w:hAnsiTheme="majorBidi" w:cstheme="majorBidi"/>
                <w:b/>
              </w:rPr>
            </w:pPr>
            <w:r w:rsidRPr="00B36363">
              <w:rPr>
                <w:rFonts w:asciiTheme="majorBidi" w:hAnsiTheme="majorBidi" w:cstheme="majorBidi"/>
                <w:b/>
                <w:u w:val="single"/>
              </w:rPr>
              <w:t>1, 2A</w:t>
            </w:r>
          </w:p>
        </w:tc>
      </w:tr>
      <w:tr w:rsidR="00E24E95" w:rsidRPr="00B36363" w14:paraId="409AE3C6" w14:textId="77777777" w:rsidTr="00E24E95">
        <w:trPr>
          <w:cantSplit/>
          <w:trHeight w:val="2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3D4295E1" w14:textId="77777777" w:rsidR="00E24E95" w:rsidRPr="00B36363" w:rsidRDefault="00E24E95" w:rsidP="00E24E95">
            <w:pPr>
              <w:spacing w:before="40" w:after="40"/>
              <w:jc w:val="center"/>
              <w:rPr>
                <w:rFonts w:asciiTheme="majorBidi" w:hAnsiTheme="majorBidi" w:cstheme="majorBidi"/>
                <w:b/>
                <w:u w:val="single"/>
              </w:rPr>
            </w:pPr>
            <w:r w:rsidRPr="00B36363">
              <w:rPr>
                <w:rFonts w:asciiTheme="majorBidi" w:hAnsiTheme="majorBidi" w:cstheme="majorBidi"/>
                <w:b/>
                <w:u w:val="single"/>
              </w:rPr>
              <w:t>H210</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7C9F19" w14:textId="77777777" w:rsidR="00E24E95" w:rsidRPr="00B36363" w:rsidRDefault="00E24E95" w:rsidP="000F74A6">
            <w:pPr>
              <w:spacing w:before="40" w:after="40"/>
              <w:ind w:left="80"/>
              <w:rPr>
                <w:rFonts w:asciiTheme="majorBidi" w:hAnsiTheme="majorBidi" w:cstheme="majorBidi"/>
                <w:b/>
                <w:snapToGrid w:val="0"/>
                <w:u w:val="single"/>
              </w:rPr>
            </w:pPr>
            <w:r w:rsidRPr="000F74A6">
              <w:rPr>
                <w:rFonts w:asciiTheme="majorBidi" w:hAnsiTheme="majorBidi" w:cstheme="majorBidi"/>
                <w:b/>
                <w:snapToGrid w:val="0"/>
                <w:u w:val="single"/>
              </w:rPr>
              <w:t>Very sensitive</w:t>
            </w:r>
          </w:p>
        </w:tc>
        <w:tc>
          <w:tcPr>
            <w:tcW w:w="2632" w:type="dxa"/>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4DF04B10" w14:textId="77777777" w:rsidR="00E24E95" w:rsidRPr="00B36363" w:rsidRDefault="00E24E95" w:rsidP="00E24E95">
            <w:pPr>
              <w:spacing w:before="40" w:after="40"/>
              <w:ind w:right="-6"/>
              <w:jc w:val="center"/>
              <w:rPr>
                <w:rFonts w:asciiTheme="majorBidi" w:hAnsiTheme="majorBidi" w:cstheme="majorBidi"/>
                <w:b/>
                <w:u w:val="single"/>
              </w:rPr>
            </w:pPr>
            <w:r w:rsidRPr="00B36363">
              <w:rPr>
                <w:rFonts w:asciiTheme="majorBidi" w:hAnsiTheme="majorBidi" w:cstheme="majorBidi"/>
                <w:b/>
                <w:u w:val="single"/>
              </w:rPr>
              <w:t>Explosives (chapter 2.1)</w:t>
            </w:r>
          </w:p>
        </w:tc>
        <w:tc>
          <w:tcPr>
            <w:tcW w:w="1776" w:type="dxa"/>
            <w:tcBorders>
              <w:top w:val="single" w:sz="4" w:space="0" w:color="auto"/>
              <w:left w:val="single" w:sz="4" w:space="0" w:color="auto"/>
              <w:bottom w:val="single" w:sz="4" w:space="0" w:color="auto"/>
              <w:right w:val="single" w:sz="4" w:space="0" w:color="auto"/>
            </w:tcBorders>
          </w:tcPr>
          <w:p w14:paraId="167C7B82" w14:textId="77777777" w:rsidR="00E24E95" w:rsidRPr="00B36363" w:rsidRDefault="00E24E95" w:rsidP="00E24E95">
            <w:pPr>
              <w:spacing w:before="40" w:after="40"/>
              <w:jc w:val="center"/>
              <w:rPr>
                <w:rFonts w:asciiTheme="majorBidi" w:hAnsiTheme="majorBidi" w:cstheme="majorBidi"/>
                <w:b/>
                <w:u w:val="single"/>
              </w:rPr>
            </w:pPr>
            <w:r w:rsidRPr="00B36363">
              <w:rPr>
                <w:rFonts w:asciiTheme="majorBidi" w:hAnsiTheme="majorBidi" w:cstheme="majorBidi"/>
                <w:b/>
                <w:u w:val="single"/>
              </w:rPr>
              <w:t>1</w:t>
            </w:r>
          </w:p>
        </w:tc>
      </w:tr>
      <w:tr w:rsidR="00E24E95" w:rsidRPr="00B36363" w14:paraId="343E9011" w14:textId="77777777" w:rsidTr="00E24E95">
        <w:trPr>
          <w:cantSplit/>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0E997" w14:textId="77777777" w:rsidR="00E24E95" w:rsidRPr="00B36363" w:rsidRDefault="00E24E95" w:rsidP="00E24E95">
            <w:pPr>
              <w:spacing w:before="40" w:after="40"/>
              <w:jc w:val="center"/>
              <w:rPr>
                <w:rFonts w:asciiTheme="majorBidi" w:hAnsiTheme="majorBidi" w:cstheme="majorBidi"/>
                <w:b/>
                <w:highlight w:val="yellow"/>
                <w:u w:val="single"/>
              </w:rPr>
            </w:pPr>
            <w:r w:rsidRPr="00B36363">
              <w:rPr>
                <w:rFonts w:asciiTheme="majorBidi" w:hAnsiTheme="majorBidi" w:cstheme="majorBidi"/>
                <w:b/>
                <w:u w:val="single"/>
              </w:rPr>
              <w:t>H211</w:t>
            </w:r>
          </w:p>
        </w:tc>
        <w:tc>
          <w:tcPr>
            <w:tcW w:w="3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AE0459" w14:textId="77777777" w:rsidR="00E24E95" w:rsidRPr="00B36363" w:rsidRDefault="00E24E95" w:rsidP="00E24E95">
            <w:pPr>
              <w:spacing w:before="40" w:after="40"/>
              <w:rPr>
                <w:rFonts w:asciiTheme="majorBidi" w:hAnsiTheme="majorBidi" w:cstheme="majorBidi"/>
                <w:b/>
                <w:u w:val="single"/>
              </w:rPr>
            </w:pPr>
            <w:r w:rsidRPr="00B36363">
              <w:rPr>
                <w:rFonts w:asciiTheme="majorBidi" w:hAnsiTheme="majorBidi" w:cstheme="majorBidi"/>
                <w:b/>
                <w:u w:val="single"/>
              </w:rPr>
              <w:t>May be sensitive</w:t>
            </w:r>
          </w:p>
        </w:tc>
        <w:tc>
          <w:tcPr>
            <w:tcW w:w="2632" w:type="dxa"/>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4CE9908A" w14:textId="77777777" w:rsidR="00E24E95" w:rsidRPr="00B36363" w:rsidRDefault="00E24E95" w:rsidP="00E24E95">
            <w:pPr>
              <w:spacing w:before="40" w:after="40"/>
              <w:ind w:right="-6"/>
              <w:jc w:val="center"/>
              <w:rPr>
                <w:rFonts w:asciiTheme="majorBidi" w:hAnsiTheme="majorBidi" w:cstheme="majorBidi"/>
                <w:b/>
                <w:u w:val="single"/>
              </w:rPr>
            </w:pPr>
            <w:r w:rsidRPr="00B36363">
              <w:rPr>
                <w:rFonts w:asciiTheme="majorBidi" w:hAnsiTheme="majorBidi" w:cstheme="majorBidi"/>
                <w:b/>
                <w:u w:val="single"/>
              </w:rPr>
              <w:t>Explosives (chapter 2.1)</w:t>
            </w:r>
          </w:p>
        </w:tc>
        <w:tc>
          <w:tcPr>
            <w:tcW w:w="1776" w:type="dxa"/>
            <w:tcBorders>
              <w:top w:val="single" w:sz="4" w:space="0" w:color="auto"/>
              <w:left w:val="single" w:sz="4" w:space="0" w:color="auto"/>
              <w:bottom w:val="single" w:sz="4" w:space="0" w:color="auto"/>
              <w:right w:val="single" w:sz="4" w:space="0" w:color="auto"/>
            </w:tcBorders>
          </w:tcPr>
          <w:p w14:paraId="375ADF8A" w14:textId="77777777" w:rsidR="00E24E95" w:rsidRPr="00B36363" w:rsidRDefault="00E24E95" w:rsidP="00E24E95">
            <w:pPr>
              <w:spacing w:before="40" w:after="40"/>
              <w:jc w:val="center"/>
              <w:rPr>
                <w:rFonts w:asciiTheme="majorBidi" w:hAnsiTheme="majorBidi" w:cstheme="majorBidi"/>
                <w:b/>
                <w:u w:val="single"/>
              </w:rPr>
            </w:pPr>
            <w:r w:rsidRPr="00B36363">
              <w:rPr>
                <w:rFonts w:asciiTheme="majorBidi" w:hAnsiTheme="majorBidi" w:cstheme="majorBidi"/>
                <w:b/>
                <w:u w:val="single"/>
              </w:rPr>
              <w:t>1</w:t>
            </w:r>
          </w:p>
        </w:tc>
      </w:tr>
    </w:tbl>
    <w:p w14:paraId="5F29BB55" w14:textId="77777777" w:rsidR="00E24E95" w:rsidRDefault="00E24E95" w:rsidP="00E24E95">
      <w:pPr>
        <w:ind w:right="284"/>
      </w:pPr>
    </w:p>
    <w:p w14:paraId="5F049FF1" w14:textId="77777777" w:rsidR="00E24E95" w:rsidRDefault="00E24E95" w:rsidP="00E24E95">
      <w:pPr>
        <w:suppressAutoHyphens w:val="0"/>
        <w:spacing w:line="240" w:lineRule="auto"/>
      </w:pPr>
      <w:r>
        <w:br w:type="page"/>
      </w:r>
    </w:p>
    <w:p w14:paraId="4F78C840" w14:textId="77777777" w:rsidR="00E24E95" w:rsidRPr="006C2473" w:rsidRDefault="00E24E95" w:rsidP="00E24E95">
      <w:pPr>
        <w:pStyle w:val="HChG"/>
      </w:pPr>
      <w:r>
        <w:lastRenderedPageBreak/>
        <w:tab/>
      </w:r>
      <w:r>
        <w:tab/>
        <w:t>Annex III</w:t>
      </w:r>
    </w:p>
    <w:p w14:paraId="67A72813" w14:textId="77777777" w:rsidR="00E24E95" w:rsidRDefault="00E24E95" w:rsidP="00E24E95">
      <w:pPr>
        <w:pStyle w:val="HChG"/>
      </w:pPr>
      <w:r>
        <w:tab/>
      </w:r>
      <w:r>
        <w:tab/>
      </w:r>
      <w:r w:rsidRPr="006C2473">
        <w:t xml:space="preserve">Amendments to </w:t>
      </w:r>
      <w:r>
        <w:t>GHS Annex 1</w:t>
      </w:r>
    </w:p>
    <w:p w14:paraId="12B93F2A" w14:textId="77777777" w:rsidR="00E24E95" w:rsidRPr="00B83E2E" w:rsidRDefault="00B36363" w:rsidP="00E24E95">
      <w:pPr>
        <w:ind w:left="1134" w:right="284"/>
        <w:rPr>
          <w:b/>
        </w:rPr>
      </w:pPr>
      <w:r>
        <w:t xml:space="preserve">Replace </w:t>
      </w:r>
      <w:r w:rsidR="00E24E95">
        <w:t xml:space="preserve">current Table A1.1 </w:t>
      </w:r>
      <w:r>
        <w:t>with the following:</w:t>
      </w:r>
    </w:p>
    <w:p w14:paraId="67B8F510" w14:textId="77777777" w:rsidR="00E24E95" w:rsidRDefault="00B36363" w:rsidP="00B36363">
      <w:pPr>
        <w:tabs>
          <w:tab w:val="left" w:pos="2268"/>
        </w:tabs>
        <w:spacing w:before="120" w:after="120"/>
        <w:ind w:left="1134" w:right="284"/>
      </w:pPr>
      <w:r>
        <w:rPr>
          <w:b/>
        </w:rPr>
        <w:t>“</w:t>
      </w:r>
      <w:r w:rsidR="00E24E95" w:rsidRPr="00C91B7F">
        <w:rPr>
          <w:b/>
        </w:rPr>
        <w:t xml:space="preserve">A1.1 </w:t>
      </w:r>
      <w:r>
        <w:rPr>
          <w:b/>
        </w:rPr>
        <w:tab/>
      </w:r>
      <w:r w:rsidR="00E24E95" w:rsidRPr="00C91B7F">
        <w:rPr>
          <w:b/>
        </w:rPr>
        <w:t>Explosives</w:t>
      </w:r>
      <w:r w:rsidR="00E24E95" w:rsidRPr="00C91B7F">
        <w:t xml:space="preserve"> (see Chapter 2.1 for classification criteria)</w:t>
      </w:r>
    </w:p>
    <w:tbl>
      <w:tblPr>
        <w:tblStyle w:val="TableGrid"/>
        <w:tblW w:w="0" w:type="auto"/>
        <w:tblInd w:w="1134" w:type="dxa"/>
        <w:tblLook w:val="04A0" w:firstRow="1" w:lastRow="0" w:firstColumn="1" w:lastColumn="0" w:noHBand="0" w:noVBand="1"/>
      </w:tblPr>
      <w:tblGrid>
        <w:gridCol w:w="1062"/>
        <w:gridCol w:w="918"/>
        <w:gridCol w:w="1205"/>
        <w:gridCol w:w="1062"/>
        <w:gridCol w:w="1062"/>
        <w:gridCol w:w="1062"/>
        <w:gridCol w:w="1062"/>
        <w:gridCol w:w="1062"/>
      </w:tblGrid>
      <w:tr w:rsidR="00877A34" w:rsidRPr="00877A34" w14:paraId="4A282DBB" w14:textId="77777777" w:rsidTr="008962B2">
        <w:tc>
          <w:tcPr>
            <w:tcW w:w="3185" w:type="dxa"/>
            <w:gridSpan w:val="3"/>
          </w:tcPr>
          <w:p w14:paraId="3D9E599A" w14:textId="77777777" w:rsidR="00877A34" w:rsidRPr="00877A34" w:rsidRDefault="00877A34" w:rsidP="00877A34">
            <w:pPr>
              <w:tabs>
                <w:tab w:val="left" w:pos="2268"/>
              </w:tabs>
              <w:spacing w:before="40" w:after="40"/>
              <w:ind w:right="66"/>
              <w:jc w:val="center"/>
              <w:rPr>
                <w:b/>
                <w:sz w:val="18"/>
                <w:szCs w:val="18"/>
              </w:rPr>
            </w:pPr>
            <w:r w:rsidRPr="00105BD2">
              <w:rPr>
                <w:b/>
                <w:sz w:val="18"/>
                <w:szCs w:val="18"/>
              </w:rPr>
              <w:t>Classification</w:t>
            </w:r>
          </w:p>
        </w:tc>
        <w:tc>
          <w:tcPr>
            <w:tcW w:w="4248" w:type="dxa"/>
            <w:gridSpan w:val="4"/>
          </w:tcPr>
          <w:p w14:paraId="7EE04D45" w14:textId="77777777" w:rsidR="00877A34" w:rsidRPr="00877A34" w:rsidRDefault="00877A34" w:rsidP="00877A34">
            <w:pPr>
              <w:tabs>
                <w:tab w:val="left" w:pos="2268"/>
              </w:tabs>
              <w:spacing w:before="40" w:after="40"/>
              <w:ind w:right="66"/>
              <w:jc w:val="center"/>
              <w:rPr>
                <w:b/>
                <w:sz w:val="18"/>
                <w:szCs w:val="18"/>
              </w:rPr>
            </w:pPr>
            <w:r w:rsidRPr="00105BD2">
              <w:rPr>
                <w:b/>
                <w:sz w:val="18"/>
                <w:szCs w:val="18"/>
              </w:rPr>
              <w:t>Labelling</w:t>
            </w:r>
          </w:p>
        </w:tc>
        <w:tc>
          <w:tcPr>
            <w:tcW w:w="1062" w:type="dxa"/>
            <w:vMerge w:val="restart"/>
          </w:tcPr>
          <w:p w14:paraId="7E015895" w14:textId="77777777" w:rsidR="00C43EED" w:rsidRDefault="00C43EED" w:rsidP="00877A34">
            <w:pPr>
              <w:tabs>
                <w:tab w:val="left" w:pos="2268"/>
              </w:tabs>
              <w:spacing w:before="40" w:after="40"/>
              <w:ind w:right="-12"/>
              <w:jc w:val="center"/>
              <w:rPr>
                <w:b/>
                <w:sz w:val="18"/>
                <w:szCs w:val="18"/>
              </w:rPr>
            </w:pPr>
            <w:r>
              <w:rPr>
                <w:b/>
                <w:sz w:val="18"/>
                <w:szCs w:val="18"/>
              </w:rPr>
              <w:t>GHS</w:t>
            </w:r>
          </w:p>
          <w:p w14:paraId="14B04A89" w14:textId="77777777" w:rsidR="00877A34" w:rsidRPr="00877A34" w:rsidRDefault="00877A34" w:rsidP="00877A34">
            <w:pPr>
              <w:tabs>
                <w:tab w:val="left" w:pos="2268"/>
              </w:tabs>
              <w:spacing w:before="40" w:after="40"/>
              <w:ind w:right="-12"/>
              <w:jc w:val="center"/>
              <w:rPr>
                <w:b/>
                <w:sz w:val="18"/>
                <w:szCs w:val="18"/>
              </w:rPr>
            </w:pPr>
            <w:r w:rsidRPr="00105BD2">
              <w:rPr>
                <w:b/>
                <w:sz w:val="18"/>
                <w:szCs w:val="18"/>
              </w:rPr>
              <w:t>Hazard statement codes</w:t>
            </w:r>
          </w:p>
        </w:tc>
      </w:tr>
      <w:tr w:rsidR="00C43EED" w14:paraId="21D027A2" w14:textId="77777777" w:rsidTr="008962B2">
        <w:trPr>
          <w:trHeight w:val="597"/>
        </w:trPr>
        <w:tc>
          <w:tcPr>
            <w:tcW w:w="1062" w:type="dxa"/>
            <w:tcBorders>
              <w:bottom w:val="single" w:sz="4" w:space="0" w:color="auto"/>
            </w:tcBorders>
          </w:tcPr>
          <w:p w14:paraId="026F2F1C" w14:textId="77777777" w:rsidR="00C43EED" w:rsidRDefault="00C43EED" w:rsidP="00877A34">
            <w:pPr>
              <w:tabs>
                <w:tab w:val="left" w:pos="2268"/>
              </w:tabs>
              <w:spacing w:before="40" w:after="40"/>
              <w:ind w:right="66"/>
              <w:jc w:val="center"/>
              <w:rPr>
                <w:b/>
                <w:sz w:val="18"/>
                <w:szCs w:val="18"/>
              </w:rPr>
            </w:pPr>
            <w:r>
              <w:rPr>
                <w:b/>
                <w:sz w:val="18"/>
                <w:szCs w:val="18"/>
              </w:rPr>
              <w:t>GHS</w:t>
            </w:r>
          </w:p>
          <w:p w14:paraId="7E6F0648" w14:textId="77777777" w:rsidR="00C43EED" w:rsidRDefault="00C43EED" w:rsidP="00877A34">
            <w:pPr>
              <w:tabs>
                <w:tab w:val="left" w:pos="2268"/>
              </w:tabs>
              <w:spacing w:before="40" w:after="40"/>
              <w:ind w:right="66"/>
              <w:jc w:val="center"/>
            </w:pPr>
            <w:r w:rsidRPr="00105BD2">
              <w:rPr>
                <w:b/>
                <w:sz w:val="18"/>
                <w:szCs w:val="18"/>
              </w:rPr>
              <w:t xml:space="preserve">Hazard </w:t>
            </w:r>
            <w:r>
              <w:rPr>
                <w:b/>
                <w:sz w:val="18"/>
                <w:szCs w:val="18"/>
              </w:rPr>
              <w:br/>
            </w:r>
            <w:r w:rsidRPr="00105BD2">
              <w:rPr>
                <w:b/>
                <w:sz w:val="18"/>
                <w:szCs w:val="18"/>
              </w:rPr>
              <w:t>class</w:t>
            </w:r>
          </w:p>
        </w:tc>
        <w:tc>
          <w:tcPr>
            <w:tcW w:w="918" w:type="dxa"/>
            <w:tcBorders>
              <w:bottom w:val="single" w:sz="4" w:space="0" w:color="auto"/>
            </w:tcBorders>
          </w:tcPr>
          <w:p w14:paraId="0450F272" w14:textId="77777777" w:rsidR="00C43EED" w:rsidRDefault="00C43EED" w:rsidP="00877A34">
            <w:pPr>
              <w:tabs>
                <w:tab w:val="left" w:pos="2268"/>
              </w:tabs>
              <w:spacing w:before="40" w:after="40"/>
              <w:ind w:right="-1"/>
              <w:jc w:val="center"/>
              <w:rPr>
                <w:b/>
                <w:sz w:val="18"/>
                <w:szCs w:val="18"/>
              </w:rPr>
            </w:pPr>
            <w:r>
              <w:rPr>
                <w:b/>
                <w:sz w:val="18"/>
                <w:szCs w:val="18"/>
              </w:rPr>
              <w:t>GHS</w:t>
            </w:r>
          </w:p>
          <w:p w14:paraId="3071B464" w14:textId="77777777" w:rsidR="00C43EED" w:rsidRDefault="00C43EED" w:rsidP="00877A34">
            <w:pPr>
              <w:tabs>
                <w:tab w:val="left" w:pos="2268"/>
              </w:tabs>
              <w:spacing w:before="40" w:after="40"/>
              <w:ind w:right="-1"/>
              <w:jc w:val="center"/>
            </w:pPr>
            <w:r w:rsidRPr="00877A34">
              <w:rPr>
                <w:b/>
                <w:sz w:val="18"/>
                <w:szCs w:val="18"/>
              </w:rPr>
              <w:t>Hazard category</w:t>
            </w:r>
          </w:p>
        </w:tc>
        <w:tc>
          <w:tcPr>
            <w:tcW w:w="1205" w:type="dxa"/>
            <w:tcBorders>
              <w:bottom w:val="single" w:sz="4" w:space="0" w:color="auto"/>
            </w:tcBorders>
          </w:tcPr>
          <w:p w14:paraId="152223EB" w14:textId="77777777" w:rsidR="00C43EED" w:rsidRDefault="00C43EED" w:rsidP="00877A34">
            <w:pPr>
              <w:tabs>
                <w:tab w:val="left" w:pos="2268"/>
              </w:tabs>
              <w:spacing w:before="40" w:after="40"/>
              <w:jc w:val="center"/>
            </w:pPr>
            <w:r w:rsidRPr="00105BD2">
              <w:rPr>
                <w:b/>
                <w:sz w:val="18"/>
                <w:szCs w:val="18"/>
              </w:rPr>
              <w:t>UN Model Regulations class or division</w:t>
            </w:r>
          </w:p>
        </w:tc>
        <w:tc>
          <w:tcPr>
            <w:tcW w:w="1062" w:type="dxa"/>
            <w:tcBorders>
              <w:bottom w:val="single" w:sz="4" w:space="0" w:color="auto"/>
            </w:tcBorders>
          </w:tcPr>
          <w:p w14:paraId="59C89BB4" w14:textId="77777777" w:rsidR="00C43EED" w:rsidRDefault="00C43EED" w:rsidP="00877A34">
            <w:pPr>
              <w:tabs>
                <w:tab w:val="left" w:pos="2268"/>
              </w:tabs>
              <w:spacing w:before="40" w:after="40"/>
              <w:jc w:val="center"/>
              <w:rPr>
                <w:b/>
                <w:sz w:val="18"/>
                <w:szCs w:val="18"/>
              </w:rPr>
            </w:pPr>
            <w:r>
              <w:rPr>
                <w:b/>
                <w:sz w:val="18"/>
                <w:szCs w:val="18"/>
              </w:rPr>
              <w:t>GHS</w:t>
            </w:r>
          </w:p>
          <w:p w14:paraId="000A1E1D" w14:textId="77777777" w:rsidR="00C43EED" w:rsidRDefault="00C43EED" w:rsidP="00877A34">
            <w:pPr>
              <w:tabs>
                <w:tab w:val="left" w:pos="2268"/>
              </w:tabs>
              <w:spacing w:before="40" w:after="40"/>
              <w:jc w:val="center"/>
            </w:pPr>
            <w:r w:rsidRPr="00105BD2">
              <w:rPr>
                <w:b/>
                <w:sz w:val="18"/>
                <w:szCs w:val="18"/>
              </w:rPr>
              <w:t>Pictogram</w:t>
            </w:r>
          </w:p>
        </w:tc>
        <w:tc>
          <w:tcPr>
            <w:tcW w:w="1062" w:type="dxa"/>
            <w:tcBorders>
              <w:bottom w:val="single" w:sz="4" w:space="0" w:color="auto"/>
            </w:tcBorders>
          </w:tcPr>
          <w:p w14:paraId="1F31EA38" w14:textId="77777777" w:rsidR="00C43EED" w:rsidRPr="00C43EED" w:rsidRDefault="00C43EED" w:rsidP="00877A34">
            <w:pPr>
              <w:tabs>
                <w:tab w:val="left" w:pos="2268"/>
              </w:tabs>
              <w:spacing w:before="40" w:after="40"/>
              <w:jc w:val="center"/>
              <w:rPr>
                <w:b/>
                <w:bCs/>
              </w:rPr>
            </w:pPr>
            <w:r w:rsidRPr="00C43EED">
              <w:rPr>
                <w:b/>
                <w:bCs/>
              </w:rPr>
              <w:t xml:space="preserve">UN Model Regulations </w:t>
            </w:r>
            <w:proofErr w:type="spellStart"/>
            <w:r w:rsidRPr="00C43EED">
              <w:rPr>
                <w:b/>
                <w:bCs/>
              </w:rPr>
              <w:t>pi</w:t>
            </w:r>
            <w:r w:rsidR="00260F97" w:rsidRPr="00C43EED">
              <w:rPr>
                <w:b/>
                <w:bCs/>
              </w:rPr>
              <w:t>c</w:t>
            </w:r>
            <w:r w:rsidRPr="00C43EED">
              <w:rPr>
                <w:b/>
                <w:bCs/>
              </w:rPr>
              <w:t>togram</w:t>
            </w:r>
            <w:r w:rsidR="00260F97" w:rsidRPr="00E13436">
              <w:rPr>
                <w:i/>
                <w:vertAlign w:val="superscript"/>
              </w:rPr>
              <w:t>a</w:t>
            </w:r>
            <w:proofErr w:type="spellEnd"/>
          </w:p>
        </w:tc>
        <w:tc>
          <w:tcPr>
            <w:tcW w:w="1062" w:type="dxa"/>
            <w:tcBorders>
              <w:bottom w:val="single" w:sz="4" w:space="0" w:color="auto"/>
            </w:tcBorders>
          </w:tcPr>
          <w:p w14:paraId="58F33C36" w14:textId="77777777" w:rsidR="00C43EED" w:rsidRDefault="00C43EED" w:rsidP="00877A34">
            <w:pPr>
              <w:tabs>
                <w:tab w:val="left" w:pos="2268"/>
              </w:tabs>
              <w:spacing w:before="40" w:after="40"/>
              <w:jc w:val="center"/>
              <w:rPr>
                <w:b/>
                <w:sz w:val="18"/>
                <w:szCs w:val="18"/>
              </w:rPr>
            </w:pPr>
            <w:r>
              <w:rPr>
                <w:b/>
                <w:sz w:val="18"/>
                <w:szCs w:val="18"/>
              </w:rPr>
              <w:t>GHS</w:t>
            </w:r>
          </w:p>
          <w:p w14:paraId="0659D13E" w14:textId="77777777" w:rsidR="00C43EED" w:rsidRDefault="00C43EED" w:rsidP="00877A34">
            <w:pPr>
              <w:tabs>
                <w:tab w:val="left" w:pos="2268"/>
              </w:tabs>
              <w:spacing w:before="40" w:after="40"/>
              <w:jc w:val="center"/>
            </w:pPr>
            <w:r w:rsidRPr="00105BD2">
              <w:rPr>
                <w:b/>
                <w:sz w:val="18"/>
                <w:szCs w:val="18"/>
              </w:rPr>
              <w:t xml:space="preserve">Signal </w:t>
            </w:r>
            <w:r>
              <w:rPr>
                <w:b/>
                <w:sz w:val="18"/>
                <w:szCs w:val="18"/>
              </w:rPr>
              <w:br/>
            </w:r>
            <w:r w:rsidRPr="00105BD2">
              <w:rPr>
                <w:b/>
                <w:sz w:val="18"/>
                <w:szCs w:val="18"/>
              </w:rPr>
              <w:t>word</w:t>
            </w:r>
          </w:p>
        </w:tc>
        <w:tc>
          <w:tcPr>
            <w:tcW w:w="1062" w:type="dxa"/>
            <w:tcBorders>
              <w:bottom w:val="single" w:sz="4" w:space="0" w:color="auto"/>
            </w:tcBorders>
          </w:tcPr>
          <w:p w14:paraId="3EBCE109" w14:textId="77777777" w:rsidR="00C43EED" w:rsidRDefault="00C43EED" w:rsidP="00877A34">
            <w:pPr>
              <w:tabs>
                <w:tab w:val="left" w:pos="2268"/>
              </w:tabs>
              <w:spacing w:before="40" w:after="40"/>
              <w:jc w:val="center"/>
              <w:rPr>
                <w:b/>
                <w:sz w:val="18"/>
                <w:szCs w:val="18"/>
              </w:rPr>
            </w:pPr>
            <w:r>
              <w:rPr>
                <w:b/>
                <w:sz w:val="18"/>
                <w:szCs w:val="18"/>
              </w:rPr>
              <w:t>GHS</w:t>
            </w:r>
          </w:p>
          <w:p w14:paraId="6F11E1DF" w14:textId="77777777" w:rsidR="00C43EED" w:rsidRDefault="00C43EED" w:rsidP="00877A34">
            <w:pPr>
              <w:tabs>
                <w:tab w:val="left" w:pos="2268"/>
              </w:tabs>
              <w:spacing w:before="40" w:after="40"/>
              <w:jc w:val="center"/>
            </w:pPr>
            <w:r w:rsidRPr="00105BD2">
              <w:rPr>
                <w:b/>
                <w:sz w:val="18"/>
                <w:szCs w:val="18"/>
              </w:rPr>
              <w:t>Hazard statement</w:t>
            </w:r>
          </w:p>
        </w:tc>
        <w:tc>
          <w:tcPr>
            <w:tcW w:w="1062" w:type="dxa"/>
            <w:vMerge/>
            <w:tcBorders>
              <w:bottom w:val="single" w:sz="4" w:space="0" w:color="auto"/>
            </w:tcBorders>
          </w:tcPr>
          <w:p w14:paraId="1C130C6B" w14:textId="77777777" w:rsidR="00C43EED" w:rsidRDefault="00C43EED" w:rsidP="00877A34">
            <w:pPr>
              <w:tabs>
                <w:tab w:val="left" w:pos="2268"/>
              </w:tabs>
              <w:spacing w:before="40" w:after="40"/>
              <w:ind w:right="-12"/>
              <w:jc w:val="center"/>
            </w:pPr>
          </w:p>
        </w:tc>
      </w:tr>
      <w:tr w:rsidR="00C43EED" w:rsidRPr="008F21B3" w14:paraId="3260D00A" w14:textId="77777777" w:rsidTr="00C43EED">
        <w:trPr>
          <w:trHeight w:val="851"/>
        </w:trPr>
        <w:tc>
          <w:tcPr>
            <w:tcW w:w="1062" w:type="dxa"/>
            <w:vMerge w:val="restart"/>
            <w:tcBorders>
              <w:right w:val="single" w:sz="4" w:space="0" w:color="auto"/>
            </w:tcBorders>
            <w:vAlign w:val="center"/>
          </w:tcPr>
          <w:p w14:paraId="498D459F" w14:textId="77777777" w:rsidR="00C43EED" w:rsidRPr="00C43EED" w:rsidRDefault="00C43EED" w:rsidP="00C43EED">
            <w:pPr>
              <w:tabs>
                <w:tab w:val="left" w:pos="2268"/>
              </w:tabs>
              <w:spacing w:before="40" w:after="40"/>
              <w:jc w:val="center"/>
              <w:rPr>
                <w:rFonts w:asciiTheme="majorBidi" w:hAnsiTheme="majorBidi" w:cstheme="majorBidi"/>
                <w:b/>
                <w:bCs/>
                <w:sz w:val="18"/>
                <w:szCs w:val="18"/>
              </w:rPr>
            </w:pPr>
            <w:r w:rsidRPr="00C43EED">
              <w:rPr>
                <w:rFonts w:asciiTheme="majorBidi" w:hAnsiTheme="majorBidi" w:cstheme="majorBidi"/>
                <w:b/>
                <w:bCs/>
                <w:sz w:val="18"/>
                <w:szCs w:val="18"/>
              </w:rPr>
              <w:t>Explosives</w:t>
            </w:r>
          </w:p>
        </w:tc>
        <w:tc>
          <w:tcPr>
            <w:tcW w:w="918" w:type="dxa"/>
            <w:tcBorders>
              <w:left w:val="single" w:sz="4" w:space="0" w:color="auto"/>
              <w:bottom w:val="single" w:sz="4" w:space="0" w:color="auto"/>
              <w:right w:val="single" w:sz="4" w:space="0" w:color="auto"/>
            </w:tcBorders>
            <w:vAlign w:val="center"/>
          </w:tcPr>
          <w:p w14:paraId="4BB4C173"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r w:rsidRPr="008F21B3">
              <w:rPr>
                <w:rFonts w:asciiTheme="majorBidi" w:hAnsiTheme="majorBidi" w:cstheme="majorBidi"/>
                <w:sz w:val="18"/>
                <w:szCs w:val="18"/>
              </w:rPr>
              <w:t>1</w:t>
            </w:r>
          </w:p>
        </w:tc>
        <w:tc>
          <w:tcPr>
            <w:tcW w:w="1205" w:type="dxa"/>
            <w:tcBorders>
              <w:left w:val="single" w:sz="4" w:space="0" w:color="auto"/>
              <w:bottom w:val="single" w:sz="4" w:space="0" w:color="auto"/>
              <w:right w:val="single" w:sz="4" w:space="0" w:color="auto"/>
            </w:tcBorders>
            <w:vAlign w:val="center"/>
          </w:tcPr>
          <w:p w14:paraId="706E26B3"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i/>
                <w:sz w:val="18"/>
                <w:szCs w:val="18"/>
              </w:rPr>
              <w:t>Not applicable</w:t>
            </w:r>
          </w:p>
        </w:tc>
        <w:tc>
          <w:tcPr>
            <w:tcW w:w="1062" w:type="dxa"/>
            <w:tcBorders>
              <w:left w:val="single" w:sz="4" w:space="0" w:color="auto"/>
              <w:bottom w:val="single" w:sz="4" w:space="0" w:color="auto"/>
              <w:right w:val="single" w:sz="4" w:space="0" w:color="auto"/>
            </w:tcBorders>
            <w:vAlign w:val="center"/>
          </w:tcPr>
          <w:p w14:paraId="4CCF9DA2"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noProof/>
                <w:sz w:val="18"/>
                <w:szCs w:val="18"/>
                <w:lang w:val="sv-SE" w:eastAsia="sv-SE"/>
              </w:rPr>
              <w:drawing>
                <wp:inline distT="0" distB="0" distL="0" distR="0" wp14:anchorId="72427526" wp14:editId="7A952511">
                  <wp:extent cx="399415" cy="399415"/>
                  <wp:effectExtent l="0" t="0" r="635" b="635"/>
                  <wp:docPr id="9"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415" cy="399415"/>
                          </a:xfrm>
                          <a:prstGeom prst="rect">
                            <a:avLst/>
                          </a:prstGeom>
                        </pic:spPr>
                      </pic:pic>
                    </a:graphicData>
                  </a:graphic>
                </wp:inline>
              </w:drawing>
            </w:r>
          </w:p>
        </w:tc>
        <w:tc>
          <w:tcPr>
            <w:tcW w:w="1062" w:type="dxa"/>
            <w:tcBorders>
              <w:left w:val="single" w:sz="4" w:space="0" w:color="auto"/>
              <w:bottom w:val="single" w:sz="4" w:space="0" w:color="auto"/>
              <w:right w:val="single" w:sz="4" w:space="0" w:color="auto"/>
            </w:tcBorders>
            <w:vAlign w:val="center"/>
          </w:tcPr>
          <w:p w14:paraId="53DF2C63"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i/>
                <w:sz w:val="18"/>
                <w:szCs w:val="18"/>
              </w:rPr>
              <w:t>Not applicable</w:t>
            </w:r>
          </w:p>
        </w:tc>
        <w:tc>
          <w:tcPr>
            <w:tcW w:w="1062" w:type="dxa"/>
            <w:tcBorders>
              <w:left w:val="single" w:sz="4" w:space="0" w:color="auto"/>
              <w:bottom w:val="single" w:sz="4" w:space="0" w:color="auto"/>
              <w:right w:val="single" w:sz="4" w:space="0" w:color="auto"/>
            </w:tcBorders>
            <w:vAlign w:val="center"/>
          </w:tcPr>
          <w:p w14:paraId="33B6B851"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r w:rsidRPr="008F21B3">
              <w:rPr>
                <w:rFonts w:asciiTheme="majorBidi" w:hAnsiTheme="majorBidi" w:cstheme="majorBidi"/>
                <w:iCs/>
                <w:sz w:val="18"/>
                <w:szCs w:val="18"/>
              </w:rPr>
              <w:t>Danger</w:t>
            </w:r>
          </w:p>
        </w:tc>
        <w:tc>
          <w:tcPr>
            <w:tcW w:w="1062" w:type="dxa"/>
            <w:tcBorders>
              <w:left w:val="single" w:sz="4" w:space="0" w:color="auto"/>
              <w:bottom w:val="single" w:sz="4" w:space="0" w:color="auto"/>
              <w:right w:val="single" w:sz="4" w:space="0" w:color="auto"/>
            </w:tcBorders>
            <w:vAlign w:val="center"/>
          </w:tcPr>
          <w:p w14:paraId="03C9D9EA"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r w:rsidRPr="008F21B3">
              <w:rPr>
                <w:rFonts w:asciiTheme="majorBidi" w:hAnsiTheme="majorBidi" w:cstheme="majorBidi"/>
                <w:iCs/>
                <w:sz w:val="18"/>
                <w:szCs w:val="18"/>
              </w:rPr>
              <w:t>Explosive</w:t>
            </w:r>
          </w:p>
        </w:tc>
        <w:tc>
          <w:tcPr>
            <w:tcW w:w="1062" w:type="dxa"/>
            <w:tcBorders>
              <w:left w:val="single" w:sz="4" w:space="0" w:color="auto"/>
              <w:bottom w:val="single" w:sz="4" w:space="0" w:color="auto"/>
            </w:tcBorders>
            <w:vAlign w:val="center"/>
          </w:tcPr>
          <w:p w14:paraId="71B99B5B" w14:textId="77777777" w:rsidR="00C43EED" w:rsidRPr="008F21B3" w:rsidRDefault="00C43EED" w:rsidP="00877A34">
            <w:pPr>
              <w:jc w:val="center"/>
              <w:rPr>
                <w:rFonts w:asciiTheme="majorBidi" w:hAnsiTheme="majorBidi" w:cstheme="majorBidi"/>
                <w:sz w:val="18"/>
                <w:szCs w:val="18"/>
              </w:rPr>
            </w:pPr>
            <w:r w:rsidRPr="008F21B3">
              <w:rPr>
                <w:rFonts w:asciiTheme="majorBidi" w:hAnsiTheme="majorBidi" w:cstheme="majorBidi"/>
                <w:sz w:val="18"/>
                <w:szCs w:val="18"/>
              </w:rPr>
              <w:t>H209</w:t>
            </w:r>
          </w:p>
          <w:p w14:paraId="7889D87C" w14:textId="77777777" w:rsidR="00C43EED" w:rsidRPr="008F21B3" w:rsidRDefault="00C43EED" w:rsidP="00877A34">
            <w:pPr>
              <w:jc w:val="center"/>
              <w:rPr>
                <w:rFonts w:asciiTheme="majorBidi" w:hAnsiTheme="majorBidi" w:cstheme="majorBidi"/>
                <w:sz w:val="18"/>
                <w:szCs w:val="18"/>
                <w:vertAlign w:val="superscript"/>
              </w:rPr>
            </w:pPr>
            <w:r w:rsidRPr="008F21B3">
              <w:rPr>
                <w:rFonts w:asciiTheme="majorBidi" w:hAnsiTheme="majorBidi" w:cstheme="majorBidi"/>
                <w:sz w:val="18"/>
                <w:szCs w:val="18"/>
              </w:rPr>
              <w:t>H210</w:t>
            </w:r>
            <w:r w:rsidRPr="008F21B3">
              <w:rPr>
                <w:rFonts w:asciiTheme="majorBidi" w:hAnsiTheme="majorBidi" w:cstheme="majorBidi"/>
                <w:sz w:val="18"/>
                <w:szCs w:val="18"/>
                <w:vertAlign w:val="superscript"/>
              </w:rPr>
              <w:t>b</w:t>
            </w:r>
          </w:p>
          <w:p w14:paraId="5B42F293" w14:textId="77777777" w:rsidR="00C43EED" w:rsidRPr="008F21B3" w:rsidRDefault="00C43EED" w:rsidP="00877A34">
            <w:pPr>
              <w:jc w:val="center"/>
              <w:rPr>
                <w:rFonts w:asciiTheme="majorBidi" w:hAnsiTheme="majorBidi" w:cstheme="majorBidi"/>
                <w:sz w:val="18"/>
                <w:szCs w:val="18"/>
              </w:rPr>
            </w:pPr>
            <w:r w:rsidRPr="008F21B3">
              <w:rPr>
                <w:rFonts w:asciiTheme="majorBidi" w:hAnsiTheme="majorBidi" w:cstheme="majorBidi"/>
                <w:sz w:val="18"/>
                <w:szCs w:val="18"/>
              </w:rPr>
              <w:t>H211</w:t>
            </w:r>
            <w:r w:rsidRPr="008F21B3">
              <w:rPr>
                <w:rFonts w:asciiTheme="majorBidi" w:hAnsiTheme="majorBidi" w:cstheme="majorBidi"/>
                <w:sz w:val="18"/>
                <w:szCs w:val="18"/>
                <w:vertAlign w:val="superscript"/>
              </w:rPr>
              <w:t>b</w:t>
            </w:r>
          </w:p>
        </w:tc>
      </w:tr>
      <w:tr w:rsidR="00C43EED" w:rsidRPr="008F21B3" w14:paraId="2F2B8BE1" w14:textId="77777777" w:rsidTr="008962B2">
        <w:tc>
          <w:tcPr>
            <w:tcW w:w="1062" w:type="dxa"/>
            <w:vMerge/>
            <w:tcBorders>
              <w:right w:val="single" w:sz="4" w:space="0" w:color="auto"/>
            </w:tcBorders>
          </w:tcPr>
          <w:p w14:paraId="4719D2EB"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vMerge w:val="restart"/>
            <w:tcBorders>
              <w:top w:val="single" w:sz="4" w:space="0" w:color="auto"/>
              <w:left w:val="single" w:sz="4" w:space="0" w:color="auto"/>
              <w:right w:val="single" w:sz="4" w:space="0" w:color="auto"/>
            </w:tcBorders>
            <w:vAlign w:val="center"/>
          </w:tcPr>
          <w:p w14:paraId="44BD5F8E"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r w:rsidRPr="008F21B3">
              <w:rPr>
                <w:rFonts w:asciiTheme="majorBidi" w:hAnsiTheme="majorBidi" w:cstheme="majorBidi"/>
                <w:sz w:val="18"/>
                <w:szCs w:val="18"/>
              </w:rPr>
              <w:t>2A</w:t>
            </w:r>
          </w:p>
        </w:tc>
        <w:tc>
          <w:tcPr>
            <w:tcW w:w="1205" w:type="dxa"/>
            <w:tcBorders>
              <w:top w:val="single" w:sz="4" w:space="0" w:color="auto"/>
              <w:left w:val="single" w:sz="4" w:space="0" w:color="auto"/>
              <w:bottom w:val="single" w:sz="4" w:space="0" w:color="auto"/>
              <w:right w:val="single" w:sz="4" w:space="0" w:color="auto"/>
            </w:tcBorders>
          </w:tcPr>
          <w:p w14:paraId="3007B0CA" w14:textId="77777777" w:rsidR="00C43EED" w:rsidRPr="008F21B3" w:rsidRDefault="00C43EED" w:rsidP="00877A34">
            <w:pPr>
              <w:tabs>
                <w:tab w:val="left" w:pos="2268"/>
              </w:tabs>
              <w:spacing w:before="40" w:after="40"/>
              <w:jc w:val="center"/>
              <w:rPr>
                <w:rFonts w:asciiTheme="majorBidi" w:hAnsiTheme="majorBidi" w:cstheme="majorBidi"/>
                <w:i/>
                <w:sz w:val="18"/>
                <w:szCs w:val="18"/>
              </w:rPr>
            </w:pPr>
            <w:r w:rsidRPr="008F21B3">
              <w:rPr>
                <w:rFonts w:asciiTheme="majorBidi" w:hAnsiTheme="majorBidi" w:cstheme="majorBidi"/>
                <w:sz w:val="18"/>
                <w:szCs w:val="18"/>
              </w:rPr>
              <w:t>1.1</w:t>
            </w:r>
          </w:p>
        </w:tc>
        <w:tc>
          <w:tcPr>
            <w:tcW w:w="1062" w:type="dxa"/>
            <w:vMerge w:val="restart"/>
            <w:tcBorders>
              <w:top w:val="single" w:sz="4" w:space="0" w:color="auto"/>
              <w:left w:val="single" w:sz="4" w:space="0" w:color="auto"/>
              <w:right w:val="single" w:sz="4" w:space="0" w:color="auto"/>
            </w:tcBorders>
          </w:tcPr>
          <w:p w14:paraId="321605EF" w14:textId="77777777" w:rsidR="00C43EED" w:rsidRPr="008F21B3" w:rsidRDefault="00C43EED" w:rsidP="00877A34">
            <w:pPr>
              <w:tabs>
                <w:tab w:val="left" w:pos="2268"/>
              </w:tabs>
              <w:spacing w:before="40" w:after="40"/>
              <w:ind w:right="284"/>
              <w:jc w:val="center"/>
              <w:rPr>
                <w:rFonts w:asciiTheme="majorBidi" w:hAnsiTheme="majorBidi" w:cstheme="majorBidi"/>
                <w:sz w:val="18"/>
                <w:szCs w:val="18"/>
              </w:rPr>
            </w:pPr>
            <w:r w:rsidRPr="008F21B3">
              <w:rPr>
                <w:rFonts w:asciiTheme="majorBidi" w:hAnsiTheme="majorBidi" w:cstheme="majorBidi"/>
                <w:noProof/>
                <w:sz w:val="18"/>
                <w:szCs w:val="18"/>
                <w:lang w:val="sv-SE" w:eastAsia="sv-SE"/>
              </w:rPr>
              <w:drawing>
                <wp:anchor distT="0" distB="0" distL="114300" distR="114300" simplePos="0" relativeHeight="251686912" behindDoc="0" locked="0" layoutInCell="1" allowOverlap="1" wp14:anchorId="46BBFD87" wp14:editId="34FA03BA">
                  <wp:simplePos x="0" y="0"/>
                  <wp:positionH relativeFrom="column">
                    <wp:posOffset>147320</wp:posOffset>
                  </wp:positionH>
                  <wp:positionV relativeFrom="paragraph">
                    <wp:posOffset>568960</wp:posOffset>
                  </wp:positionV>
                  <wp:extent cx="399415" cy="399415"/>
                  <wp:effectExtent l="0" t="0" r="635" b="635"/>
                  <wp:wrapTopAndBottom/>
                  <wp:docPr id="1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tc>
        <w:tc>
          <w:tcPr>
            <w:tcW w:w="1062" w:type="dxa"/>
            <w:vMerge w:val="restart"/>
            <w:tcBorders>
              <w:top w:val="single" w:sz="4" w:space="0" w:color="auto"/>
              <w:left w:val="single" w:sz="4" w:space="0" w:color="auto"/>
              <w:right w:val="single" w:sz="4" w:space="0" w:color="auto"/>
            </w:tcBorders>
            <w:vAlign w:val="center"/>
          </w:tcPr>
          <w:p w14:paraId="11EE5F6B" w14:textId="77777777" w:rsidR="00C43EED" w:rsidRPr="008F21B3" w:rsidRDefault="00C43EED" w:rsidP="00877A34">
            <w:pPr>
              <w:tabs>
                <w:tab w:val="left" w:pos="2268"/>
              </w:tabs>
              <w:spacing w:before="40" w:after="40"/>
              <w:jc w:val="center"/>
              <w:rPr>
                <w:rFonts w:asciiTheme="majorBidi" w:hAnsiTheme="majorBidi" w:cstheme="majorBidi"/>
                <w:i/>
                <w:sz w:val="18"/>
                <w:szCs w:val="18"/>
              </w:rPr>
            </w:pPr>
            <w:r w:rsidRPr="008F21B3">
              <w:rPr>
                <w:rFonts w:asciiTheme="majorBidi" w:hAnsiTheme="majorBidi" w:cstheme="majorBidi"/>
                <w:noProof/>
                <w:sz w:val="18"/>
                <w:szCs w:val="18"/>
                <w:lang w:val="sv-SE" w:eastAsia="sv-SE"/>
              </w:rPr>
              <w:drawing>
                <wp:inline distT="0" distB="0" distL="0" distR="0" wp14:anchorId="766DCEAF" wp14:editId="6D9F00CA">
                  <wp:extent cx="424106" cy="399738"/>
                  <wp:effectExtent l="0" t="0" r="0" b="635"/>
                  <wp:docPr id="11" name="Graphic 11"/>
                  <wp:cNvGraphicFramePr/>
                  <a:graphic xmlns:a="http://schemas.openxmlformats.org/drawingml/2006/main">
                    <a:graphicData uri="http://schemas.openxmlformats.org/drawingml/2006/picture">
                      <pic:pic xmlns:pic="http://schemas.openxmlformats.org/drawingml/2006/picture">
                        <pic:nvPicPr>
                          <pic:cNvPr id="292" name="Graphic 292"/>
                          <pic:cNvPicPr/>
                        </pic:nvPicPr>
                        <pic:blipFill rotWithShape="1">
                          <a:blip r:embed="rId10">
                            <a:extLst>
                              <a:ext uri="{96DAC541-7B7A-43D3-8B79-37D633B846F1}">
                                <asvg:svgBlip xmlns:asvg="http://schemas.microsoft.com/office/drawing/2016/SVG/main" r:embed="rId11"/>
                              </a:ext>
                            </a:extLst>
                          </a:blip>
                          <a:srcRect l="11188" t="11122" r="9638" b="10101"/>
                          <a:stretch/>
                        </pic:blipFill>
                        <pic:spPr bwMode="auto">
                          <a:xfrm>
                            <a:off x="0" y="0"/>
                            <a:ext cx="432077" cy="407251"/>
                          </a:xfrm>
                          <a:prstGeom prst="rect">
                            <a:avLst/>
                          </a:prstGeom>
                          <a:ln>
                            <a:noFill/>
                          </a:ln>
                          <a:extLst>
                            <a:ext uri="{53640926-AAD7-44D8-BBD7-CCE9431645EC}">
                              <a14:shadowObscured xmlns:a14="http://schemas.microsoft.com/office/drawing/2010/main"/>
                            </a:ext>
                          </a:extLst>
                        </pic:spPr>
                      </pic:pic>
                    </a:graphicData>
                  </a:graphic>
                </wp:inline>
              </w:drawing>
            </w:r>
          </w:p>
        </w:tc>
        <w:tc>
          <w:tcPr>
            <w:tcW w:w="1062" w:type="dxa"/>
            <w:vMerge w:val="restart"/>
            <w:tcBorders>
              <w:top w:val="single" w:sz="4" w:space="0" w:color="auto"/>
              <w:left w:val="single" w:sz="4" w:space="0" w:color="auto"/>
              <w:right w:val="single" w:sz="4" w:space="0" w:color="auto"/>
            </w:tcBorders>
            <w:vAlign w:val="center"/>
          </w:tcPr>
          <w:p w14:paraId="00CF4B31"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r w:rsidRPr="008F21B3">
              <w:rPr>
                <w:rFonts w:asciiTheme="majorBidi" w:hAnsiTheme="majorBidi" w:cstheme="majorBidi"/>
                <w:sz w:val="18"/>
                <w:szCs w:val="18"/>
              </w:rPr>
              <w:t>Danger</w:t>
            </w:r>
          </w:p>
        </w:tc>
        <w:tc>
          <w:tcPr>
            <w:tcW w:w="1062" w:type="dxa"/>
            <w:vMerge w:val="restart"/>
            <w:tcBorders>
              <w:top w:val="single" w:sz="4" w:space="0" w:color="auto"/>
              <w:left w:val="single" w:sz="4" w:space="0" w:color="auto"/>
              <w:right w:val="single" w:sz="4" w:space="0" w:color="auto"/>
            </w:tcBorders>
            <w:vAlign w:val="center"/>
          </w:tcPr>
          <w:p w14:paraId="2B843692"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Explosive</w:t>
            </w:r>
          </w:p>
        </w:tc>
        <w:tc>
          <w:tcPr>
            <w:tcW w:w="1062" w:type="dxa"/>
            <w:vMerge w:val="restart"/>
            <w:tcBorders>
              <w:top w:val="single" w:sz="4" w:space="0" w:color="auto"/>
              <w:left w:val="single" w:sz="4" w:space="0" w:color="auto"/>
            </w:tcBorders>
            <w:vAlign w:val="center"/>
          </w:tcPr>
          <w:p w14:paraId="0A2E597B"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H209</w:t>
            </w:r>
          </w:p>
        </w:tc>
      </w:tr>
      <w:tr w:rsidR="00C43EED" w:rsidRPr="008F21B3" w14:paraId="42B4569A" w14:textId="77777777" w:rsidTr="008962B2">
        <w:tc>
          <w:tcPr>
            <w:tcW w:w="1062" w:type="dxa"/>
            <w:vMerge/>
            <w:tcBorders>
              <w:right w:val="single" w:sz="4" w:space="0" w:color="auto"/>
            </w:tcBorders>
          </w:tcPr>
          <w:p w14:paraId="34A1FDCF"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vMerge/>
            <w:tcBorders>
              <w:left w:val="single" w:sz="4" w:space="0" w:color="auto"/>
              <w:right w:val="single" w:sz="4" w:space="0" w:color="auto"/>
            </w:tcBorders>
          </w:tcPr>
          <w:p w14:paraId="4592BFD5"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p>
        </w:tc>
        <w:tc>
          <w:tcPr>
            <w:tcW w:w="1205" w:type="dxa"/>
            <w:tcBorders>
              <w:top w:val="single" w:sz="4" w:space="0" w:color="auto"/>
              <w:left w:val="single" w:sz="4" w:space="0" w:color="auto"/>
              <w:bottom w:val="single" w:sz="4" w:space="0" w:color="auto"/>
              <w:right w:val="single" w:sz="4" w:space="0" w:color="auto"/>
            </w:tcBorders>
          </w:tcPr>
          <w:p w14:paraId="29D63778"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1.2</w:t>
            </w:r>
          </w:p>
        </w:tc>
        <w:tc>
          <w:tcPr>
            <w:tcW w:w="1062" w:type="dxa"/>
            <w:vMerge/>
            <w:tcBorders>
              <w:left w:val="single" w:sz="4" w:space="0" w:color="auto"/>
              <w:right w:val="single" w:sz="4" w:space="0" w:color="auto"/>
            </w:tcBorders>
          </w:tcPr>
          <w:p w14:paraId="1A1AB3BD"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1062" w:type="dxa"/>
            <w:vMerge/>
            <w:tcBorders>
              <w:left w:val="single" w:sz="4" w:space="0" w:color="auto"/>
              <w:right w:val="single" w:sz="4" w:space="0" w:color="auto"/>
            </w:tcBorders>
          </w:tcPr>
          <w:p w14:paraId="0D6E1588" w14:textId="77777777" w:rsidR="00C43EED" w:rsidRPr="008F21B3" w:rsidRDefault="00C43EED" w:rsidP="00877A34">
            <w:pPr>
              <w:tabs>
                <w:tab w:val="left" w:pos="2268"/>
              </w:tabs>
              <w:spacing w:before="40" w:after="40"/>
              <w:jc w:val="center"/>
              <w:rPr>
                <w:rFonts w:asciiTheme="majorBidi" w:hAnsiTheme="majorBidi" w:cstheme="majorBidi"/>
                <w:i/>
                <w:sz w:val="18"/>
                <w:szCs w:val="18"/>
              </w:rPr>
            </w:pPr>
          </w:p>
        </w:tc>
        <w:tc>
          <w:tcPr>
            <w:tcW w:w="1062" w:type="dxa"/>
            <w:vMerge/>
            <w:tcBorders>
              <w:left w:val="single" w:sz="4" w:space="0" w:color="auto"/>
              <w:right w:val="single" w:sz="4" w:space="0" w:color="auto"/>
            </w:tcBorders>
          </w:tcPr>
          <w:p w14:paraId="533CBAE7"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right w:val="single" w:sz="4" w:space="0" w:color="auto"/>
            </w:tcBorders>
          </w:tcPr>
          <w:p w14:paraId="5BDB081B"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tcBorders>
          </w:tcPr>
          <w:p w14:paraId="7CD2EBFD"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r>
      <w:tr w:rsidR="00C43EED" w:rsidRPr="008F21B3" w14:paraId="53963C5E" w14:textId="77777777" w:rsidTr="008962B2">
        <w:tc>
          <w:tcPr>
            <w:tcW w:w="1062" w:type="dxa"/>
            <w:vMerge/>
            <w:tcBorders>
              <w:right w:val="single" w:sz="4" w:space="0" w:color="auto"/>
            </w:tcBorders>
          </w:tcPr>
          <w:p w14:paraId="1B6B1801"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vMerge/>
            <w:tcBorders>
              <w:left w:val="single" w:sz="4" w:space="0" w:color="auto"/>
              <w:right w:val="single" w:sz="4" w:space="0" w:color="auto"/>
            </w:tcBorders>
          </w:tcPr>
          <w:p w14:paraId="7684B1D5"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p>
        </w:tc>
        <w:tc>
          <w:tcPr>
            <w:tcW w:w="1205" w:type="dxa"/>
            <w:tcBorders>
              <w:top w:val="single" w:sz="4" w:space="0" w:color="auto"/>
              <w:left w:val="single" w:sz="4" w:space="0" w:color="auto"/>
              <w:bottom w:val="single" w:sz="4" w:space="0" w:color="auto"/>
              <w:right w:val="single" w:sz="4" w:space="0" w:color="auto"/>
            </w:tcBorders>
          </w:tcPr>
          <w:p w14:paraId="5BA71F8E"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1.3</w:t>
            </w:r>
          </w:p>
        </w:tc>
        <w:tc>
          <w:tcPr>
            <w:tcW w:w="1062" w:type="dxa"/>
            <w:vMerge/>
            <w:tcBorders>
              <w:left w:val="single" w:sz="4" w:space="0" w:color="auto"/>
              <w:right w:val="single" w:sz="4" w:space="0" w:color="auto"/>
            </w:tcBorders>
          </w:tcPr>
          <w:p w14:paraId="35726912"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1062" w:type="dxa"/>
            <w:vMerge/>
            <w:tcBorders>
              <w:left w:val="single" w:sz="4" w:space="0" w:color="auto"/>
              <w:bottom w:val="single" w:sz="4" w:space="0" w:color="auto"/>
              <w:right w:val="single" w:sz="4" w:space="0" w:color="auto"/>
            </w:tcBorders>
          </w:tcPr>
          <w:p w14:paraId="0135B341" w14:textId="77777777" w:rsidR="00C43EED" w:rsidRPr="008F21B3" w:rsidRDefault="00C43EED" w:rsidP="00877A34">
            <w:pPr>
              <w:tabs>
                <w:tab w:val="left" w:pos="2268"/>
              </w:tabs>
              <w:spacing w:before="40" w:after="40"/>
              <w:jc w:val="center"/>
              <w:rPr>
                <w:rFonts w:asciiTheme="majorBidi" w:hAnsiTheme="majorBidi" w:cstheme="majorBidi"/>
                <w:i/>
                <w:sz w:val="18"/>
                <w:szCs w:val="18"/>
              </w:rPr>
            </w:pPr>
          </w:p>
        </w:tc>
        <w:tc>
          <w:tcPr>
            <w:tcW w:w="1062" w:type="dxa"/>
            <w:vMerge/>
            <w:tcBorders>
              <w:left w:val="single" w:sz="4" w:space="0" w:color="auto"/>
              <w:right w:val="single" w:sz="4" w:space="0" w:color="auto"/>
            </w:tcBorders>
          </w:tcPr>
          <w:p w14:paraId="042A84AE"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right w:val="single" w:sz="4" w:space="0" w:color="auto"/>
            </w:tcBorders>
          </w:tcPr>
          <w:p w14:paraId="6E30C64D"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tcBorders>
          </w:tcPr>
          <w:p w14:paraId="60345B0F"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r>
      <w:tr w:rsidR="00C43EED" w:rsidRPr="008F21B3" w14:paraId="0B6A6A1D" w14:textId="77777777" w:rsidTr="008962B2">
        <w:tc>
          <w:tcPr>
            <w:tcW w:w="1062" w:type="dxa"/>
            <w:vMerge/>
            <w:tcBorders>
              <w:right w:val="single" w:sz="4" w:space="0" w:color="auto"/>
            </w:tcBorders>
          </w:tcPr>
          <w:p w14:paraId="4596CDE5"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vMerge/>
            <w:tcBorders>
              <w:left w:val="single" w:sz="4" w:space="0" w:color="auto"/>
              <w:right w:val="single" w:sz="4" w:space="0" w:color="auto"/>
            </w:tcBorders>
          </w:tcPr>
          <w:p w14:paraId="4565ABAC"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p>
        </w:tc>
        <w:tc>
          <w:tcPr>
            <w:tcW w:w="1205" w:type="dxa"/>
            <w:tcBorders>
              <w:top w:val="single" w:sz="4" w:space="0" w:color="auto"/>
              <w:left w:val="single" w:sz="4" w:space="0" w:color="auto"/>
              <w:bottom w:val="single" w:sz="4" w:space="0" w:color="auto"/>
              <w:right w:val="single" w:sz="4" w:space="0" w:color="auto"/>
            </w:tcBorders>
          </w:tcPr>
          <w:p w14:paraId="6877CB62"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1.5</w:t>
            </w:r>
          </w:p>
        </w:tc>
        <w:tc>
          <w:tcPr>
            <w:tcW w:w="1062" w:type="dxa"/>
            <w:vMerge/>
            <w:tcBorders>
              <w:left w:val="single" w:sz="4" w:space="0" w:color="auto"/>
              <w:right w:val="single" w:sz="4" w:space="0" w:color="auto"/>
            </w:tcBorders>
          </w:tcPr>
          <w:p w14:paraId="56C27000"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1062" w:type="dxa"/>
            <w:tcBorders>
              <w:top w:val="single" w:sz="4" w:space="0" w:color="auto"/>
              <w:left w:val="single" w:sz="4" w:space="0" w:color="auto"/>
              <w:bottom w:val="single" w:sz="4" w:space="0" w:color="auto"/>
              <w:right w:val="single" w:sz="4" w:space="0" w:color="auto"/>
            </w:tcBorders>
          </w:tcPr>
          <w:p w14:paraId="7C4FA46F" w14:textId="77777777" w:rsidR="00C43EED" w:rsidRPr="008F21B3" w:rsidRDefault="00C43EED" w:rsidP="00877A34">
            <w:pPr>
              <w:tabs>
                <w:tab w:val="left" w:pos="2268"/>
              </w:tabs>
              <w:spacing w:before="40" w:after="40"/>
              <w:jc w:val="center"/>
              <w:rPr>
                <w:rFonts w:asciiTheme="majorBidi" w:hAnsiTheme="majorBidi" w:cstheme="majorBidi"/>
                <w:i/>
                <w:sz w:val="18"/>
                <w:szCs w:val="18"/>
              </w:rPr>
            </w:pPr>
            <w:r w:rsidRPr="008F21B3">
              <w:rPr>
                <w:rFonts w:asciiTheme="majorBidi" w:hAnsiTheme="majorBidi" w:cstheme="majorBidi"/>
                <w:b/>
                <w:noProof/>
                <w:sz w:val="18"/>
                <w:szCs w:val="18"/>
              </w:rPr>
              <w:drawing>
                <wp:inline distT="0" distB="0" distL="0" distR="0" wp14:anchorId="07EE30E9" wp14:editId="57D700EF">
                  <wp:extent cx="419860" cy="4198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395" cy="423395"/>
                          </a:xfrm>
                          <a:prstGeom prst="rect">
                            <a:avLst/>
                          </a:prstGeom>
                          <a:noFill/>
                          <a:ln>
                            <a:noFill/>
                          </a:ln>
                        </pic:spPr>
                      </pic:pic>
                    </a:graphicData>
                  </a:graphic>
                </wp:inline>
              </w:drawing>
            </w:r>
          </w:p>
        </w:tc>
        <w:tc>
          <w:tcPr>
            <w:tcW w:w="1062" w:type="dxa"/>
            <w:vMerge/>
            <w:tcBorders>
              <w:left w:val="single" w:sz="4" w:space="0" w:color="auto"/>
              <w:right w:val="single" w:sz="4" w:space="0" w:color="auto"/>
            </w:tcBorders>
          </w:tcPr>
          <w:p w14:paraId="166440DF"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right w:val="single" w:sz="4" w:space="0" w:color="auto"/>
            </w:tcBorders>
          </w:tcPr>
          <w:p w14:paraId="1F1958F2"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tcBorders>
          </w:tcPr>
          <w:p w14:paraId="2A75FCA7"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r>
      <w:tr w:rsidR="00C43EED" w:rsidRPr="008F21B3" w14:paraId="79B79157" w14:textId="77777777" w:rsidTr="00C43EED">
        <w:tc>
          <w:tcPr>
            <w:tcW w:w="1062" w:type="dxa"/>
            <w:vMerge/>
            <w:tcBorders>
              <w:right w:val="single" w:sz="4" w:space="0" w:color="auto"/>
            </w:tcBorders>
          </w:tcPr>
          <w:p w14:paraId="0C758D0A"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vMerge/>
            <w:tcBorders>
              <w:left w:val="single" w:sz="4" w:space="0" w:color="auto"/>
              <w:right w:val="single" w:sz="4" w:space="0" w:color="auto"/>
            </w:tcBorders>
          </w:tcPr>
          <w:p w14:paraId="14B07C72"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p>
        </w:tc>
        <w:tc>
          <w:tcPr>
            <w:tcW w:w="1205" w:type="dxa"/>
            <w:tcBorders>
              <w:top w:val="single" w:sz="4" w:space="0" w:color="auto"/>
              <w:left w:val="single" w:sz="4" w:space="0" w:color="auto"/>
              <w:bottom w:val="single" w:sz="4" w:space="0" w:color="auto"/>
              <w:right w:val="single" w:sz="4" w:space="0" w:color="auto"/>
            </w:tcBorders>
          </w:tcPr>
          <w:p w14:paraId="51A2E3A6"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1.6</w:t>
            </w:r>
          </w:p>
        </w:tc>
        <w:tc>
          <w:tcPr>
            <w:tcW w:w="1062" w:type="dxa"/>
            <w:vMerge/>
            <w:tcBorders>
              <w:left w:val="single" w:sz="4" w:space="0" w:color="auto"/>
              <w:bottom w:val="nil"/>
              <w:right w:val="single" w:sz="4" w:space="0" w:color="auto"/>
            </w:tcBorders>
          </w:tcPr>
          <w:p w14:paraId="71044705"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1062" w:type="dxa"/>
            <w:tcBorders>
              <w:top w:val="single" w:sz="4" w:space="0" w:color="auto"/>
              <w:left w:val="single" w:sz="4" w:space="0" w:color="auto"/>
              <w:bottom w:val="single" w:sz="4" w:space="0" w:color="auto"/>
              <w:right w:val="single" w:sz="4" w:space="0" w:color="auto"/>
            </w:tcBorders>
          </w:tcPr>
          <w:p w14:paraId="4C25845A" w14:textId="77777777" w:rsidR="00C43EED" w:rsidRPr="008F21B3" w:rsidRDefault="00C43EED" w:rsidP="00877A34">
            <w:pPr>
              <w:tabs>
                <w:tab w:val="left" w:pos="2268"/>
              </w:tabs>
              <w:spacing w:before="40" w:after="40"/>
              <w:jc w:val="center"/>
              <w:rPr>
                <w:rFonts w:asciiTheme="majorBidi" w:hAnsiTheme="majorBidi" w:cstheme="majorBidi"/>
                <w:noProof/>
                <w:sz w:val="18"/>
                <w:szCs w:val="18"/>
                <w:lang w:val="sv-SE" w:eastAsia="sv-SE"/>
              </w:rPr>
            </w:pPr>
            <w:r w:rsidRPr="008F21B3">
              <w:rPr>
                <w:rFonts w:asciiTheme="majorBidi" w:hAnsiTheme="majorBidi" w:cstheme="majorBidi"/>
                <w:b/>
                <w:noProof/>
                <w:sz w:val="18"/>
                <w:szCs w:val="18"/>
              </w:rPr>
              <w:drawing>
                <wp:inline distT="0" distB="0" distL="0" distR="0" wp14:anchorId="6E4BA3B1" wp14:editId="66D3B974">
                  <wp:extent cx="429510" cy="429510"/>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9859" cy="439859"/>
                          </a:xfrm>
                          <a:prstGeom prst="rect">
                            <a:avLst/>
                          </a:prstGeom>
                          <a:noFill/>
                          <a:ln>
                            <a:noFill/>
                          </a:ln>
                        </pic:spPr>
                      </pic:pic>
                    </a:graphicData>
                  </a:graphic>
                </wp:inline>
              </w:drawing>
            </w:r>
          </w:p>
        </w:tc>
        <w:tc>
          <w:tcPr>
            <w:tcW w:w="1062" w:type="dxa"/>
            <w:vMerge/>
            <w:tcBorders>
              <w:left w:val="single" w:sz="4" w:space="0" w:color="auto"/>
              <w:right w:val="single" w:sz="4" w:space="0" w:color="auto"/>
            </w:tcBorders>
          </w:tcPr>
          <w:p w14:paraId="56533C26"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right w:val="single" w:sz="4" w:space="0" w:color="auto"/>
            </w:tcBorders>
          </w:tcPr>
          <w:p w14:paraId="52375445"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tcBorders>
          </w:tcPr>
          <w:p w14:paraId="2FA8CC6F"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p>
        </w:tc>
      </w:tr>
      <w:tr w:rsidR="00C43EED" w:rsidRPr="008F21B3" w14:paraId="2E588ED9" w14:textId="77777777" w:rsidTr="008962B2">
        <w:trPr>
          <w:trHeight w:val="734"/>
        </w:trPr>
        <w:tc>
          <w:tcPr>
            <w:tcW w:w="1062" w:type="dxa"/>
            <w:vMerge/>
            <w:tcBorders>
              <w:bottom w:val="single" w:sz="4" w:space="0" w:color="auto"/>
              <w:right w:val="single" w:sz="4" w:space="0" w:color="auto"/>
            </w:tcBorders>
          </w:tcPr>
          <w:p w14:paraId="124FC0B4"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vMerge/>
            <w:tcBorders>
              <w:left w:val="single" w:sz="4" w:space="0" w:color="auto"/>
              <w:bottom w:val="single" w:sz="4" w:space="0" w:color="auto"/>
              <w:right w:val="single" w:sz="4" w:space="0" w:color="auto"/>
            </w:tcBorders>
          </w:tcPr>
          <w:p w14:paraId="18A063E1" w14:textId="77777777" w:rsidR="00C43EED" w:rsidRPr="008F21B3" w:rsidRDefault="00C43EED" w:rsidP="00877A34">
            <w:pPr>
              <w:tabs>
                <w:tab w:val="left" w:pos="2268"/>
              </w:tabs>
              <w:spacing w:before="40" w:after="40"/>
              <w:ind w:right="-3"/>
              <w:jc w:val="center"/>
              <w:rPr>
                <w:rFonts w:asciiTheme="majorBidi" w:hAnsiTheme="majorBidi" w:cstheme="majorBidi"/>
                <w:sz w:val="18"/>
                <w:szCs w:val="18"/>
              </w:rPr>
            </w:pPr>
          </w:p>
        </w:tc>
        <w:tc>
          <w:tcPr>
            <w:tcW w:w="1205" w:type="dxa"/>
            <w:vMerge w:val="restart"/>
            <w:tcBorders>
              <w:top w:val="single" w:sz="4" w:space="0" w:color="auto"/>
              <w:left w:val="single" w:sz="4" w:space="0" w:color="auto"/>
              <w:bottom w:val="single" w:sz="4" w:space="0" w:color="auto"/>
              <w:right w:val="single" w:sz="4" w:space="0" w:color="auto"/>
            </w:tcBorders>
            <w:vAlign w:val="center"/>
          </w:tcPr>
          <w:p w14:paraId="5C2461D7"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1.4</w:t>
            </w:r>
          </w:p>
        </w:tc>
        <w:tc>
          <w:tcPr>
            <w:tcW w:w="1062" w:type="dxa"/>
            <w:tcBorders>
              <w:top w:val="nil"/>
              <w:left w:val="single" w:sz="4" w:space="0" w:color="auto"/>
              <w:bottom w:val="single" w:sz="4" w:space="0" w:color="auto"/>
              <w:right w:val="single" w:sz="4" w:space="0" w:color="auto"/>
            </w:tcBorders>
          </w:tcPr>
          <w:p w14:paraId="7ACA4A4C" w14:textId="77777777" w:rsidR="00C43EED" w:rsidRPr="008F21B3" w:rsidRDefault="00C43EED" w:rsidP="008F21B3">
            <w:pPr>
              <w:tabs>
                <w:tab w:val="left" w:pos="2268"/>
              </w:tabs>
              <w:spacing w:before="40" w:after="40"/>
              <w:jc w:val="center"/>
              <w:rPr>
                <w:rFonts w:asciiTheme="majorBidi" w:hAnsiTheme="majorBidi" w:cstheme="majorBidi"/>
                <w:noProof/>
                <w:sz w:val="18"/>
                <w:szCs w:val="18"/>
                <w:lang w:val="sv-SE" w:eastAsia="sv-SE"/>
              </w:rPr>
            </w:pPr>
          </w:p>
        </w:tc>
        <w:tc>
          <w:tcPr>
            <w:tcW w:w="1062" w:type="dxa"/>
            <w:vMerge w:val="restart"/>
            <w:tcBorders>
              <w:top w:val="single" w:sz="4" w:space="0" w:color="auto"/>
              <w:left w:val="single" w:sz="4" w:space="0" w:color="auto"/>
              <w:bottom w:val="single" w:sz="4" w:space="0" w:color="auto"/>
              <w:right w:val="single" w:sz="4" w:space="0" w:color="auto"/>
            </w:tcBorders>
            <w:vAlign w:val="center"/>
          </w:tcPr>
          <w:p w14:paraId="3D91339B" w14:textId="77777777" w:rsidR="00C43EED" w:rsidRDefault="00C43EED" w:rsidP="00877A34">
            <w:pPr>
              <w:tabs>
                <w:tab w:val="left" w:pos="2268"/>
              </w:tabs>
              <w:spacing w:before="40" w:after="40"/>
              <w:jc w:val="center"/>
              <w:rPr>
                <w:b/>
                <w:noProof/>
                <w:sz w:val="18"/>
                <w:szCs w:val="18"/>
              </w:rPr>
            </w:pPr>
            <w:r>
              <w:rPr>
                <w:b/>
                <w:noProof/>
                <w:sz w:val="18"/>
                <w:szCs w:val="18"/>
              </w:rPr>
              <w:drawing>
                <wp:inline distT="0" distB="0" distL="0" distR="0" wp14:anchorId="637E9698" wp14:editId="0A641DF0">
                  <wp:extent cx="409356" cy="40935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501" cy="420501"/>
                          </a:xfrm>
                          <a:prstGeom prst="rect">
                            <a:avLst/>
                          </a:prstGeom>
                          <a:noFill/>
                          <a:ln>
                            <a:noFill/>
                          </a:ln>
                        </pic:spPr>
                      </pic:pic>
                    </a:graphicData>
                  </a:graphic>
                </wp:inline>
              </w:drawing>
            </w:r>
          </w:p>
        </w:tc>
        <w:tc>
          <w:tcPr>
            <w:tcW w:w="1062" w:type="dxa"/>
            <w:vMerge/>
            <w:tcBorders>
              <w:left w:val="single" w:sz="4" w:space="0" w:color="auto"/>
              <w:bottom w:val="single" w:sz="4" w:space="0" w:color="auto"/>
              <w:right w:val="single" w:sz="4" w:space="0" w:color="auto"/>
            </w:tcBorders>
            <w:vAlign w:val="center"/>
          </w:tcPr>
          <w:p w14:paraId="06758DAA" w14:textId="77777777" w:rsidR="00C43EED"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bottom w:val="single" w:sz="4" w:space="0" w:color="auto"/>
              <w:right w:val="single" w:sz="4" w:space="0" w:color="auto"/>
            </w:tcBorders>
            <w:vAlign w:val="center"/>
          </w:tcPr>
          <w:p w14:paraId="66C869C1" w14:textId="77777777" w:rsidR="00C43EED" w:rsidRDefault="00C43EED" w:rsidP="00877A34">
            <w:pPr>
              <w:tabs>
                <w:tab w:val="left" w:pos="2268"/>
              </w:tabs>
              <w:spacing w:before="40" w:after="40"/>
              <w:jc w:val="center"/>
              <w:rPr>
                <w:rFonts w:asciiTheme="majorBidi" w:hAnsiTheme="majorBidi" w:cstheme="majorBidi"/>
                <w:iCs/>
                <w:sz w:val="18"/>
                <w:szCs w:val="18"/>
              </w:rPr>
            </w:pPr>
          </w:p>
        </w:tc>
        <w:tc>
          <w:tcPr>
            <w:tcW w:w="1062" w:type="dxa"/>
            <w:vMerge/>
            <w:tcBorders>
              <w:left w:val="single" w:sz="4" w:space="0" w:color="auto"/>
              <w:bottom w:val="single" w:sz="4" w:space="0" w:color="auto"/>
            </w:tcBorders>
            <w:vAlign w:val="center"/>
          </w:tcPr>
          <w:p w14:paraId="318DF764" w14:textId="77777777" w:rsidR="00C43EED" w:rsidRPr="008F21B3" w:rsidRDefault="00C43EED" w:rsidP="00877A34">
            <w:pPr>
              <w:tabs>
                <w:tab w:val="left" w:pos="2268"/>
              </w:tabs>
              <w:spacing w:before="40" w:after="40"/>
              <w:jc w:val="center"/>
              <w:rPr>
                <w:rFonts w:asciiTheme="majorBidi" w:hAnsiTheme="majorBidi" w:cstheme="majorBidi"/>
                <w:sz w:val="18"/>
                <w:szCs w:val="18"/>
              </w:rPr>
            </w:pPr>
          </w:p>
        </w:tc>
      </w:tr>
      <w:tr w:rsidR="00C43EED" w:rsidRPr="008F21B3" w14:paraId="3E0CDBCE" w14:textId="77777777" w:rsidTr="00C43EED">
        <w:tc>
          <w:tcPr>
            <w:tcW w:w="1062" w:type="dxa"/>
            <w:vMerge/>
            <w:tcBorders>
              <w:right w:val="single" w:sz="4" w:space="0" w:color="auto"/>
            </w:tcBorders>
          </w:tcPr>
          <w:p w14:paraId="166CD44E"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14:paraId="68197406" w14:textId="77777777" w:rsidR="00C43EED" w:rsidRPr="008F21B3" w:rsidRDefault="00C43EED" w:rsidP="00C43EED">
            <w:pPr>
              <w:tabs>
                <w:tab w:val="left" w:pos="2268"/>
              </w:tabs>
              <w:spacing w:before="40" w:after="40"/>
              <w:ind w:right="-3"/>
              <w:jc w:val="center"/>
              <w:rPr>
                <w:rFonts w:asciiTheme="majorBidi" w:hAnsiTheme="majorBidi" w:cstheme="majorBidi"/>
                <w:sz w:val="18"/>
                <w:szCs w:val="18"/>
              </w:rPr>
            </w:pPr>
            <w:r w:rsidRPr="008F21B3">
              <w:rPr>
                <w:rFonts w:asciiTheme="majorBidi" w:hAnsiTheme="majorBidi" w:cstheme="majorBidi"/>
                <w:sz w:val="18"/>
                <w:szCs w:val="18"/>
              </w:rPr>
              <w:t>2B</w:t>
            </w:r>
          </w:p>
        </w:tc>
        <w:tc>
          <w:tcPr>
            <w:tcW w:w="1205" w:type="dxa"/>
            <w:vMerge/>
            <w:tcBorders>
              <w:left w:val="single" w:sz="4" w:space="0" w:color="auto"/>
              <w:right w:val="single" w:sz="4" w:space="0" w:color="auto"/>
            </w:tcBorders>
            <w:vAlign w:val="center"/>
          </w:tcPr>
          <w:p w14:paraId="3384F328" w14:textId="77777777" w:rsidR="00C43EED" w:rsidRPr="008F21B3" w:rsidRDefault="00C43EED" w:rsidP="00877A34">
            <w:pPr>
              <w:tabs>
                <w:tab w:val="left" w:pos="2268"/>
              </w:tabs>
              <w:spacing w:before="40" w:after="40"/>
              <w:jc w:val="center"/>
              <w:rPr>
                <w:rFonts w:asciiTheme="majorBidi" w:hAnsiTheme="majorBidi" w:cstheme="majorBidi"/>
                <w:sz w:val="18"/>
                <w:szCs w:val="18"/>
              </w:rPr>
            </w:pPr>
          </w:p>
        </w:tc>
        <w:tc>
          <w:tcPr>
            <w:tcW w:w="1062" w:type="dxa"/>
            <w:tcBorders>
              <w:left w:val="single" w:sz="4" w:space="0" w:color="auto"/>
              <w:right w:val="single" w:sz="4" w:space="0" w:color="auto"/>
            </w:tcBorders>
          </w:tcPr>
          <w:p w14:paraId="0E710B5E" w14:textId="77777777" w:rsidR="00C43EED" w:rsidRPr="008F21B3" w:rsidRDefault="00C43EED" w:rsidP="008F21B3">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noProof/>
                <w:sz w:val="18"/>
                <w:szCs w:val="18"/>
                <w:lang w:val="sv-SE" w:eastAsia="sv-SE"/>
              </w:rPr>
              <w:drawing>
                <wp:inline distT="0" distB="0" distL="0" distR="0" wp14:anchorId="3DDD3610" wp14:editId="6A6FCE4A">
                  <wp:extent cx="399415" cy="399415"/>
                  <wp:effectExtent l="0" t="0" r="635" b="635"/>
                  <wp:docPr id="2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415" cy="399415"/>
                          </a:xfrm>
                          <a:prstGeom prst="rect">
                            <a:avLst/>
                          </a:prstGeom>
                        </pic:spPr>
                      </pic:pic>
                    </a:graphicData>
                  </a:graphic>
                </wp:inline>
              </w:drawing>
            </w:r>
          </w:p>
        </w:tc>
        <w:tc>
          <w:tcPr>
            <w:tcW w:w="1062" w:type="dxa"/>
            <w:vMerge/>
            <w:tcBorders>
              <w:left w:val="single" w:sz="4" w:space="0" w:color="auto"/>
              <w:right w:val="single" w:sz="4" w:space="0" w:color="auto"/>
            </w:tcBorders>
            <w:vAlign w:val="center"/>
          </w:tcPr>
          <w:p w14:paraId="21CDD3B7" w14:textId="77777777" w:rsidR="00C43EED" w:rsidRPr="008F21B3" w:rsidRDefault="00C43EED" w:rsidP="00877A34">
            <w:pPr>
              <w:tabs>
                <w:tab w:val="left" w:pos="2268"/>
              </w:tabs>
              <w:spacing w:before="40" w:after="40"/>
              <w:jc w:val="center"/>
              <w:rPr>
                <w:rFonts w:asciiTheme="majorBidi" w:hAnsiTheme="majorBidi" w:cstheme="majorBidi"/>
                <w:b/>
                <w:noProof/>
                <w:sz w:val="18"/>
                <w:szCs w:val="18"/>
              </w:rPr>
            </w:pPr>
          </w:p>
        </w:tc>
        <w:tc>
          <w:tcPr>
            <w:tcW w:w="1062" w:type="dxa"/>
            <w:tcBorders>
              <w:left w:val="single" w:sz="4" w:space="0" w:color="auto"/>
              <w:right w:val="single" w:sz="4" w:space="0" w:color="auto"/>
            </w:tcBorders>
            <w:vAlign w:val="center"/>
          </w:tcPr>
          <w:p w14:paraId="703FE0A7"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r>
              <w:rPr>
                <w:rFonts w:asciiTheme="majorBidi" w:hAnsiTheme="majorBidi" w:cstheme="majorBidi"/>
                <w:iCs/>
                <w:sz w:val="18"/>
                <w:szCs w:val="18"/>
              </w:rPr>
              <w:t>Warning</w:t>
            </w:r>
          </w:p>
        </w:tc>
        <w:tc>
          <w:tcPr>
            <w:tcW w:w="1062" w:type="dxa"/>
            <w:tcBorders>
              <w:left w:val="single" w:sz="4" w:space="0" w:color="auto"/>
              <w:right w:val="single" w:sz="4" w:space="0" w:color="auto"/>
            </w:tcBorders>
            <w:vAlign w:val="center"/>
          </w:tcPr>
          <w:p w14:paraId="5D9A6A51"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r>
              <w:rPr>
                <w:rFonts w:asciiTheme="majorBidi" w:hAnsiTheme="majorBidi" w:cstheme="majorBidi"/>
                <w:iCs/>
                <w:sz w:val="18"/>
                <w:szCs w:val="18"/>
              </w:rPr>
              <w:t>Fire or projection hazard</w:t>
            </w:r>
          </w:p>
        </w:tc>
        <w:tc>
          <w:tcPr>
            <w:tcW w:w="1062" w:type="dxa"/>
            <w:tcBorders>
              <w:left w:val="single" w:sz="4" w:space="0" w:color="auto"/>
            </w:tcBorders>
            <w:vAlign w:val="center"/>
          </w:tcPr>
          <w:p w14:paraId="07ED84D0" w14:textId="77777777" w:rsidR="00C43EED" w:rsidRPr="008F21B3" w:rsidRDefault="00C43EED" w:rsidP="00877A34">
            <w:pPr>
              <w:tabs>
                <w:tab w:val="left" w:pos="2268"/>
              </w:tabs>
              <w:spacing w:before="40" w:after="40"/>
              <w:jc w:val="center"/>
              <w:rPr>
                <w:rFonts w:asciiTheme="majorBidi" w:hAnsiTheme="majorBidi" w:cstheme="majorBidi"/>
                <w:iCs/>
                <w:sz w:val="18"/>
                <w:szCs w:val="18"/>
              </w:rPr>
            </w:pPr>
            <w:r w:rsidRPr="008F21B3">
              <w:rPr>
                <w:rFonts w:asciiTheme="majorBidi" w:hAnsiTheme="majorBidi" w:cstheme="majorBidi"/>
                <w:sz w:val="18"/>
                <w:szCs w:val="18"/>
              </w:rPr>
              <w:t>H20</w:t>
            </w:r>
            <w:r>
              <w:rPr>
                <w:rFonts w:asciiTheme="majorBidi" w:hAnsiTheme="majorBidi" w:cstheme="majorBidi"/>
                <w:sz w:val="18"/>
                <w:szCs w:val="18"/>
              </w:rPr>
              <w:t>4</w:t>
            </w:r>
          </w:p>
        </w:tc>
      </w:tr>
      <w:tr w:rsidR="00C43EED" w:rsidRPr="008F21B3" w14:paraId="0E11DB30" w14:textId="77777777" w:rsidTr="00C43EED">
        <w:tc>
          <w:tcPr>
            <w:tcW w:w="1062" w:type="dxa"/>
            <w:vMerge/>
            <w:tcBorders>
              <w:right w:val="single" w:sz="4" w:space="0" w:color="auto"/>
            </w:tcBorders>
          </w:tcPr>
          <w:p w14:paraId="0E59492D" w14:textId="77777777" w:rsidR="00C43EED" w:rsidRPr="008F21B3" w:rsidRDefault="00C43EED" w:rsidP="00877A34">
            <w:pPr>
              <w:tabs>
                <w:tab w:val="left" w:pos="2268"/>
              </w:tabs>
              <w:spacing w:before="40" w:after="40"/>
              <w:ind w:right="284"/>
              <w:rPr>
                <w:rFonts w:asciiTheme="majorBidi" w:hAnsiTheme="majorBidi" w:cstheme="majorBidi"/>
                <w:sz w:val="18"/>
                <w:szCs w:val="18"/>
              </w:rPr>
            </w:pPr>
          </w:p>
        </w:tc>
        <w:tc>
          <w:tcPr>
            <w:tcW w:w="918" w:type="dxa"/>
            <w:tcBorders>
              <w:top w:val="single" w:sz="4" w:space="0" w:color="auto"/>
              <w:left w:val="single" w:sz="4" w:space="0" w:color="auto"/>
              <w:right w:val="single" w:sz="4" w:space="0" w:color="auto"/>
            </w:tcBorders>
            <w:vAlign w:val="center"/>
          </w:tcPr>
          <w:p w14:paraId="125906F0" w14:textId="77777777" w:rsidR="00C43EED" w:rsidRPr="008F21B3" w:rsidRDefault="00C43EED" w:rsidP="00C43EED">
            <w:pPr>
              <w:tabs>
                <w:tab w:val="left" w:pos="2268"/>
              </w:tabs>
              <w:spacing w:before="40" w:after="40"/>
              <w:ind w:right="-3"/>
              <w:jc w:val="center"/>
              <w:rPr>
                <w:rFonts w:asciiTheme="majorBidi" w:hAnsiTheme="majorBidi" w:cstheme="majorBidi"/>
                <w:sz w:val="18"/>
                <w:szCs w:val="18"/>
              </w:rPr>
            </w:pPr>
            <w:r>
              <w:rPr>
                <w:rFonts w:asciiTheme="majorBidi" w:hAnsiTheme="majorBidi" w:cstheme="majorBidi"/>
                <w:sz w:val="18"/>
                <w:szCs w:val="18"/>
              </w:rPr>
              <w:t>2C</w:t>
            </w:r>
          </w:p>
        </w:tc>
        <w:tc>
          <w:tcPr>
            <w:tcW w:w="1205" w:type="dxa"/>
            <w:vMerge/>
            <w:tcBorders>
              <w:left w:val="single" w:sz="4" w:space="0" w:color="auto"/>
              <w:right w:val="single" w:sz="4" w:space="0" w:color="auto"/>
            </w:tcBorders>
          </w:tcPr>
          <w:p w14:paraId="7C6BD284" w14:textId="77777777" w:rsidR="00C43EED" w:rsidRPr="008F21B3" w:rsidRDefault="00C43EED" w:rsidP="00877A34">
            <w:pPr>
              <w:tabs>
                <w:tab w:val="left" w:pos="2268"/>
              </w:tabs>
              <w:spacing w:before="40" w:after="40"/>
              <w:jc w:val="center"/>
              <w:rPr>
                <w:rFonts w:asciiTheme="majorBidi" w:hAnsiTheme="majorBidi" w:cstheme="majorBidi"/>
                <w:sz w:val="18"/>
                <w:szCs w:val="18"/>
              </w:rPr>
            </w:pPr>
          </w:p>
        </w:tc>
        <w:tc>
          <w:tcPr>
            <w:tcW w:w="1062" w:type="dxa"/>
            <w:tcBorders>
              <w:left w:val="single" w:sz="4" w:space="0" w:color="auto"/>
              <w:right w:val="single" w:sz="4" w:space="0" w:color="auto"/>
            </w:tcBorders>
          </w:tcPr>
          <w:p w14:paraId="4F780E09" w14:textId="77777777" w:rsidR="00C43EED" w:rsidRPr="008F21B3" w:rsidRDefault="00C43EED" w:rsidP="008F21B3">
            <w:pPr>
              <w:tabs>
                <w:tab w:val="left" w:pos="2268"/>
              </w:tabs>
              <w:spacing w:before="40" w:after="40"/>
              <w:jc w:val="center"/>
              <w:rPr>
                <w:rFonts w:asciiTheme="majorBidi" w:hAnsiTheme="majorBidi" w:cstheme="majorBidi"/>
                <w:noProof/>
                <w:sz w:val="18"/>
                <w:szCs w:val="18"/>
                <w:lang w:val="sv-SE" w:eastAsia="sv-SE"/>
              </w:rPr>
            </w:pPr>
            <w:r>
              <w:rPr>
                <w:noProof/>
                <w:lang w:val="sv-SE" w:eastAsia="sv-SE"/>
              </w:rPr>
              <w:drawing>
                <wp:inline distT="0" distB="0" distL="0" distR="0" wp14:anchorId="5E49DBDA" wp14:editId="52841468">
                  <wp:extent cx="385945" cy="385945"/>
                  <wp:effectExtent l="0" t="0" r="0" b="0"/>
                  <wp:docPr id="22"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dobjekt 5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1375" cy="391375"/>
                          </a:xfrm>
                          <a:prstGeom prst="rect">
                            <a:avLst/>
                          </a:prstGeom>
                        </pic:spPr>
                      </pic:pic>
                    </a:graphicData>
                  </a:graphic>
                </wp:inline>
              </w:drawing>
            </w:r>
          </w:p>
        </w:tc>
        <w:tc>
          <w:tcPr>
            <w:tcW w:w="1062" w:type="dxa"/>
            <w:vMerge/>
            <w:tcBorders>
              <w:left w:val="single" w:sz="4" w:space="0" w:color="auto"/>
              <w:right w:val="single" w:sz="4" w:space="0" w:color="auto"/>
            </w:tcBorders>
            <w:vAlign w:val="center"/>
          </w:tcPr>
          <w:p w14:paraId="4BBF4151" w14:textId="77777777" w:rsidR="00C43EED" w:rsidRDefault="00C43EED" w:rsidP="00877A34">
            <w:pPr>
              <w:tabs>
                <w:tab w:val="left" w:pos="2268"/>
              </w:tabs>
              <w:spacing w:before="40" w:after="40"/>
              <w:jc w:val="center"/>
              <w:rPr>
                <w:b/>
                <w:noProof/>
                <w:sz w:val="18"/>
                <w:szCs w:val="18"/>
              </w:rPr>
            </w:pPr>
          </w:p>
        </w:tc>
        <w:tc>
          <w:tcPr>
            <w:tcW w:w="1062" w:type="dxa"/>
            <w:tcBorders>
              <w:left w:val="single" w:sz="4" w:space="0" w:color="auto"/>
              <w:right w:val="single" w:sz="4" w:space="0" w:color="auto"/>
            </w:tcBorders>
            <w:vAlign w:val="center"/>
          </w:tcPr>
          <w:p w14:paraId="0339964C" w14:textId="77777777" w:rsidR="00C43EED" w:rsidRDefault="00C43EED" w:rsidP="00877A34">
            <w:pPr>
              <w:tabs>
                <w:tab w:val="left" w:pos="2268"/>
              </w:tabs>
              <w:spacing w:before="40" w:after="40"/>
              <w:jc w:val="center"/>
              <w:rPr>
                <w:rFonts w:asciiTheme="majorBidi" w:hAnsiTheme="majorBidi" w:cstheme="majorBidi"/>
                <w:iCs/>
                <w:sz w:val="18"/>
                <w:szCs w:val="18"/>
              </w:rPr>
            </w:pPr>
            <w:r>
              <w:rPr>
                <w:rFonts w:asciiTheme="majorBidi" w:hAnsiTheme="majorBidi" w:cstheme="majorBidi"/>
                <w:iCs/>
                <w:sz w:val="18"/>
                <w:szCs w:val="18"/>
              </w:rPr>
              <w:t>Warning</w:t>
            </w:r>
          </w:p>
        </w:tc>
        <w:tc>
          <w:tcPr>
            <w:tcW w:w="1062" w:type="dxa"/>
            <w:tcBorders>
              <w:left w:val="single" w:sz="4" w:space="0" w:color="auto"/>
              <w:right w:val="single" w:sz="4" w:space="0" w:color="auto"/>
            </w:tcBorders>
            <w:vAlign w:val="center"/>
          </w:tcPr>
          <w:p w14:paraId="53479B3A" w14:textId="77777777" w:rsidR="00C43EED" w:rsidRDefault="00C43EED" w:rsidP="00877A34">
            <w:pPr>
              <w:tabs>
                <w:tab w:val="left" w:pos="2268"/>
              </w:tabs>
              <w:spacing w:before="40" w:after="40"/>
              <w:jc w:val="center"/>
              <w:rPr>
                <w:rFonts w:asciiTheme="majorBidi" w:hAnsiTheme="majorBidi" w:cstheme="majorBidi"/>
                <w:iCs/>
                <w:sz w:val="18"/>
                <w:szCs w:val="18"/>
              </w:rPr>
            </w:pPr>
            <w:r>
              <w:rPr>
                <w:rFonts w:asciiTheme="majorBidi" w:hAnsiTheme="majorBidi" w:cstheme="majorBidi"/>
                <w:iCs/>
                <w:sz w:val="18"/>
                <w:szCs w:val="18"/>
              </w:rPr>
              <w:t>Fire or projection hazard</w:t>
            </w:r>
          </w:p>
        </w:tc>
        <w:tc>
          <w:tcPr>
            <w:tcW w:w="1062" w:type="dxa"/>
            <w:tcBorders>
              <w:left w:val="single" w:sz="4" w:space="0" w:color="auto"/>
            </w:tcBorders>
            <w:vAlign w:val="center"/>
          </w:tcPr>
          <w:p w14:paraId="7D1AF40F" w14:textId="77777777" w:rsidR="00C43EED" w:rsidRPr="008F21B3" w:rsidRDefault="00C43EED" w:rsidP="00877A34">
            <w:pPr>
              <w:tabs>
                <w:tab w:val="left" w:pos="2268"/>
              </w:tabs>
              <w:spacing w:before="40" w:after="40"/>
              <w:jc w:val="center"/>
              <w:rPr>
                <w:rFonts w:asciiTheme="majorBidi" w:hAnsiTheme="majorBidi" w:cstheme="majorBidi"/>
                <w:sz w:val="18"/>
                <w:szCs w:val="18"/>
              </w:rPr>
            </w:pPr>
            <w:r w:rsidRPr="008F21B3">
              <w:rPr>
                <w:rFonts w:asciiTheme="majorBidi" w:hAnsiTheme="majorBidi" w:cstheme="majorBidi"/>
                <w:sz w:val="18"/>
                <w:szCs w:val="18"/>
              </w:rPr>
              <w:t>H20</w:t>
            </w:r>
            <w:r>
              <w:rPr>
                <w:rFonts w:asciiTheme="majorBidi" w:hAnsiTheme="majorBidi" w:cstheme="majorBidi"/>
                <w:sz w:val="18"/>
                <w:szCs w:val="18"/>
              </w:rPr>
              <w:t>4</w:t>
            </w:r>
          </w:p>
        </w:tc>
      </w:tr>
    </w:tbl>
    <w:p w14:paraId="5E127E1A" w14:textId="77777777" w:rsidR="000B33AD" w:rsidRPr="00E13436" w:rsidRDefault="000B33AD" w:rsidP="000B33AD">
      <w:pPr>
        <w:tabs>
          <w:tab w:val="left" w:pos="1701"/>
        </w:tabs>
        <w:spacing w:after="120"/>
        <w:ind w:left="1134" w:right="284"/>
        <w:rPr>
          <w:i/>
        </w:rPr>
      </w:pPr>
      <w:bookmarkStart w:id="1" w:name="_Hlk536005939"/>
      <w:proofErr w:type="spellStart"/>
      <w:r w:rsidRPr="00E13436">
        <w:rPr>
          <w:i/>
          <w:vertAlign w:val="superscript"/>
        </w:rPr>
        <w:t>a</w:t>
      </w:r>
      <w:proofErr w:type="spellEnd"/>
      <w:r w:rsidRPr="00E13436">
        <w:rPr>
          <w:i/>
        </w:rPr>
        <w:t xml:space="preserve"> </w:t>
      </w:r>
      <w:r>
        <w:rPr>
          <w:i/>
        </w:rPr>
        <w:tab/>
      </w:r>
      <w:r w:rsidRPr="00E13436">
        <w:rPr>
          <w:i/>
        </w:rPr>
        <w:t>Under the UN Model Regulations,</w:t>
      </w:r>
      <w:r w:rsidRPr="00E13436">
        <w:t xml:space="preserve"> </w:t>
      </w:r>
      <w:bookmarkEnd w:id="1"/>
      <w:r w:rsidRPr="00E13436">
        <w:rPr>
          <w:i/>
        </w:rPr>
        <w:t>(*) indicates the place for compatibility group and (**) indicates the place for division - to be left blank if explosive is the subsidiary hazard.</w:t>
      </w:r>
    </w:p>
    <w:p w14:paraId="067C9818" w14:textId="77777777" w:rsidR="008F21B3" w:rsidRDefault="000B33AD" w:rsidP="000B33AD">
      <w:pPr>
        <w:tabs>
          <w:tab w:val="left" w:pos="1701"/>
        </w:tabs>
        <w:spacing w:after="120"/>
        <w:ind w:left="1134" w:right="284"/>
      </w:pPr>
      <w:r w:rsidRPr="0055650C">
        <w:rPr>
          <w:i/>
          <w:vertAlign w:val="superscript"/>
        </w:rPr>
        <w:t>b</w:t>
      </w:r>
      <w:r w:rsidRPr="0055650C">
        <w:rPr>
          <w:i/>
        </w:rPr>
        <w:t xml:space="preserve"> </w:t>
      </w:r>
      <w:r>
        <w:rPr>
          <w:i/>
        </w:rPr>
        <w:tab/>
      </w:r>
      <w:r w:rsidRPr="0055650C">
        <w:rPr>
          <w:i/>
        </w:rPr>
        <w:t>Additional hazard statements for explosives that are sensitive to initiation or for which sufficient information on their sensitivity is not available (see section 2.1.3 of Chapter 2.1).</w:t>
      </w:r>
      <w:r w:rsidR="00260F97">
        <w:rPr>
          <w:i/>
        </w:rPr>
        <w:t>”</w:t>
      </w:r>
    </w:p>
    <w:p w14:paraId="74E392BA" w14:textId="77777777" w:rsidR="00B918C4" w:rsidRPr="00C91B7F" w:rsidRDefault="00B918C4" w:rsidP="00B918C4">
      <w:pPr>
        <w:tabs>
          <w:tab w:val="left" w:pos="2268"/>
        </w:tabs>
        <w:spacing w:before="120" w:after="120"/>
        <w:ind w:left="1134" w:right="284"/>
      </w:pPr>
    </w:p>
    <w:p w14:paraId="5980EABF" w14:textId="77777777" w:rsidR="00E24E95" w:rsidRPr="00E24E95" w:rsidRDefault="00E24E95" w:rsidP="00E24E95">
      <w:pPr>
        <w:spacing w:before="240"/>
        <w:jc w:val="center"/>
        <w:rPr>
          <w:u w:val="single"/>
        </w:rPr>
      </w:pPr>
      <w:r>
        <w:rPr>
          <w:u w:val="single"/>
        </w:rPr>
        <w:tab/>
      </w:r>
      <w:r>
        <w:rPr>
          <w:u w:val="single"/>
        </w:rPr>
        <w:tab/>
      </w:r>
      <w:r>
        <w:rPr>
          <w:u w:val="single"/>
        </w:rPr>
        <w:tab/>
      </w:r>
    </w:p>
    <w:sectPr w:rsidR="00E24E95" w:rsidRPr="00E24E95" w:rsidSect="00D25432">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F9C2" w14:textId="77777777" w:rsidR="008962B2" w:rsidRPr="00C47B2E" w:rsidRDefault="008962B2" w:rsidP="00C47B2E">
      <w:pPr>
        <w:pStyle w:val="Footer"/>
      </w:pPr>
    </w:p>
  </w:endnote>
  <w:endnote w:type="continuationSeparator" w:id="0">
    <w:p w14:paraId="7BEF7372" w14:textId="77777777" w:rsidR="008962B2" w:rsidRPr="00C47B2E" w:rsidRDefault="008962B2" w:rsidP="00C47B2E">
      <w:pPr>
        <w:pStyle w:val="Footer"/>
      </w:pPr>
    </w:p>
  </w:endnote>
  <w:endnote w:type="continuationNotice" w:id="1">
    <w:p w14:paraId="4D63AA63" w14:textId="77777777" w:rsidR="008962B2" w:rsidRPr="00C47B2E" w:rsidRDefault="008962B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BE35" w14:textId="77777777" w:rsidR="008962B2" w:rsidRPr="00D25432" w:rsidRDefault="008962B2" w:rsidP="00D25432">
    <w:pPr>
      <w:pStyle w:val="Footer"/>
      <w:tabs>
        <w:tab w:val="right" w:pos="9598"/>
        <w:tab w:val="right" w:pos="9638"/>
      </w:tabs>
      <w:rPr>
        <w:sz w:val="18"/>
      </w:rPr>
    </w:pPr>
    <w:r w:rsidRPr="00D25432">
      <w:rPr>
        <w:b/>
        <w:sz w:val="18"/>
      </w:rPr>
      <w:fldChar w:fldCharType="begin"/>
    </w:r>
    <w:r w:rsidRPr="00D25432">
      <w:rPr>
        <w:b/>
        <w:sz w:val="18"/>
      </w:rPr>
      <w:instrText xml:space="preserve"> PAGE  \* MERGEFORMAT </w:instrText>
    </w:r>
    <w:r w:rsidRPr="00D25432">
      <w:rPr>
        <w:b/>
        <w:sz w:val="18"/>
      </w:rPr>
      <w:fldChar w:fldCharType="separate"/>
    </w:r>
    <w:r w:rsidRPr="00D25432">
      <w:rPr>
        <w:b/>
        <w:noProof/>
        <w:sz w:val="18"/>
      </w:rPr>
      <w:t>2</w:t>
    </w:r>
    <w:r w:rsidRPr="00D2543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2AD8" w14:textId="77777777" w:rsidR="008962B2" w:rsidRPr="00D25432" w:rsidRDefault="008962B2" w:rsidP="00D25432">
    <w:pPr>
      <w:pStyle w:val="Footer"/>
      <w:tabs>
        <w:tab w:val="left" w:pos="5775"/>
        <w:tab w:val="right" w:pos="9598"/>
        <w:tab w:val="right" w:pos="9638"/>
      </w:tabs>
      <w:rPr>
        <w:sz w:val="18"/>
      </w:rPr>
    </w:pPr>
    <w:r>
      <w:rPr>
        <w:b/>
        <w:sz w:val="18"/>
      </w:rPr>
      <w:tab/>
    </w:r>
    <w:r>
      <w:rPr>
        <w:b/>
        <w:sz w:val="18"/>
      </w:rPr>
      <w:tab/>
    </w:r>
    <w:r w:rsidRPr="00D25432">
      <w:rPr>
        <w:sz w:val="18"/>
      </w:rPr>
      <w:fldChar w:fldCharType="begin"/>
    </w:r>
    <w:r w:rsidRPr="00D25432">
      <w:rPr>
        <w:sz w:val="18"/>
      </w:rPr>
      <w:instrText xml:space="preserve"> PAGE  \* MERGEFORMAT </w:instrText>
    </w:r>
    <w:r w:rsidRPr="00D25432">
      <w:rPr>
        <w:sz w:val="18"/>
      </w:rPr>
      <w:fldChar w:fldCharType="separate"/>
    </w:r>
    <w:r w:rsidRPr="00D25432">
      <w:rPr>
        <w:noProof/>
        <w:sz w:val="18"/>
      </w:rPr>
      <w:t>3</w:t>
    </w:r>
    <w:r w:rsidRPr="00D2543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74E4" w14:textId="77777777" w:rsidR="008962B2" w:rsidRPr="00D25432" w:rsidRDefault="008962B2"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C9F62FB" wp14:editId="29A4F0A8">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FCE4C" w14:textId="77777777" w:rsidR="008962B2" w:rsidRPr="00C47B2E" w:rsidRDefault="008962B2" w:rsidP="00C47B2E">
      <w:pPr>
        <w:tabs>
          <w:tab w:val="right" w:pos="2155"/>
        </w:tabs>
        <w:spacing w:after="80" w:line="240" w:lineRule="auto"/>
        <w:ind w:left="680"/>
      </w:pPr>
      <w:r>
        <w:rPr>
          <w:u w:val="single"/>
        </w:rPr>
        <w:tab/>
      </w:r>
    </w:p>
  </w:footnote>
  <w:footnote w:type="continuationSeparator" w:id="0">
    <w:p w14:paraId="225138CB" w14:textId="77777777" w:rsidR="008962B2" w:rsidRPr="00C47B2E" w:rsidRDefault="008962B2" w:rsidP="005E716E">
      <w:pPr>
        <w:tabs>
          <w:tab w:val="right" w:pos="2155"/>
        </w:tabs>
        <w:spacing w:after="80" w:line="240" w:lineRule="auto"/>
        <w:ind w:left="680"/>
      </w:pPr>
      <w:r>
        <w:rPr>
          <w:u w:val="single"/>
        </w:rPr>
        <w:tab/>
      </w:r>
    </w:p>
  </w:footnote>
  <w:footnote w:type="continuationNotice" w:id="1">
    <w:p w14:paraId="11766BDF" w14:textId="77777777" w:rsidR="008962B2" w:rsidRPr="00C47B2E" w:rsidRDefault="008962B2" w:rsidP="00C47B2E">
      <w:pPr>
        <w:pStyle w:val="Footer"/>
      </w:pPr>
    </w:p>
  </w:footnote>
  <w:footnote w:id="2">
    <w:p w14:paraId="37B11CB9" w14:textId="77777777" w:rsidR="008962B2" w:rsidRPr="000F74A6" w:rsidRDefault="008962B2">
      <w:pPr>
        <w:pStyle w:val="FootnoteText"/>
        <w:rPr>
          <w:lang w:val="fr-CH"/>
        </w:rPr>
      </w:pPr>
      <w:r>
        <w:rPr>
          <w:rStyle w:val="FootnoteReference"/>
        </w:rPr>
        <w:tab/>
      </w:r>
      <w:r w:rsidRPr="000F74A6">
        <w:rPr>
          <w:rStyle w:val="FootnoteReference"/>
          <w:sz w:val="20"/>
          <w:vertAlign w:val="baseline"/>
        </w:rPr>
        <w:t>*</w:t>
      </w:r>
      <w:r>
        <w:rPr>
          <w:rStyle w:val="FootnoteReference"/>
          <w:sz w:val="20"/>
          <w:vertAlign w:val="baseline"/>
        </w:rPr>
        <w:tab/>
      </w:r>
      <w:r>
        <w:rPr>
          <w:lang w:val="en-US"/>
        </w:rPr>
        <w:t>2020 (A/74/6 (Sect.20) and Supplementary, Subprogramme 2</w:t>
      </w:r>
      <w:r w:rsidR="001D2829">
        <w:rPr>
          <w:lang w:val="en-US"/>
        </w:rPr>
        <w:t>)</w:t>
      </w:r>
      <w:r>
        <w:rPr>
          <w:lang w:val="en-US"/>
        </w:rPr>
        <w:t>.</w:t>
      </w:r>
    </w:p>
  </w:footnote>
  <w:footnote w:id="3">
    <w:p w14:paraId="20A7A7D2"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 xml:space="preserve"> </w:t>
      </w:r>
      <w:r w:rsidRPr="001E2246">
        <w:t>ST/SG/AC.10/C.3/2014/79−ST/SG/AC.10/C.4/2014/15</w:t>
      </w:r>
      <w:r>
        <w:t>.</w:t>
      </w:r>
    </w:p>
  </w:footnote>
  <w:footnote w:id="4">
    <w:p w14:paraId="5ADDE91F"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UN/SCETDG/47/INF.23 - UN/SCEGHS/29/INF.8.</w:t>
      </w:r>
    </w:p>
  </w:footnote>
  <w:footnote w:id="5">
    <w:p w14:paraId="0E452F32"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1E2246">
        <w:t>ST/SG/AC.10/C.4/58</w:t>
      </w:r>
      <w:r>
        <w:t>, paragraph 8.</w:t>
      </w:r>
    </w:p>
  </w:footnote>
  <w:footnote w:id="6">
    <w:p w14:paraId="0F3037FB"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UN/SCETDG/48/INF.32 - UN/SCEGHS/30/INF.9, UN/SCETDG/49/INF.37 - UN/SCEGHS/31/INF.10, UN/SCETDG/50/INF.11 - UN/SCEGHS/32/INF.8, UN/SCETDG/51/INF.15 - UN/SCEGHS/33/INF.7, UN/SCETDG/52/INF.20 - UN/SCEGHS/34/INF.10, UN/SCETDG/53/INF.46 - UN/SCEGHS/35/INF.16, UN/SCETDG/54/INF.29 - UN/SCEGHS/36/INF.19, ST/SG/AC.10/C.3/2019/32- ST/SG/AC.10/C.4/2019/5, ST/SG/AC.10/C.4/2019/10 and UN/SCETDG/56/INF.3.</w:t>
      </w:r>
    </w:p>
  </w:footnote>
  <w:footnote w:id="7">
    <w:p w14:paraId="47E04F1B"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UN/SCEGHS/35/INF.30, UN/SCEGHS/37/INF.26, UN/SCEGHS/38/INF.32.</w:t>
      </w:r>
    </w:p>
  </w:footnote>
  <w:footnote w:id="8">
    <w:p w14:paraId="03479E1F"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491EDF">
        <w:t xml:space="preserve">UN/SCETDG/53/INF.67, UN/SCETDG/54/INF.50 (reproduced as </w:t>
      </w:r>
      <w:r>
        <w:t xml:space="preserve">UN/SCEGHS/36/INF.34), </w:t>
      </w:r>
      <w:r w:rsidRPr="00491EDF">
        <w:t>UN/SCETDG/5</w:t>
      </w:r>
      <w:r>
        <w:t>5</w:t>
      </w:r>
      <w:r w:rsidRPr="00491EDF">
        <w:t>/INF.</w:t>
      </w:r>
      <w:r>
        <w:t>55</w:t>
      </w:r>
      <w:r w:rsidRPr="00491EDF">
        <w:t xml:space="preserve"> (reproduced as </w:t>
      </w:r>
      <w:r>
        <w:t>UN/SCEGHS/37/INF.24).</w:t>
      </w:r>
    </w:p>
  </w:footnote>
  <w:footnote w:id="9">
    <w:p w14:paraId="6D89C089"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UN/SCEGHS/36/INF.46, UN/SCETDG/55/INF.56 - UN/SCEGHS/37/INF.21.</w:t>
      </w:r>
    </w:p>
  </w:footnote>
  <w:footnote w:id="10">
    <w:p w14:paraId="58AC273B"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8A13FB">
        <w:t>UN/SCEGHS/29/INF.13</w:t>
      </w:r>
      <w:r>
        <w:t>.</w:t>
      </w:r>
    </w:p>
  </w:footnote>
  <w:footnote w:id="11">
    <w:p w14:paraId="5F69DCB8"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C91596">
        <w:t>ST/SG/AC.10/C.3/2007/10 ST/SG/AC.10/C.4/2007/</w:t>
      </w:r>
      <w:r>
        <w:t>1.</w:t>
      </w:r>
    </w:p>
  </w:footnote>
  <w:footnote w:id="12">
    <w:p w14:paraId="7B457A53"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1E2246">
        <w:t>ST/SG/AC.10/C.3/2014/79−ST/SG/AC.10/C.4/2014/15</w:t>
      </w:r>
      <w:r>
        <w:t>.</w:t>
      </w:r>
    </w:p>
  </w:footnote>
  <w:footnote w:id="13">
    <w:p w14:paraId="3372A92E"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UN/SCETDG/48/INF.32 - UN/SCEGHS/30/INF.9.</w:t>
      </w:r>
    </w:p>
  </w:footnote>
  <w:footnote w:id="14">
    <w:p w14:paraId="50D11A42"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ST/SG/AC.10/C.3/2018/33- ST/SG/AC.10/C.4/2018/7.</w:t>
      </w:r>
    </w:p>
  </w:footnote>
  <w:footnote w:id="15">
    <w:p w14:paraId="00E939EF"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It is recognised that larger explosive articles may be supplied without a primary packaging, and the new classification system proposed addresses also these.</w:t>
      </w:r>
    </w:p>
  </w:footnote>
  <w:footnote w:id="16">
    <w:p w14:paraId="0E604524"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See description of the divisions in Chapter 2.1 of the UN Model Regulations.</w:t>
      </w:r>
    </w:p>
  </w:footnote>
  <w:footnote w:id="17">
    <w:p w14:paraId="1E493C37"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UN/SCETDG/56/INF.8</w:t>
      </w:r>
      <w:r w:rsidR="001A692E">
        <w:t xml:space="preserve"> </w:t>
      </w:r>
      <w:r>
        <w:t xml:space="preserve">- UN/SCEGHS/38/INF.6. </w:t>
      </w:r>
    </w:p>
  </w:footnote>
  <w:footnote w:id="18">
    <w:p w14:paraId="7A97C98E"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Hazard statement H204 reads “</w:t>
      </w:r>
      <w:r w:rsidRPr="00E9229E">
        <w:t>Fire or projection hazard</w:t>
      </w:r>
      <w:r>
        <w:t xml:space="preserve">”. </w:t>
      </w:r>
    </w:p>
  </w:footnote>
  <w:footnote w:id="19">
    <w:p w14:paraId="2C1C3E4B"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E172C6">
        <w:t>UN/SCEGHS/38/INF.32</w:t>
      </w:r>
      <w:r>
        <w:t xml:space="preserve">. </w:t>
      </w:r>
    </w:p>
  </w:footnote>
  <w:footnote w:id="20">
    <w:p w14:paraId="528E7C1E"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 xml:space="preserve">Exemptions are made for articles that are supplied without a primary packaging or where the primary packaging does not attenuate the explosive effect, as then the classification in Category 2 reflects that of the article(s). </w:t>
      </w:r>
    </w:p>
  </w:footnote>
  <w:footnote w:id="21">
    <w:p w14:paraId="3F3C5F91"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D95487">
        <w:t xml:space="preserve">Through the screening methods in section 2.1.4 </w:t>
      </w:r>
      <w:r>
        <w:t xml:space="preserve">of current GHS Chapter 2.1, which are identical to those in Appendix 6 of the Manual of Tests and Criteria. </w:t>
      </w:r>
    </w:p>
  </w:footnote>
  <w:footnote w:id="22">
    <w:p w14:paraId="0A2B2142"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 xml:space="preserve">See </w:t>
      </w:r>
      <w:r w:rsidRPr="00BD01B5">
        <w:t>ST/SG/AC.10/C.3/2018/78</w:t>
      </w:r>
      <w:r>
        <w:t>.</w:t>
      </w:r>
    </w:p>
  </w:footnote>
  <w:footnote w:id="23">
    <w:p w14:paraId="33A7A3D0"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r>
      <w:r w:rsidRPr="00E8536F">
        <w:t>Test series 6</w:t>
      </w:r>
      <w:r>
        <w:t xml:space="preserve"> of the Manual of Tests and Criteria</w:t>
      </w:r>
      <w:r w:rsidRPr="00E8536F">
        <w:t xml:space="preserve"> is decisive for </w:t>
      </w:r>
      <w:r>
        <w:t xml:space="preserve">assigning </w:t>
      </w:r>
      <w:r w:rsidRPr="00E8536F">
        <w:t>the division and requires substantial amounts of material to be performed</w:t>
      </w:r>
      <w:r>
        <w:t xml:space="preserve"> (packages)</w:t>
      </w:r>
      <w:r w:rsidRPr="00E8536F">
        <w:t>.</w:t>
      </w:r>
      <w:r>
        <w:t xml:space="preserve"> </w:t>
      </w:r>
    </w:p>
  </w:footnote>
  <w:footnote w:id="24">
    <w:p w14:paraId="41443D4D" w14:textId="77777777" w:rsidR="008962B2" w:rsidRPr="006E2EFA" w:rsidRDefault="008962B2" w:rsidP="006E2EFA">
      <w:pPr>
        <w:pStyle w:val="FootnoteText"/>
        <w:widowControl w:val="0"/>
        <w:tabs>
          <w:tab w:val="clear" w:pos="1021"/>
          <w:tab w:val="right" w:pos="1020"/>
        </w:tabs>
        <w:rPr>
          <w:lang w:val="fr-CH"/>
        </w:rPr>
      </w:pPr>
      <w:r>
        <w:tab/>
      </w:r>
      <w:r>
        <w:rPr>
          <w:rStyle w:val="FootnoteReference"/>
        </w:rPr>
        <w:footnoteRef/>
      </w:r>
      <w:r>
        <w:tab/>
        <w:t xml:space="preserve">Substances showing a tendency of being too explosive are normally discarded at an early stage as it is not feasible to handle explosives with regards to the measures (and permits) needed. </w:t>
      </w:r>
    </w:p>
  </w:footnote>
  <w:footnote w:id="25">
    <w:p w14:paraId="71F08B89" w14:textId="77777777" w:rsidR="008962B2" w:rsidRPr="009E5854" w:rsidRDefault="008962B2" w:rsidP="009E5854">
      <w:pPr>
        <w:pStyle w:val="FootnoteText"/>
        <w:widowControl w:val="0"/>
        <w:tabs>
          <w:tab w:val="clear" w:pos="1021"/>
          <w:tab w:val="right" w:pos="1020"/>
        </w:tabs>
        <w:rPr>
          <w:lang w:val="fr-CH"/>
        </w:rPr>
      </w:pPr>
      <w:r>
        <w:tab/>
      </w:r>
      <w:r>
        <w:rPr>
          <w:rStyle w:val="FootnoteReference"/>
        </w:rPr>
        <w:footnoteRef/>
      </w:r>
      <w:r>
        <w:tab/>
        <w:t>UN/SCETDG/56/INF.8</w:t>
      </w:r>
      <w:r w:rsidR="006D5089">
        <w:t xml:space="preserve"> </w:t>
      </w:r>
      <w:r>
        <w:t xml:space="preserve">- UN/SCEGHS/38/INF.6 and </w:t>
      </w:r>
      <w:r w:rsidRPr="00E172C6">
        <w:t>UN/SCEGHS/38/INF.32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4D9A" w14:textId="4D0DF26E" w:rsidR="008962B2" w:rsidRPr="00D25432" w:rsidRDefault="00FE0266">
    <w:pPr>
      <w:pStyle w:val="Header"/>
    </w:pPr>
    <w:fldSimple w:instr=" TITLE  \* MERGEFORMAT ">
      <w:r w:rsidR="00D10AE0">
        <w:t>ST/SG/AC.10/C.3/2020/20</w:t>
      </w:r>
    </w:fldSimple>
    <w:r w:rsidR="008962B2">
      <w:br/>
    </w:r>
    <w:fldSimple w:instr=" KEYWORDS  \* MERGEFORMAT ">
      <w:r w:rsidR="00D10AE0">
        <w:t>ST/SG/AC.10/C.4/2020/5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ED91" w14:textId="43D0D0C7" w:rsidR="008962B2" w:rsidRPr="00D25432" w:rsidRDefault="00FE0266" w:rsidP="00D25432">
    <w:pPr>
      <w:pStyle w:val="Header"/>
      <w:jc w:val="right"/>
    </w:pPr>
    <w:fldSimple w:instr=" TITLE  \* MERGEFORMAT ">
      <w:r w:rsidR="00D10AE0">
        <w:t>ST/SG/AC.10/C.3/2020/20</w:t>
      </w:r>
    </w:fldSimple>
    <w:r w:rsidR="008962B2">
      <w:br/>
    </w:r>
    <w:fldSimple w:instr=" KEYWORDS  \* MERGEFORMAT ">
      <w:r w:rsidR="00D10AE0">
        <w:t>ST/SG/AC.10/C.4/2020/5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9F2E90"/>
    <w:multiLevelType w:val="hybridMultilevel"/>
    <w:tmpl w:val="500C4988"/>
    <w:lvl w:ilvl="0" w:tplc="C666CDF8">
      <w:start w:val="1"/>
      <w:numFmt w:val="lowerRoman"/>
      <w:lvlText w:val="(%1)"/>
      <w:lvlJc w:val="left"/>
      <w:pPr>
        <w:ind w:left="1854" w:hanging="72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9E93DB1"/>
    <w:multiLevelType w:val="hybridMultilevel"/>
    <w:tmpl w:val="6F78B6AE"/>
    <w:lvl w:ilvl="0" w:tplc="D4A8EC3A">
      <w:start w:val="1"/>
      <w:numFmt w:val="lowerLetter"/>
      <w:lvlText w:val="%1)"/>
      <w:lvlJc w:val="left"/>
      <w:pPr>
        <w:ind w:left="775" w:hanging="360"/>
      </w:pPr>
      <w:rPr>
        <w:rFonts w:ascii="Times New Roman" w:hAnsi="Times New Roman" w:cs="Times New Roman" w:hint="default"/>
        <w:color w:val="auto"/>
      </w:rPr>
    </w:lvl>
    <w:lvl w:ilvl="1" w:tplc="32F68D34">
      <w:start w:val="1"/>
      <w:numFmt w:val="lowerRoman"/>
      <w:lvlText w:val="(%2)"/>
      <w:lvlJc w:val="right"/>
      <w:pPr>
        <w:ind w:left="1495" w:hanging="360"/>
      </w:pPr>
      <w:rPr>
        <w:rFonts w:ascii="Times New Roman" w:hAnsi="Times New Roman" w:cs="Times New Roman" w:hint="default"/>
        <w:sz w:val="20"/>
        <w:szCs w:val="20"/>
      </w:rPr>
    </w:lvl>
    <w:lvl w:ilvl="2" w:tplc="041D001B">
      <w:start w:val="1"/>
      <w:numFmt w:val="lowerRoman"/>
      <w:lvlText w:val="%3."/>
      <w:lvlJc w:val="right"/>
      <w:pPr>
        <w:ind w:left="2215" w:hanging="180"/>
      </w:pPr>
    </w:lvl>
    <w:lvl w:ilvl="3" w:tplc="041D000F">
      <w:start w:val="1"/>
      <w:numFmt w:val="decimal"/>
      <w:lvlText w:val="%4."/>
      <w:lvlJc w:val="left"/>
      <w:pPr>
        <w:ind w:left="2935" w:hanging="360"/>
      </w:pPr>
    </w:lvl>
    <w:lvl w:ilvl="4" w:tplc="041D0019">
      <w:start w:val="1"/>
      <w:numFmt w:val="lowerLetter"/>
      <w:lvlText w:val="%5."/>
      <w:lvlJc w:val="left"/>
      <w:pPr>
        <w:ind w:left="3655" w:hanging="360"/>
      </w:pPr>
    </w:lvl>
    <w:lvl w:ilvl="5" w:tplc="041D001B">
      <w:start w:val="1"/>
      <w:numFmt w:val="lowerRoman"/>
      <w:lvlText w:val="%6."/>
      <w:lvlJc w:val="right"/>
      <w:pPr>
        <w:ind w:left="4375" w:hanging="180"/>
      </w:pPr>
    </w:lvl>
    <w:lvl w:ilvl="6" w:tplc="041D000F">
      <w:start w:val="1"/>
      <w:numFmt w:val="decimal"/>
      <w:lvlText w:val="%7."/>
      <w:lvlJc w:val="left"/>
      <w:pPr>
        <w:ind w:left="5095" w:hanging="360"/>
      </w:pPr>
    </w:lvl>
    <w:lvl w:ilvl="7" w:tplc="041D0019">
      <w:start w:val="1"/>
      <w:numFmt w:val="lowerLetter"/>
      <w:lvlText w:val="%8."/>
      <w:lvlJc w:val="left"/>
      <w:pPr>
        <w:ind w:left="5815" w:hanging="360"/>
      </w:pPr>
    </w:lvl>
    <w:lvl w:ilvl="8" w:tplc="041D001B">
      <w:start w:val="1"/>
      <w:numFmt w:val="lowerRoman"/>
      <w:lvlText w:val="%9."/>
      <w:lvlJc w:val="right"/>
      <w:pPr>
        <w:ind w:left="6535" w:hanging="180"/>
      </w:pPr>
    </w:lvl>
  </w:abstractNum>
  <w:abstractNum w:abstractNumId="19" w15:restartNumberingAfterBreak="0">
    <w:nsid w:val="1B8320F5"/>
    <w:multiLevelType w:val="hybridMultilevel"/>
    <w:tmpl w:val="165AF21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5482B"/>
    <w:multiLevelType w:val="hybridMultilevel"/>
    <w:tmpl w:val="8B408D24"/>
    <w:lvl w:ilvl="0" w:tplc="E0EA3696">
      <w:start w:val="4"/>
      <w:numFmt w:val="bullet"/>
      <w:lvlText w:val="-"/>
      <w:lvlJc w:val="left"/>
      <w:pPr>
        <w:ind w:left="2061" w:hanging="360"/>
      </w:pPr>
      <w:rPr>
        <w:rFonts w:ascii="Arial" w:eastAsia="Times New Roman" w:hAnsi="Arial"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2"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38E60F0A"/>
    <w:multiLevelType w:val="hybridMultilevel"/>
    <w:tmpl w:val="7C02C3F6"/>
    <w:lvl w:ilvl="0" w:tplc="E7065D58">
      <w:start w:val="10"/>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6"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48CF0217"/>
    <w:multiLevelType w:val="hybridMultilevel"/>
    <w:tmpl w:val="6F78B6AE"/>
    <w:lvl w:ilvl="0" w:tplc="D4A8EC3A">
      <w:start w:val="1"/>
      <w:numFmt w:val="lowerLetter"/>
      <w:lvlText w:val="%1)"/>
      <w:lvlJc w:val="left"/>
      <w:pPr>
        <w:ind w:left="775" w:hanging="360"/>
      </w:pPr>
      <w:rPr>
        <w:rFonts w:ascii="Times New Roman" w:hAnsi="Times New Roman" w:cs="Times New Roman" w:hint="default"/>
        <w:color w:val="auto"/>
      </w:rPr>
    </w:lvl>
    <w:lvl w:ilvl="1" w:tplc="32F68D34">
      <w:start w:val="1"/>
      <w:numFmt w:val="lowerRoman"/>
      <w:lvlText w:val="(%2)"/>
      <w:lvlJc w:val="right"/>
      <w:pPr>
        <w:ind w:left="1495" w:hanging="360"/>
      </w:pPr>
      <w:rPr>
        <w:rFonts w:ascii="Times New Roman" w:hAnsi="Times New Roman" w:cs="Times New Roman" w:hint="default"/>
        <w:sz w:val="20"/>
        <w:szCs w:val="20"/>
      </w:rPr>
    </w:lvl>
    <w:lvl w:ilvl="2" w:tplc="041D001B">
      <w:start w:val="1"/>
      <w:numFmt w:val="lowerRoman"/>
      <w:lvlText w:val="%3."/>
      <w:lvlJc w:val="right"/>
      <w:pPr>
        <w:ind w:left="2215" w:hanging="180"/>
      </w:pPr>
    </w:lvl>
    <w:lvl w:ilvl="3" w:tplc="041D000F">
      <w:start w:val="1"/>
      <w:numFmt w:val="decimal"/>
      <w:lvlText w:val="%4."/>
      <w:lvlJc w:val="left"/>
      <w:pPr>
        <w:ind w:left="2935" w:hanging="360"/>
      </w:pPr>
    </w:lvl>
    <w:lvl w:ilvl="4" w:tplc="041D0019">
      <w:start w:val="1"/>
      <w:numFmt w:val="lowerLetter"/>
      <w:lvlText w:val="%5."/>
      <w:lvlJc w:val="left"/>
      <w:pPr>
        <w:ind w:left="3655" w:hanging="360"/>
      </w:pPr>
    </w:lvl>
    <w:lvl w:ilvl="5" w:tplc="041D001B">
      <w:start w:val="1"/>
      <w:numFmt w:val="lowerRoman"/>
      <w:lvlText w:val="%6."/>
      <w:lvlJc w:val="right"/>
      <w:pPr>
        <w:ind w:left="4375" w:hanging="180"/>
      </w:pPr>
    </w:lvl>
    <w:lvl w:ilvl="6" w:tplc="041D000F">
      <w:start w:val="1"/>
      <w:numFmt w:val="decimal"/>
      <w:lvlText w:val="%7."/>
      <w:lvlJc w:val="left"/>
      <w:pPr>
        <w:ind w:left="5095" w:hanging="360"/>
      </w:pPr>
    </w:lvl>
    <w:lvl w:ilvl="7" w:tplc="041D0019">
      <w:start w:val="1"/>
      <w:numFmt w:val="lowerLetter"/>
      <w:lvlText w:val="%8."/>
      <w:lvlJc w:val="left"/>
      <w:pPr>
        <w:ind w:left="5815" w:hanging="360"/>
      </w:pPr>
    </w:lvl>
    <w:lvl w:ilvl="8" w:tplc="041D001B">
      <w:start w:val="1"/>
      <w:numFmt w:val="lowerRoman"/>
      <w:lvlText w:val="%9."/>
      <w:lvlJc w:val="right"/>
      <w:pPr>
        <w:ind w:left="6535" w:hanging="180"/>
      </w:pPr>
    </w:lvl>
  </w:abstractNum>
  <w:abstractNum w:abstractNumId="29" w15:restartNumberingAfterBreak="0">
    <w:nsid w:val="566822A6"/>
    <w:multiLevelType w:val="hybridMultilevel"/>
    <w:tmpl w:val="CFE65BD8"/>
    <w:lvl w:ilvl="0" w:tplc="86481C52">
      <w:start w:val="1"/>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0" w15:restartNumberingAfterBreak="0">
    <w:nsid w:val="56827464"/>
    <w:multiLevelType w:val="hybridMultilevel"/>
    <w:tmpl w:val="E236B75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C6FDD"/>
    <w:multiLevelType w:val="hybridMultilevel"/>
    <w:tmpl w:val="9FE0FA5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3" w15:restartNumberingAfterBreak="0">
    <w:nsid w:val="5EEE0AC3"/>
    <w:multiLevelType w:val="hybridMultilevel"/>
    <w:tmpl w:val="5A60A57A"/>
    <w:lvl w:ilvl="0" w:tplc="AD78895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8" w15:restartNumberingAfterBreak="0">
    <w:nsid w:val="67353AE6"/>
    <w:multiLevelType w:val="hybridMultilevel"/>
    <w:tmpl w:val="ADAC296C"/>
    <w:lvl w:ilvl="0" w:tplc="3160ACCC">
      <w:start w:val="3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2D2760"/>
    <w:multiLevelType w:val="hybridMultilevel"/>
    <w:tmpl w:val="911A0174"/>
    <w:lvl w:ilvl="0" w:tplc="510E1498">
      <w:start w:val="1"/>
      <w:numFmt w:val="lowerRoman"/>
      <w:lvlText w:val="(%1)"/>
      <w:lvlJc w:val="righ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41"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0"/>
  </w:num>
  <w:num w:numId="3">
    <w:abstractNumId w:val="10"/>
  </w:num>
  <w:num w:numId="4">
    <w:abstractNumId w:val="31"/>
  </w:num>
  <w:num w:numId="5">
    <w:abstractNumId w:val="35"/>
  </w:num>
  <w:num w:numId="6">
    <w:abstractNumId w:val="43"/>
  </w:num>
  <w:num w:numId="7">
    <w:abstractNumId w:val="16"/>
  </w:num>
  <w:num w:numId="8">
    <w:abstractNumId w:val="12"/>
  </w:num>
  <w:num w:numId="9">
    <w:abstractNumId w:val="39"/>
  </w:num>
  <w:num w:numId="10">
    <w:abstractNumId w:val="12"/>
  </w:num>
  <w:num w:numId="11">
    <w:abstractNumId w:val="39"/>
  </w:num>
  <w:num w:numId="12">
    <w:abstractNumId w:val="15"/>
  </w:num>
  <w:num w:numId="13">
    <w:abstractNumId w:val="15"/>
  </w:num>
  <w:num w:numId="14">
    <w:abstractNumId w:val="1"/>
  </w:num>
  <w:num w:numId="15">
    <w:abstractNumId w:val="0"/>
  </w:num>
  <w:num w:numId="16">
    <w:abstractNumId w:val="2"/>
  </w:num>
  <w:num w:numId="17">
    <w:abstractNumId w:val="3"/>
  </w:num>
  <w:num w:numId="18">
    <w:abstractNumId w:val="8"/>
  </w:num>
  <w:num w:numId="19">
    <w:abstractNumId w:val="9"/>
  </w:num>
  <w:num w:numId="20">
    <w:abstractNumId w:val="7"/>
  </w:num>
  <w:num w:numId="21">
    <w:abstractNumId w:val="6"/>
  </w:num>
  <w:num w:numId="22">
    <w:abstractNumId w:val="5"/>
  </w:num>
  <w:num w:numId="23">
    <w:abstractNumId w:val="4"/>
  </w:num>
  <w:num w:numId="24">
    <w:abstractNumId w:val="13"/>
  </w:num>
  <w:num w:numId="25">
    <w:abstractNumId w:val="36"/>
  </w:num>
  <w:num w:numId="26">
    <w:abstractNumId w:val="42"/>
  </w:num>
  <w:num w:numId="27">
    <w:abstractNumId w:val="17"/>
  </w:num>
  <w:num w:numId="28">
    <w:abstractNumId w:val="26"/>
  </w:num>
  <w:num w:numId="29">
    <w:abstractNumId w:val="24"/>
  </w:num>
  <w:num w:numId="30">
    <w:abstractNumId w:val="41"/>
  </w:num>
  <w:num w:numId="31">
    <w:abstractNumId w:val="34"/>
  </w:num>
  <w:num w:numId="32">
    <w:abstractNumId w:val="22"/>
  </w:num>
  <w:num w:numId="33">
    <w:abstractNumId w:val="11"/>
  </w:num>
  <w:num w:numId="34">
    <w:abstractNumId w:val="37"/>
  </w:num>
  <w:num w:numId="35">
    <w:abstractNumId w:val="27"/>
  </w:num>
  <w:num w:numId="36">
    <w:abstractNumId w:val="21"/>
  </w:num>
  <w:num w:numId="37">
    <w:abstractNumId w:val="33"/>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9"/>
  </w:num>
  <w:num w:numId="46">
    <w:abstractNumId w:val="19"/>
  </w:num>
  <w:num w:numId="47">
    <w:abstractNumId w:val="40"/>
  </w:num>
  <w:num w:numId="48">
    <w:abstractNumId w:val="1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32"/>
    <w:rsid w:val="00046E92"/>
    <w:rsid w:val="00063C90"/>
    <w:rsid w:val="00094ED9"/>
    <w:rsid w:val="000B33AD"/>
    <w:rsid w:val="000F74A6"/>
    <w:rsid w:val="00101B98"/>
    <w:rsid w:val="001514D1"/>
    <w:rsid w:val="001A692E"/>
    <w:rsid w:val="001D2829"/>
    <w:rsid w:val="001F548B"/>
    <w:rsid w:val="00247E2C"/>
    <w:rsid w:val="00260F97"/>
    <w:rsid w:val="002943A7"/>
    <w:rsid w:val="002A32CB"/>
    <w:rsid w:val="002D5B2C"/>
    <w:rsid w:val="002D6C53"/>
    <w:rsid w:val="002F5595"/>
    <w:rsid w:val="00334F6A"/>
    <w:rsid w:val="00342AC8"/>
    <w:rsid w:val="00343302"/>
    <w:rsid w:val="00353F29"/>
    <w:rsid w:val="003979DE"/>
    <w:rsid w:val="003B4550"/>
    <w:rsid w:val="003D2A18"/>
    <w:rsid w:val="003F4CFA"/>
    <w:rsid w:val="00413386"/>
    <w:rsid w:val="00461253"/>
    <w:rsid w:val="004858F5"/>
    <w:rsid w:val="0049614B"/>
    <w:rsid w:val="004A2814"/>
    <w:rsid w:val="004C0622"/>
    <w:rsid w:val="005042C2"/>
    <w:rsid w:val="00527E7B"/>
    <w:rsid w:val="005E716E"/>
    <w:rsid w:val="006476E1"/>
    <w:rsid w:val="00653673"/>
    <w:rsid w:val="006604DF"/>
    <w:rsid w:val="00671529"/>
    <w:rsid w:val="006D5089"/>
    <w:rsid w:val="006E2EFA"/>
    <w:rsid w:val="0070489D"/>
    <w:rsid w:val="007268F9"/>
    <w:rsid w:val="00736B88"/>
    <w:rsid w:val="00750282"/>
    <w:rsid w:val="00764440"/>
    <w:rsid w:val="0077101B"/>
    <w:rsid w:val="007C52B0"/>
    <w:rsid w:val="007C6033"/>
    <w:rsid w:val="007D7C45"/>
    <w:rsid w:val="008147C8"/>
    <w:rsid w:val="0081753A"/>
    <w:rsid w:val="00847943"/>
    <w:rsid w:val="00857D23"/>
    <w:rsid w:val="008627C4"/>
    <w:rsid w:val="00877A34"/>
    <w:rsid w:val="0088180E"/>
    <w:rsid w:val="008962B2"/>
    <w:rsid w:val="008F21B3"/>
    <w:rsid w:val="00933C9A"/>
    <w:rsid w:val="009411B4"/>
    <w:rsid w:val="00946007"/>
    <w:rsid w:val="00946F1D"/>
    <w:rsid w:val="009B7B12"/>
    <w:rsid w:val="009D0139"/>
    <w:rsid w:val="009D717D"/>
    <w:rsid w:val="009E5854"/>
    <w:rsid w:val="009F5CDC"/>
    <w:rsid w:val="00A072D7"/>
    <w:rsid w:val="00A775CF"/>
    <w:rsid w:val="00AD1A9C"/>
    <w:rsid w:val="00AF5DE1"/>
    <w:rsid w:val="00B06045"/>
    <w:rsid w:val="00B206DD"/>
    <w:rsid w:val="00B36363"/>
    <w:rsid w:val="00B52EF4"/>
    <w:rsid w:val="00B7429F"/>
    <w:rsid w:val="00B777AD"/>
    <w:rsid w:val="00B918C4"/>
    <w:rsid w:val="00BC7407"/>
    <w:rsid w:val="00BD1683"/>
    <w:rsid w:val="00C03015"/>
    <w:rsid w:val="00C0358D"/>
    <w:rsid w:val="00C079A6"/>
    <w:rsid w:val="00C35A27"/>
    <w:rsid w:val="00C43EED"/>
    <w:rsid w:val="00C47B2E"/>
    <w:rsid w:val="00C80BF0"/>
    <w:rsid w:val="00CA0819"/>
    <w:rsid w:val="00D10AE0"/>
    <w:rsid w:val="00D25432"/>
    <w:rsid w:val="00D63CD2"/>
    <w:rsid w:val="00D87DC2"/>
    <w:rsid w:val="00D94B05"/>
    <w:rsid w:val="00DB7394"/>
    <w:rsid w:val="00E02C2B"/>
    <w:rsid w:val="00E21C27"/>
    <w:rsid w:val="00E24E95"/>
    <w:rsid w:val="00E26BCF"/>
    <w:rsid w:val="00E52109"/>
    <w:rsid w:val="00E70122"/>
    <w:rsid w:val="00E75317"/>
    <w:rsid w:val="00E909F8"/>
    <w:rsid w:val="00E92335"/>
    <w:rsid w:val="00EC0CE6"/>
    <w:rsid w:val="00EC7C1D"/>
    <w:rsid w:val="00ED626B"/>
    <w:rsid w:val="00ED6C48"/>
    <w:rsid w:val="00EE3045"/>
    <w:rsid w:val="00F65F5D"/>
    <w:rsid w:val="00F86A3A"/>
    <w:rsid w:val="00F96A5D"/>
    <w:rsid w:val="00FE026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616EE6"/>
  <w15:docId w15:val="{7AE2E9AD-1CBD-42E6-82FF-418933A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tabs>
        <w:tab w:val="num" w:pos="1209"/>
      </w:tabs>
      <w:spacing w:after="0" w:line="240" w:lineRule="auto"/>
      <w:ind w:left="1209" w:right="0" w:hanging="360"/>
      <w:jc w:val="left"/>
      <w:outlineLvl w:val="0"/>
    </w:pPr>
  </w:style>
  <w:style w:type="paragraph" w:styleId="Heading2">
    <w:name w:val="heading 2"/>
    <w:basedOn w:val="Normal"/>
    <w:next w:val="Normal"/>
    <w:link w:val="Heading2Char"/>
    <w:qFormat/>
    <w:rsid w:val="004A2814"/>
    <w:pPr>
      <w:numPr>
        <w:ilvl w:val="1"/>
        <w:numId w:val="14"/>
      </w:numPr>
      <w:spacing w:line="240" w:lineRule="auto"/>
      <w:outlineLvl w:val="1"/>
    </w:pPr>
  </w:style>
  <w:style w:type="paragraph" w:styleId="Heading3">
    <w:name w:val="heading 3"/>
    <w:basedOn w:val="Normal"/>
    <w:next w:val="Normal"/>
    <w:link w:val="Heading3Char"/>
    <w:qFormat/>
    <w:rsid w:val="004A2814"/>
    <w:pPr>
      <w:numPr>
        <w:ilvl w:val="2"/>
        <w:numId w:val="14"/>
      </w:numPr>
      <w:spacing w:line="240" w:lineRule="auto"/>
      <w:outlineLvl w:val="2"/>
    </w:pPr>
  </w:style>
  <w:style w:type="paragraph" w:styleId="Heading4">
    <w:name w:val="heading 4"/>
    <w:basedOn w:val="Normal"/>
    <w:next w:val="Normal"/>
    <w:link w:val="Heading4Char"/>
    <w:qFormat/>
    <w:rsid w:val="004A2814"/>
    <w:pPr>
      <w:numPr>
        <w:ilvl w:val="3"/>
        <w:numId w:val="14"/>
      </w:numPr>
      <w:spacing w:line="240" w:lineRule="auto"/>
      <w:outlineLvl w:val="3"/>
    </w:pPr>
  </w:style>
  <w:style w:type="paragraph" w:styleId="Heading5">
    <w:name w:val="heading 5"/>
    <w:basedOn w:val="Normal"/>
    <w:next w:val="Normal"/>
    <w:link w:val="Heading5Char"/>
    <w:qFormat/>
    <w:rsid w:val="004A2814"/>
    <w:pPr>
      <w:numPr>
        <w:ilvl w:val="4"/>
        <w:numId w:val="14"/>
      </w:numPr>
      <w:spacing w:line="240" w:lineRule="auto"/>
      <w:outlineLvl w:val="4"/>
    </w:pPr>
  </w:style>
  <w:style w:type="paragraph" w:styleId="Heading6">
    <w:name w:val="heading 6"/>
    <w:basedOn w:val="Normal"/>
    <w:next w:val="Normal"/>
    <w:link w:val="Heading6Char"/>
    <w:qFormat/>
    <w:rsid w:val="004A2814"/>
    <w:pPr>
      <w:numPr>
        <w:ilvl w:val="5"/>
        <w:numId w:val="14"/>
      </w:numPr>
      <w:spacing w:line="240" w:lineRule="auto"/>
      <w:outlineLvl w:val="5"/>
    </w:pPr>
  </w:style>
  <w:style w:type="paragraph" w:styleId="Heading7">
    <w:name w:val="heading 7"/>
    <w:basedOn w:val="Normal"/>
    <w:next w:val="Normal"/>
    <w:link w:val="Heading7Char"/>
    <w:qFormat/>
    <w:rsid w:val="004A2814"/>
    <w:pPr>
      <w:numPr>
        <w:ilvl w:val="6"/>
        <w:numId w:val="14"/>
      </w:numPr>
      <w:spacing w:line="240" w:lineRule="auto"/>
      <w:outlineLvl w:val="6"/>
    </w:pPr>
  </w:style>
  <w:style w:type="paragraph" w:styleId="Heading8">
    <w:name w:val="heading 8"/>
    <w:basedOn w:val="Normal"/>
    <w:next w:val="Normal"/>
    <w:link w:val="Heading8Char"/>
    <w:qFormat/>
    <w:rsid w:val="004A2814"/>
    <w:pPr>
      <w:numPr>
        <w:ilvl w:val="7"/>
        <w:numId w:val="14"/>
      </w:numPr>
      <w:spacing w:line="240" w:lineRule="auto"/>
      <w:outlineLvl w:val="7"/>
    </w:pPr>
  </w:style>
  <w:style w:type="paragraph" w:styleId="Heading9">
    <w:name w:val="heading 9"/>
    <w:basedOn w:val="Normal"/>
    <w:next w:val="Normal"/>
    <w:link w:val="Heading9Char"/>
    <w:qFormat/>
    <w:rsid w:val="004A2814"/>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lainText">
    <w:name w:val="Plain Text"/>
    <w:basedOn w:val="Normal"/>
    <w:link w:val="PlainTextChar"/>
    <w:semiHidden/>
    <w:rsid w:val="00E24E95"/>
    <w:pPr>
      <w:kinsoku/>
      <w:overflowPunct/>
      <w:autoSpaceDE/>
      <w:autoSpaceDN/>
      <w:adjustRightInd/>
      <w:snapToGrid/>
    </w:pPr>
    <w:rPr>
      <w:rFonts w:eastAsia="Times New Roman" w:cs="Courier New"/>
      <w:lang w:eastAsia="en-US"/>
    </w:rPr>
  </w:style>
  <w:style w:type="character" w:customStyle="1" w:styleId="PlainTextChar">
    <w:name w:val="Plain Text Char"/>
    <w:basedOn w:val="DefaultParagraphFont"/>
    <w:link w:val="PlainText"/>
    <w:semiHidden/>
    <w:rsid w:val="00E24E95"/>
    <w:rPr>
      <w:rFonts w:eastAsia="Times New Roman" w:cs="Courier New"/>
      <w:lang w:eastAsia="en-US"/>
    </w:rPr>
  </w:style>
  <w:style w:type="paragraph" w:styleId="BodyText">
    <w:name w:val="Body Text"/>
    <w:basedOn w:val="Normal"/>
    <w:next w:val="Normal"/>
    <w:link w:val="BodyTextChar"/>
    <w:semiHidden/>
    <w:rsid w:val="00E24E95"/>
    <w:pPr>
      <w:kinsoku/>
      <w:overflowPunct/>
      <w:autoSpaceDE/>
      <w:autoSpaceDN/>
      <w:adjustRightInd/>
      <w:snapToGrid/>
    </w:pPr>
    <w:rPr>
      <w:rFonts w:eastAsia="Times New Roman"/>
      <w:lang w:eastAsia="en-US"/>
    </w:rPr>
  </w:style>
  <w:style w:type="character" w:customStyle="1" w:styleId="BodyTextChar">
    <w:name w:val="Body Text Char"/>
    <w:basedOn w:val="DefaultParagraphFont"/>
    <w:link w:val="BodyText"/>
    <w:semiHidden/>
    <w:rsid w:val="00E24E95"/>
    <w:rPr>
      <w:rFonts w:eastAsia="Times New Roman"/>
      <w:lang w:eastAsia="en-US"/>
    </w:rPr>
  </w:style>
  <w:style w:type="paragraph" w:styleId="BodyTextIndent">
    <w:name w:val="Body Text Indent"/>
    <w:basedOn w:val="Normal"/>
    <w:link w:val="BodyTextIndentChar"/>
    <w:semiHidden/>
    <w:rsid w:val="00E24E95"/>
    <w:pPr>
      <w:kinsoku/>
      <w:overflowPunct/>
      <w:autoSpaceDE/>
      <w:autoSpaceDN/>
      <w:adjustRightInd/>
      <w:snapToGrid/>
      <w:spacing w:after="120"/>
      <w:ind w:left="283"/>
    </w:pPr>
    <w:rPr>
      <w:rFonts w:eastAsia="Times New Roman"/>
      <w:lang w:eastAsia="en-US"/>
    </w:rPr>
  </w:style>
  <w:style w:type="character" w:customStyle="1" w:styleId="BodyTextIndentChar">
    <w:name w:val="Body Text Indent Char"/>
    <w:basedOn w:val="DefaultParagraphFont"/>
    <w:link w:val="BodyTextIndent"/>
    <w:semiHidden/>
    <w:rsid w:val="00E24E95"/>
    <w:rPr>
      <w:rFonts w:eastAsia="Times New Roman"/>
      <w:lang w:eastAsia="en-US"/>
    </w:rPr>
  </w:style>
  <w:style w:type="paragraph" w:styleId="BlockText">
    <w:name w:val="Block Text"/>
    <w:basedOn w:val="Normal"/>
    <w:semiHidden/>
    <w:rsid w:val="00E24E95"/>
    <w:pPr>
      <w:kinsoku/>
      <w:overflowPunct/>
      <w:autoSpaceDE/>
      <w:autoSpaceDN/>
      <w:adjustRightInd/>
      <w:snapToGrid/>
      <w:ind w:left="1440" w:right="1440"/>
    </w:pPr>
    <w:rPr>
      <w:rFonts w:eastAsia="Times New Roman"/>
      <w:lang w:eastAsia="en-US"/>
    </w:rPr>
  </w:style>
  <w:style w:type="character" w:styleId="CommentReference">
    <w:name w:val="annotation reference"/>
    <w:semiHidden/>
    <w:rsid w:val="00E24E95"/>
    <w:rPr>
      <w:sz w:val="6"/>
    </w:rPr>
  </w:style>
  <w:style w:type="paragraph" w:styleId="CommentText">
    <w:name w:val="annotation text"/>
    <w:basedOn w:val="Normal"/>
    <w:link w:val="CommentTextChar"/>
    <w:semiHidden/>
    <w:rsid w:val="00E24E95"/>
    <w:pPr>
      <w:kinsoku/>
      <w:overflowPunct/>
      <w:autoSpaceDE/>
      <w:autoSpaceDN/>
      <w:adjustRightInd/>
      <w:snapToGrid/>
    </w:pPr>
    <w:rPr>
      <w:rFonts w:eastAsia="Times New Roman"/>
      <w:lang w:eastAsia="en-US"/>
    </w:rPr>
  </w:style>
  <w:style w:type="character" w:customStyle="1" w:styleId="CommentTextChar">
    <w:name w:val="Comment Text Char"/>
    <w:basedOn w:val="DefaultParagraphFont"/>
    <w:link w:val="CommentText"/>
    <w:semiHidden/>
    <w:rsid w:val="00E24E95"/>
    <w:rPr>
      <w:rFonts w:eastAsia="Times New Roman"/>
      <w:lang w:eastAsia="en-US"/>
    </w:rPr>
  </w:style>
  <w:style w:type="character" w:styleId="LineNumber">
    <w:name w:val="line number"/>
    <w:semiHidden/>
    <w:rsid w:val="00E24E95"/>
    <w:rPr>
      <w:sz w:val="14"/>
    </w:rPr>
  </w:style>
  <w:style w:type="numbering" w:styleId="ArticleSection">
    <w:name w:val="Outline List 3"/>
    <w:basedOn w:val="NoList"/>
    <w:semiHidden/>
    <w:rsid w:val="00E24E95"/>
    <w:pPr>
      <w:numPr>
        <w:numId w:val="24"/>
      </w:numPr>
    </w:pPr>
  </w:style>
  <w:style w:type="paragraph" w:styleId="BodyText2">
    <w:name w:val="Body Text 2"/>
    <w:basedOn w:val="Normal"/>
    <w:link w:val="BodyText2Char"/>
    <w:semiHidden/>
    <w:rsid w:val="00E24E95"/>
    <w:pPr>
      <w:kinsoku/>
      <w:overflowPunct/>
      <w:autoSpaceDE/>
      <w:autoSpaceDN/>
      <w:adjustRightInd/>
      <w:snapToGrid/>
      <w:spacing w:after="120" w:line="480" w:lineRule="auto"/>
    </w:pPr>
    <w:rPr>
      <w:rFonts w:eastAsia="Times New Roman"/>
      <w:lang w:eastAsia="en-US"/>
    </w:rPr>
  </w:style>
  <w:style w:type="character" w:customStyle="1" w:styleId="BodyText2Char">
    <w:name w:val="Body Text 2 Char"/>
    <w:basedOn w:val="DefaultParagraphFont"/>
    <w:link w:val="BodyText2"/>
    <w:semiHidden/>
    <w:rsid w:val="00E24E95"/>
    <w:rPr>
      <w:rFonts w:eastAsia="Times New Roman"/>
      <w:lang w:eastAsia="en-US"/>
    </w:rPr>
  </w:style>
  <w:style w:type="paragraph" w:styleId="BodyText3">
    <w:name w:val="Body Text 3"/>
    <w:basedOn w:val="Normal"/>
    <w:link w:val="BodyText3Char"/>
    <w:semiHidden/>
    <w:rsid w:val="00E24E95"/>
    <w:pPr>
      <w:kinsoku/>
      <w:overflowPunct/>
      <w:autoSpaceDE/>
      <w:autoSpaceDN/>
      <w:adjustRightInd/>
      <w:snapToGrid/>
      <w:spacing w:after="120"/>
    </w:pPr>
    <w:rPr>
      <w:rFonts w:eastAsia="Times New Roman"/>
      <w:sz w:val="16"/>
      <w:szCs w:val="16"/>
      <w:lang w:eastAsia="en-US"/>
    </w:rPr>
  </w:style>
  <w:style w:type="character" w:customStyle="1" w:styleId="BodyText3Char">
    <w:name w:val="Body Text 3 Char"/>
    <w:basedOn w:val="DefaultParagraphFont"/>
    <w:link w:val="BodyText3"/>
    <w:semiHidden/>
    <w:rsid w:val="00E24E95"/>
    <w:rPr>
      <w:rFonts w:eastAsia="Times New Roman"/>
      <w:sz w:val="16"/>
      <w:szCs w:val="16"/>
      <w:lang w:eastAsia="en-US"/>
    </w:rPr>
  </w:style>
  <w:style w:type="paragraph" w:styleId="BodyTextFirstIndent">
    <w:name w:val="Body Text First Indent"/>
    <w:basedOn w:val="BodyText"/>
    <w:link w:val="BodyTextFirstIndentChar"/>
    <w:semiHidden/>
    <w:rsid w:val="00E24E95"/>
    <w:pPr>
      <w:spacing w:after="120"/>
      <w:ind w:firstLine="210"/>
    </w:pPr>
  </w:style>
  <w:style w:type="character" w:customStyle="1" w:styleId="BodyTextFirstIndentChar">
    <w:name w:val="Body Text First Indent Char"/>
    <w:basedOn w:val="BodyTextChar"/>
    <w:link w:val="BodyTextFirstIndent"/>
    <w:semiHidden/>
    <w:rsid w:val="00E24E95"/>
    <w:rPr>
      <w:rFonts w:eastAsia="Times New Roman"/>
      <w:lang w:eastAsia="en-US"/>
    </w:rPr>
  </w:style>
  <w:style w:type="paragraph" w:styleId="BodyTextFirstIndent2">
    <w:name w:val="Body Text First Indent 2"/>
    <w:basedOn w:val="BodyTextIndent"/>
    <w:link w:val="BodyTextFirstIndent2Char"/>
    <w:semiHidden/>
    <w:rsid w:val="00E24E95"/>
    <w:pPr>
      <w:ind w:firstLine="210"/>
    </w:pPr>
  </w:style>
  <w:style w:type="character" w:customStyle="1" w:styleId="BodyTextFirstIndent2Char">
    <w:name w:val="Body Text First Indent 2 Char"/>
    <w:basedOn w:val="BodyTextIndentChar"/>
    <w:link w:val="BodyTextFirstIndent2"/>
    <w:semiHidden/>
    <w:rsid w:val="00E24E95"/>
    <w:rPr>
      <w:rFonts w:eastAsia="Times New Roman"/>
      <w:lang w:eastAsia="en-US"/>
    </w:rPr>
  </w:style>
  <w:style w:type="paragraph" w:styleId="BodyTextIndent2">
    <w:name w:val="Body Text Indent 2"/>
    <w:basedOn w:val="Normal"/>
    <w:link w:val="BodyTextIndent2Char"/>
    <w:semiHidden/>
    <w:rsid w:val="00E24E95"/>
    <w:pPr>
      <w:kinsoku/>
      <w:overflowPunct/>
      <w:autoSpaceDE/>
      <w:autoSpaceDN/>
      <w:adjustRightInd/>
      <w:snapToGrid/>
      <w:spacing w:after="120" w:line="480" w:lineRule="auto"/>
      <w:ind w:left="283"/>
    </w:pPr>
    <w:rPr>
      <w:rFonts w:eastAsia="Times New Roman"/>
      <w:lang w:eastAsia="en-US"/>
    </w:rPr>
  </w:style>
  <w:style w:type="character" w:customStyle="1" w:styleId="BodyTextIndent2Char">
    <w:name w:val="Body Text Indent 2 Char"/>
    <w:basedOn w:val="DefaultParagraphFont"/>
    <w:link w:val="BodyTextIndent2"/>
    <w:semiHidden/>
    <w:rsid w:val="00E24E95"/>
    <w:rPr>
      <w:rFonts w:eastAsia="Times New Roman"/>
      <w:lang w:eastAsia="en-US"/>
    </w:rPr>
  </w:style>
  <w:style w:type="paragraph" w:styleId="BodyTextIndent3">
    <w:name w:val="Body Text Indent 3"/>
    <w:basedOn w:val="Normal"/>
    <w:link w:val="BodyTextIndent3Char"/>
    <w:semiHidden/>
    <w:rsid w:val="00E24E95"/>
    <w:pPr>
      <w:kinsoku/>
      <w:overflowPunct/>
      <w:autoSpaceDE/>
      <w:autoSpaceDN/>
      <w:adjustRightInd/>
      <w:snapToGrid/>
      <w:spacing w:after="120"/>
      <w:ind w:left="283"/>
    </w:pPr>
    <w:rPr>
      <w:rFonts w:eastAsia="Times New Roman"/>
      <w:sz w:val="16"/>
      <w:szCs w:val="16"/>
      <w:lang w:eastAsia="en-US"/>
    </w:rPr>
  </w:style>
  <w:style w:type="character" w:customStyle="1" w:styleId="BodyTextIndent3Char">
    <w:name w:val="Body Text Indent 3 Char"/>
    <w:basedOn w:val="DefaultParagraphFont"/>
    <w:link w:val="BodyTextIndent3"/>
    <w:semiHidden/>
    <w:rsid w:val="00E24E95"/>
    <w:rPr>
      <w:rFonts w:eastAsia="Times New Roman"/>
      <w:sz w:val="16"/>
      <w:szCs w:val="16"/>
      <w:lang w:eastAsia="en-US"/>
    </w:rPr>
  </w:style>
  <w:style w:type="paragraph" w:styleId="Closing">
    <w:name w:val="Closing"/>
    <w:basedOn w:val="Normal"/>
    <w:link w:val="ClosingChar"/>
    <w:semiHidden/>
    <w:rsid w:val="00E24E95"/>
    <w:pPr>
      <w:kinsoku/>
      <w:overflowPunct/>
      <w:autoSpaceDE/>
      <w:autoSpaceDN/>
      <w:adjustRightInd/>
      <w:snapToGrid/>
      <w:ind w:left="4252"/>
    </w:pPr>
    <w:rPr>
      <w:rFonts w:eastAsia="Times New Roman"/>
      <w:lang w:eastAsia="en-US"/>
    </w:rPr>
  </w:style>
  <w:style w:type="character" w:customStyle="1" w:styleId="ClosingChar">
    <w:name w:val="Closing Char"/>
    <w:basedOn w:val="DefaultParagraphFont"/>
    <w:link w:val="Closing"/>
    <w:semiHidden/>
    <w:rsid w:val="00E24E95"/>
    <w:rPr>
      <w:rFonts w:eastAsia="Times New Roman"/>
      <w:lang w:eastAsia="en-US"/>
    </w:rPr>
  </w:style>
  <w:style w:type="paragraph" w:styleId="Date">
    <w:name w:val="Date"/>
    <w:basedOn w:val="Normal"/>
    <w:next w:val="Normal"/>
    <w:link w:val="DateChar"/>
    <w:semiHidden/>
    <w:rsid w:val="00E24E95"/>
    <w:pPr>
      <w:kinsoku/>
      <w:overflowPunct/>
      <w:autoSpaceDE/>
      <w:autoSpaceDN/>
      <w:adjustRightInd/>
      <w:snapToGrid/>
    </w:pPr>
    <w:rPr>
      <w:rFonts w:eastAsia="Times New Roman"/>
      <w:lang w:eastAsia="en-US"/>
    </w:rPr>
  </w:style>
  <w:style w:type="character" w:customStyle="1" w:styleId="DateChar">
    <w:name w:val="Date Char"/>
    <w:basedOn w:val="DefaultParagraphFont"/>
    <w:link w:val="Date"/>
    <w:semiHidden/>
    <w:rsid w:val="00E24E95"/>
    <w:rPr>
      <w:rFonts w:eastAsia="Times New Roman"/>
      <w:lang w:eastAsia="en-US"/>
    </w:rPr>
  </w:style>
  <w:style w:type="paragraph" w:styleId="E-mailSignature">
    <w:name w:val="E-mail Signature"/>
    <w:basedOn w:val="Normal"/>
    <w:link w:val="E-mailSignatureChar"/>
    <w:semiHidden/>
    <w:rsid w:val="00E24E95"/>
    <w:pPr>
      <w:kinsoku/>
      <w:overflowPunct/>
      <w:autoSpaceDE/>
      <w:autoSpaceDN/>
      <w:adjustRightInd/>
      <w:snapToGrid/>
    </w:pPr>
    <w:rPr>
      <w:rFonts w:eastAsia="Times New Roman"/>
      <w:lang w:eastAsia="en-US"/>
    </w:rPr>
  </w:style>
  <w:style w:type="character" w:customStyle="1" w:styleId="E-mailSignatureChar">
    <w:name w:val="E-mail Signature Char"/>
    <w:basedOn w:val="DefaultParagraphFont"/>
    <w:link w:val="E-mailSignature"/>
    <w:semiHidden/>
    <w:rsid w:val="00E24E95"/>
    <w:rPr>
      <w:rFonts w:eastAsia="Times New Roman"/>
      <w:lang w:eastAsia="en-US"/>
    </w:rPr>
  </w:style>
  <w:style w:type="character" w:styleId="Emphasis">
    <w:name w:val="Emphasis"/>
    <w:qFormat/>
    <w:rsid w:val="00E24E95"/>
    <w:rPr>
      <w:i/>
      <w:iCs/>
    </w:rPr>
  </w:style>
  <w:style w:type="paragraph" w:styleId="EnvelopeReturn">
    <w:name w:val="envelope return"/>
    <w:basedOn w:val="Normal"/>
    <w:semiHidden/>
    <w:rsid w:val="00E24E95"/>
    <w:pPr>
      <w:kinsoku/>
      <w:overflowPunct/>
      <w:autoSpaceDE/>
      <w:autoSpaceDN/>
      <w:adjustRightInd/>
      <w:snapToGrid/>
    </w:pPr>
    <w:rPr>
      <w:rFonts w:ascii="Arial" w:eastAsia="Times New Roman" w:hAnsi="Arial" w:cs="Arial"/>
      <w:lang w:eastAsia="en-US"/>
    </w:rPr>
  </w:style>
  <w:style w:type="character" w:styleId="HTMLAcronym">
    <w:name w:val="HTML Acronym"/>
    <w:basedOn w:val="DefaultParagraphFont"/>
    <w:semiHidden/>
    <w:rsid w:val="00E24E95"/>
  </w:style>
  <w:style w:type="paragraph" w:styleId="HTMLAddress">
    <w:name w:val="HTML Address"/>
    <w:basedOn w:val="Normal"/>
    <w:link w:val="HTMLAddressChar"/>
    <w:semiHidden/>
    <w:rsid w:val="00E24E95"/>
    <w:pPr>
      <w:kinsoku/>
      <w:overflowPunct/>
      <w:autoSpaceDE/>
      <w:autoSpaceDN/>
      <w:adjustRightInd/>
      <w:snapToGrid/>
    </w:pPr>
    <w:rPr>
      <w:rFonts w:eastAsia="Times New Roman"/>
      <w:i/>
      <w:iCs/>
      <w:lang w:eastAsia="en-US"/>
    </w:rPr>
  </w:style>
  <w:style w:type="character" w:customStyle="1" w:styleId="HTMLAddressChar">
    <w:name w:val="HTML Address Char"/>
    <w:basedOn w:val="DefaultParagraphFont"/>
    <w:link w:val="HTMLAddress"/>
    <w:semiHidden/>
    <w:rsid w:val="00E24E95"/>
    <w:rPr>
      <w:rFonts w:eastAsia="Times New Roman"/>
      <w:i/>
      <w:iCs/>
      <w:lang w:eastAsia="en-US"/>
    </w:rPr>
  </w:style>
  <w:style w:type="character" w:styleId="HTMLCite">
    <w:name w:val="HTML Cite"/>
    <w:semiHidden/>
    <w:rsid w:val="00E24E95"/>
    <w:rPr>
      <w:i/>
      <w:iCs/>
    </w:rPr>
  </w:style>
  <w:style w:type="character" w:styleId="HTMLCode">
    <w:name w:val="HTML Code"/>
    <w:semiHidden/>
    <w:rsid w:val="00E24E95"/>
    <w:rPr>
      <w:rFonts w:ascii="Courier New" w:hAnsi="Courier New" w:cs="Courier New"/>
      <w:sz w:val="20"/>
      <w:szCs w:val="20"/>
    </w:rPr>
  </w:style>
  <w:style w:type="character" w:styleId="HTMLDefinition">
    <w:name w:val="HTML Definition"/>
    <w:semiHidden/>
    <w:rsid w:val="00E24E95"/>
    <w:rPr>
      <w:i/>
      <w:iCs/>
    </w:rPr>
  </w:style>
  <w:style w:type="character" w:styleId="HTMLKeyboard">
    <w:name w:val="HTML Keyboard"/>
    <w:semiHidden/>
    <w:rsid w:val="00E24E95"/>
    <w:rPr>
      <w:rFonts w:ascii="Courier New" w:hAnsi="Courier New" w:cs="Courier New"/>
      <w:sz w:val="20"/>
      <w:szCs w:val="20"/>
    </w:rPr>
  </w:style>
  <w:style w:type="paragraph" w:styleId="HTMLPreformatted">
    <w:name w:val="HTML Preformatted"/>
    <w:basedOn w:val="Normal"/>
    <w:link w:val="HTMLPreformattedChar"/>
    <w:semiHidden/>
    <w:rsid w:val="00E24E95"/>
    <w:pPr>
      <w:kinsoku/>
      <w:overflowPunct/>
      <w:autoSpaceDE/>
      <w:autoSpaceDN/>
      <w:adjustRightInd/>
      <w:snapToGrid/>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semiHidden/>
    <w:rsid w:val="00E24E95"/>
    <w:rPr>
      <w:rFonts w:ascii="Courier New" w:eastAsia="Times New Roman" w:hAnsi="Courier New" w:cs="Courier New"/>
      <w:lang w:eastAsia="en-US"/>
    </w:rPr>
  </w:style>
  <w:style w:type="character" w:styleId="HTMLSample">
    <w:name w:val="HTML Sample"/>
    <w:semiHidden/>
    <w:rsid w:val="00E24E95"/>
    <w:rPr>
      <w:rFonts w:ascii="Courier New" w:hAnsi="Courier New" w:cs="Courier New"/>
    </w:rPr>
  </w:style>
  <w:style w:type="character" w:styleId="HTMLTypewriter">
    <w:name w:val="HTML Typewriter"/>
    <w:semiHidden/>
    <w:rsid w:val="00E24E95"/>
    <w:rPr>
      <w:rFonts w:ascii="Courier New" w:hAnsi="Courier New" w:cs="Courier New"/>
      <w:sz w:val="20"/>
      <w:szCs w:val="20"/>
    </w:rPr>
  </w:style>
  <w:style w:type="character" w:styleId="HTMLVariable">
    <w:name w:val="HTML Variable"/>
    <w:semiHidden/>
    <w:rsid w:val="00E24E95"/>
    <w:rPr>
      <w:i/>
      <w:iCs/>
    </w:rPr>
  </w:style>
  <w:style w:type="paragraph" w:styleId="List">
    <w:name w:val="List"/>
    <w:basedOn w:val="Normal"/>
    <w:semiHidden/>
    <w:rsid w:val="00E24E95"/>
    <w:pPr>
      <w:kinsoku/>
      <w:overflowPunct/>
      <w:autoSpaceDE/>
      <w:autoSpaceDN/>
      <w:adjustRightInd/>
      <w:snapToGrid/>
      <w:ind w:left="283" w:hanging="283"/>
    </w:pPr>
    <w:rPr>
      <w:rFonts w:eastAsia="Times New Roman"/>
      <w:lang w:eastAsia="en-US"/>
    </w:rPr>
  </w:style>
  <w:style w:type="paragraph" w:styleId="List2">
    <w:name w:val="List 2"/>
    <w:basedOn w:val="Normal"/>
    <w:semiHidden/>
    <w:rsid w:val="00E24E95"/>
    <w:pPr>
      <w:kinsoku/>
      <w:overflowPunct/>
      <w:autoSpaceDE/>
      <w:autoSpaceDN/>
      <w:adjustRightInd/>
      <w:snapToGrid/>
      <w:ind w:left="566" w:hanging="283"/>
    </w:pPr>
    <w:rPr>
      <w:rFonts w:eastAsia="Times New Roman"/>
      <w:lang w:eastAsia="en-US"/>
    </w:rPr>
  </w:style>
  <w:style w:type="paragraph" w:styleId="List3">
    <w:name w:val="List 3"/>
    <w:basedOn w:val="Normal"/>
    <w:semiHidden/>
    <w:rsid w:val="00E24E95"/>
    <w:pPr>
      <w:kinsoku/>
      <w:overflowPunct/>
      <w:autoSpaceDE/>
      <w:autoSpaceDN/>
      <w:adjustRightInd/>
      <w:snapToGrid/>
      <w:ind w:left="849" w:hanging="283"/>
    </w:pPr>
    <w:rPr>
      <w:rFonts w:eastAsia="Times New Roman"/>
      <w:lang w:eastAsia="en-US"/>
    </w:rPr>
  </w:style>
  <w:style w:type="paragraph" w:styleId="List4">
    <w:name w:val="List 4"/>
    <w:basedOn w:val="Normal"/>
    <w:semiHidden/>
    <w:rsid w:val="00E24E95"/>
    <w:pPr>
      <w:kinsoku/>
      <w:overflowPunct/>
      <w:autoSpaceDE/>
      <w:autoSpaceDN/>
      <w:adjustRightInd/>
      <w:snapToGrid/>
      <w:ind w:left="1132" w:hanging="283"/>
    </w:pPr>
    <w:rPr>
      <w:rFonts w:eastAsia="Times New Roman"/>
      <w:lang w:eastAsia="en-US"/>
    </w:rPr>
  </w:style>
  <w:style w:type="paragraph" w:styleId="List5">
    <w:name w:val="List 5"/>
    <w:basedOn w:val="Normal"/>
    <w:semiHidden/>
    <w:rsid w:val="00E24E95"/>
    <w:pPr>
      <w:kinsoku/>
      <w:overflowPunct/>
      <w:autoSpaceDE/>
      <w:autoSpaceDN/>
      <w:adjustRightInd/>
      <w:snapToGrid/>
      <w:ind w:left="1415" w:hanging="283"/>
    </w:pPr>
    <w:rPr>
      <w:rFonts w:eastAsia="Times New Roman"/>
      <w:lang w:eastAsia="en-US"/>
    </w:rPr>
  </w:style>
  <w:style w:type="paragraph" w:styleId="ListBullet">
    <w:name w:val="List Bullet"/>
    <w:basedOn w:val="Normal"/>
    <w:semiHidden/>
    <w:rsid w:val="00E24E95"/>
    <w:pPr>
      <w:numPr>
        <w:numId w:val="19"/>
      </w:numPr>
      <w:kinsoku/>
      <w:overflowPunct/>
      <w:autoSpaceDE/>
      <w:autoSpaceDN/>
      <w:adjustRightInd/>
      <w:snapToGrid/>
    </w:pPr>
    <w:rPr>
      <w:rFonts w:eastAsia="Times New Roman"/>
      <w:lang w:eastAsia="en-US"/>
    </w:rPr>
  </w:style>
  <w:style w:type="paragraph" w:styleId="ListBullet2">
    <w:name w:val="List Bullet 2"/>
    <w:basedOn w:val="Normal"/>
    <w:semiHidden/>
    <w:rsid w:val="00E24E95"/>
    <w:pPr>
      <w:numPr>
        <w:numId w:val="20"/>
      </w:numPr>
      <w:kinsoku/>
      <w:overflowPunct/>
      <w:autoSpaceDE/>
      <w:autoSpaceDN/>
      <w:adjustRightInd/>
      <w:snapToGrid/>
    </w:pPr>
    <w:rPr>
      <w:rFonts w:eastAsia="Times New Roman"/>
      <w:lang w:eastAsia="en-US"/>
    </w:rPr>
  </w:style>
  <w:style w:type="paragraph" w:styleId="ListBullet3">
    <w:name w:val="List Bullet 3"/>
    <w:basedOn w:val="Normal"/>
    <w:semiHidden/>
    <w:rsid w:val="00E24E95"/>
    <w:pPr>
      <w:numPr>
        <w:numId w:val="21"/>
      </w:numPr>
      <w:kinsoku/>
      <w:overflowPunct/>
      <w:autoSpaceDE/>
      <w:autoSpaceDN/>
      <w:adjustRightInd/>
      <w:snapToGrid/>
    </w:pPr>
    <w:rPr>
      <w:rFonts w:eastAsia="Times New Roman"/>
      <w:lang w:eastAsia="en-US"/>
    </w:rPr>
  </w:style>
  <w:style w:type="paragraph" w:styleId="ListBullet4">
    <w:name w:val="List Bullet 4"/>
    <w:basedOn w:val="Normal"/>
    <w:semiHidden/>
    <w:rsid w:val="00E24E95"/>
    <w:pPr>
      <w:numPr>
        <w:numId w:val="22"/>
      </w:numPr>
      <w:kinsoku/>
      <w:overflowPunct/>
      <w:autoSpaceDE/>
      <w:autoSpaceDN/>
      <w:adjustRightInd/>
      <w:snapToGrid/>
    </w:pPr>
    <w:rPr>
      <w:rFonts w:eastAsia="Times New Roman"/>
      <w:lang w:eastAsia="en-US"/>
    </w:rPr>
  </w:style>
  <w:style w:type="paragraph" w:styleId="ListBullet5">
    <w:name w:val="List Bullet 5"/>
    <w:basedOn w:val="Normal"/>
    <w:semiHidden/>
    <w:rsid w:val="00E24E95"/>
    <w:pPr>
      <w:numPr>
        <w:numId w:val="23"/>
      </w:numPr>
      <w:kinsoku/>
      <w:overflowPunct/>
      <w:autoSpaceDE/>
      <w:autoSpaceDN/>
      <w:adjustRightInd/>
      <w:snapToGrid/>
    </w:pPr>
    <w:rPr>
      <w:rFonts w:eastAsia="Times New Roman"/>
      <w:lang w:eastAsia="en-US"/>
    </w:rPr>
  </w:style>
  <w:style w:type="paragraph" w:styleId="ListContinue">
    <w:name w:val="List Continue"/>
    <w:basedOn w:val="Normal"/>
    <w:semiHidden/>
    <w:rsid w:val="00E24E95"/>
    <w:pPr>
      <w:kinsoku/>
      <w:overflowPunct/>
      <w:autoSpaceDE/>
      <w:autoSpaceDN/>
      <w:adjustRightInd/>
      <w:snapToGrid/>
      <w:spacing w:after="120"/>
      <w:ind w:left="283"/>
    </w:pPr>
    <w:rPr>
      <w:rFonts w:eastAsia="Times New Roman"/>
      <w:lang w:eastAsia="en-US"/>
    </w:rPr>
  </w:style>
  <w:style w:type="paragraph" w:styleId="ListContinue2">
    <w:name w:val="List Continue 2"/>
    <w:basedOn w:val="Normal"/>
    <w:semiHidden/>
    <w:rsid w:val="00E24E95"/>
    <w:pPr>
      <w:kinsoku/>
      <w:overflowPunct/>
      <w:autoSpaceDE/>
      <w:autoSpaceDN/>
      <w:adjustRightInd/>
      <w:snapToGrid/>
      <w:spacing w:after="120"/>
      <w:ind w:left="566"/>
    </w:pPr>
    <w:rPr>
      <w:rFonts w:eastAsia="Times New Roman"/>
      <w:lang w:eastAsia="en-US"/>
    </w:rPr>
  </w:style>
  <w:style w:type="paragraph" w:styleId="ListContinue3">
    <w:name w:val="List Continue 3"/>
    <w:basedOn w:val="Normal"/>
    <w:semiHidden/>
    <w:rsid w:val="00E24E95"/>
    <w:pPr>
      <w:kinsoku/>
      <w:overflowPunct/>
      <w:autoSpaceDE/>
      <w:autoSpaceDN/>
      <w:adjustRightInd/>
      <w:snapToGrid/>
      <w:spacing w:after="120"/>
      <w:ind w:left="849"/>
    </w:pPr>
    <w:rPr>
      <w:rFonts w:eastAsia="Times New Roman"/>
      <w:lang w:eastAsia="en-US"/>
    </w:rPr>
  </w:style>
  <w:style w:type="paragraph" w:styleId="ListContinue4">
    <w:name w:val="List Continue 4"/>
    <w:basedOn w:val="Normal"/>
    <w:semiHidden/>
    <w:rsid w:val="00E24E95"/>
    <w:pPr>
      <w:kinsoku/>
      <w:overflowPunct/>
      <w:autoSpaceDE/>
      <w:autoSpaceDN/>
      <w:adjustRightInd/>
      <w:snapToGrid/>
      <w:spacing w:after="120"/>
      <w:ind w:left="1132"/>
    </w:pPr>
    <w:rPr>
      <w:rFonts w:eastAsia="Times New Roman"/>
      <w:lang w:eastAsia="en-US"/>
    </w:rPr>
  </w:style>
  <w:style w:type="paragraph" w:styleId="ListContinue5">
    <w:name w:val="List Continue 5"/>
    <w:basedOn w:val="Normal"/>
    <w:semiHidden/>
    <w:rsid w:val="00E24E95"/>
    <w:pPr>
      <w:kinsoku/>
      <w:overflowPunct/>
      <w:autoSpaceDE/>
      <w:autoSpaceDN/>
      <w:adjustRightInd/>
      <w:snapToGrid/>
      <w:spacing w:after="120"/>
      <w:ind w:left="1415"/>
    </w:pPr>
    <w:rPr>
      <w:rFonts w:eastAsia="Times New Roman"/>
      <w:lang w:eastAsia="en-US"/>
    </w:rPr>
  </w:style>
  <w:style w:type="paragraph" w:styleId="ListNumber">
    <w:name w:val="List Number"/>
    <w:basedOn w:val="Normal"/>
    <w:semiHidden/>
    <w:rsid w:val="00E24E95"/>
    <w:pPr>
      <w:numPr>
        <w:numId w:val="18"/>
      </w:numPr>
      <w:kinsoku/>
      <w:overflowPunct/>
      <w:autoSpaceDE/>
      <w:autoSpaceDN/>
      <w:adjustRightInd/>
      <w:snapToGrid/>
    </w:pPr>
    <w:rPr>
      <w:rFonts w:eastAsia="Times New Roman"/>
      <w:lang w:eastAsia="en-US"/>
    </w:rPr>
  </w:style>
  <w:style w:type="paragraph" w:styleId="ListNumber2">
    <w:name w:val="List Number 2"/>
    <w:basedOn w:val="Normal"/>
    <w:semiHidden/>
    <w:rsid w:val="00E24E95"/>
    <w:pPr>
      <w:numPr>
        <w:numId w:val="17"/>
      </w:numPr>
      <w:kinsoku/>
      <w:overflowPunct/>
      <w:autoSpaceDE/>
      <w:autoSpaceDN/>
      <w:adjustRightInd/>
      <w:snapToGrid/>
    </w:pPr>
    <w:rPr>
      <w:rFonts w:eastAsia="Times New Roman"/>
      <w:lang w:eastAsia="en-US"/>
    </w:rPr>
  </w:style>
  <w:style w:type="paragraph" w:styleId="ListNumber3">
    <w:name w:val="List Number 3"/>
    <w:basedOn w:val="Normal"/>
    <w:semiHidden/>
    <w:rsid w:val="00E24E95"/>
    <w:pPr>
      <w:numPr>
        <w:numId w:val="16"/>
      </w:numPr>
      <w:kinsoku/>
      <w:overflowPunct/>
      <w:autoSpaceDE/>
      <w:autoSpaceDN/>
      <w:adjustRightInd/>
      <w:snapToGrid/>
    </w:pPr>
    <w:rPr>
      <w:rFonts w:eastAsia="Times New Roman"/>
      <w:lang w:eastAsia="en-US"/>
    </w:rPr>
  </w:style>
  <w:style w:type="paragraph" w:styleId="ListNumber4">
    <w:name w:val="List Number 4"/>
    <w:basedOn w:val="Normal"/>
    <w:semiHidden/>
    <w:rsid w:val="00E24E95"/>
    <w:pPr>
      <w:tabs>
        <w:tab w:val="num" w:pos="1209"/>
      </w:tabs>
      <w:kinsoku/>
      <w:overflowPunct/>
      <w:autoSpaceDE/>
      <w:autoSpaceDN/>
      <w:adjustRightInd/>
      <w:snapToGrid/>
      <w:ind w:left="1209" w:hanging="360"/>
    </w:pPr>
    <w:rPr>
      <w:rFonts w:eastAsia="Times New Roman"/>
      <w:lang w:eastAsia="en-US"/>
    </w:rPr>
  </w:style>
  <w:style w:type="paragraph" w:styleId="ListNumber5">
    <w:name w:val="List Number 5"/>
    <w:basedOn w:val="Normal"/>
    <w:semiHidden/>
    <w:rsid w:val="00E24E95"/>
    <w:pPr>
      <w:numPr>
        <w:numId w:val="15"/>
      </w:numPr>
      <w:kinsoku/>
      <w:overflowPunct/>
      <w:autoSpaceDE/>
      <w:autoSpaceDN/>
      <w:adjustRightInd/>
      <w:snapToGrid/>
    </w:pPr>
    <w:rPr>
      <w:rFonts w:eastAsia="Times New Roman"/>
      <w:lang w:eastAsia="en-US"/>
    </w:rPr>
  </w:style>
  <w:style w:type="paragraph" w:styleId="MessageHeader">
    <w:name w:val="Message Header"/>
    <w:basedOn w:val="Normal"/>
    <w:link w:val="MessageHeaderChar"/>
    <w:semiHidden/>
    <w:rsid w:val="00E24E95"/>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sid w:val="00E24E95"/>
    <w:rPr>
      <w:rFonts w:ascii="Arial" w:eastAsia="Times New Roman" w:hAnsi="Arial" w:cs="Arial"/>
      <w:sz w:val="24"/>
      <w:szCs w:val="24"/>
      <w:shd w:val="pct20" w:color="auto" w:fill="auto"/>
      <w:lang w:eastAsia="en-US"/>
    </w:rPr>
  </w:style>
  <w:style w:type="paragraph" w:styleId="NormalWeb">
    <w:name w:val="Normal (Web)"/>
    <w:basedOn w:val="Normal"/>
    <w:semiHidden/>
    <w:rsid w:val="00E24E95"/>
    <w:pPr>
      <w:kinsoku/>
      <w:overflowPunct/>
      <w:autoSpaceDE/>
      <w:autoSpaceDN/>
      <w:adjustRightInd/>
      <w:snapToGrid/>
    </w:pPr>
    <w:rPr>
      <w:rFonts w:eastAsia="Times New Roman"/>
      <w:sz w:val="24"/>
      <w:szCs w:val="24"/>
      <w:lang w:eastAsia="en-US"/>
    </w:rPr>
  </w:style>
  <w:style w:type="paragraph" w:styleId="NormalIndent">
    <w:name w:val="Normal Indent"/>
    <w:basedOn w:val="Normal"/>
    <w:semiHidden/>
    <w:rsid w:val="00E24E95"/>
    <w:pPr>
      <w:kinsoku/>
      <w:overflowPunct/>
      <w:autoSpaceDE/>
      <w:autoSpaceDN/>
      <w:adjustRightInd/>
      <w:snapToGrid/>
      <w:ind w:left="567"/>
    </w:pPr>
    <w:rPr>
      <w:rFonts w:eastAsia="Times New Roman"/>
      <w:lang w:eastAsia="en-US"/>
    </w:rPr>
  </w:style>
  <w:style w:type="paragraph" w:styleId="NoteHeading">
    <w:name w:val="Note Heading"/>
    <w:basedOn w:val="Normal"/>
    <w:next w:val="Normal"/>
    <w:link w:val="NoteHeadingChar"/>
    <w:semiHidden/>
    <w:rsid w:val="00E24E95"/>
    <w:pPr>
      <w:kinsoku/>
      <w:overflowPunct/>
      <w:autoSpaceDE/>
      <w:autoSpaceDN/>
      <w:adjustRightInd/>
      <w:snapToGrid/>
    </w:pPr>
    <w:rPr>
      <w:rFonts w:eastAsia="Times New Roman"/>
      <w:lang w:eastAsia="en-US"/>
    </w:rPr>
  </w:style>
  <w:style w:type="character" w:customStyle="1" w:styleId="NoteHeadingChar">
    <w:name w:val="Note Heading Char"/>
    <w:basedOn w:val="DefaultParagraphFont"/>
    <w:link w:val="NoteHeading"/>
    <w:semiHidden/>
    <w:rsid w:val="00E24E95"/>
    <w:rPr>
      <w:rFonts w:eastAsia="Times New Roman"/>
      <w:lang w:eastAsia="en-US"/>
    </w:rPr>
  </w:style>
  <w:style w:type="paragraph" w:styleId="Salutation">
    <w:name w:val="Salutation"/>
    <w:basedOn w:val="Normal"/>
    <w:next w:val="Normal"/>
    <w:link w:val="SalutationChar"/>
    <w:semiHidden/>
    <w:rsid w:val="00E24E95"/>
    <w:pPr>
      <w:kinsoku/>
      <w:overflowPunct/>
      <w:autoSpaceDE/>
      <w:autoSpaceDN/>
      <w:adjustRightInd/>
      <w:snapToGrid/>
    </w:pPr>
    <w:rPr>
      <w:rFonts w:eastAsia="Times New Roman"/>
      <w:lang w:eastAsia="en-US"/>
    </w:rPr>
  </w:style>
  <w:style w:type="character" w:customStyle="1" w:styleId="SalutationChar">
    <w:name w:val="Salutation Char"/>
    <w:basedOn w:val="DefaultParagraphFont"/>
    <w:link w:val="Salutation"/>
    <w:semiHidden/>
    <w:rsid w:val="00E24E95"/>
    <w:rPr>
      <w:rFonts w:eastAsia="Times New Roman"/>
      <w:lang w:eastAsia="en-US"/>
    </w:rPr>
  </w:style>
  <w:style w:type="paragraph" w:styleId="Signature">
    <w:name w:val="Signature"/>
    <w:basedOn w:val="Normal"/>
    <w:link w:val="SignatureChar"/>
    <w:semiHidden/>
    <w:rsid w:val="00E24E95"/>
    <w:pPr>
      <w:kinsoku/>
      <w:overflowPunct/>
      <w:autoSpaceDE/>
      <w:autoSpaceDN/>
      <w:adjustRightInd/>
      <w:snapToGrid/>
      <w:ind w:left="4252"/>
    </w:pPr>
    <w:rPr>
      <w:rFonts w:eastAsia="Times New Roman"/>
      <w:lang w:eastAsia="en-US"/>
    </w:rPr>
  </w:style>
  <w:style w:type="character" w:customStyle="1" w:styleId="SignatureChar">
    <w:name w:val="Signature Char"/>
    <w:basedOn w:val="DefaultParagraphFont"/>
    <w:link w:val="Signature"/>
    <w:semiHidden/>
    <w:rsid w:val="00E24E95"/>
    <w:rPr>
      <w:rFonts w:eastAsia="Times New Roman"/>
      <w:lang w:eastAsia="en-US"/>
    </w:rPr>
  </w:style>
  <w:style w:type="character" w:styleId="Strong">
    <w:name w:val="Strong"/>
    <w:qFormat/>
    <w:rsid w:val="00E24E95"/>
    <w:rPr>
      <w:b/>
      <w:bCs/>
    </w:rPr>
  </w:style>
  <w:style w:type="paragraph" w:styleId="Subtitle">
    <w:name w:val="Subtitle"/>
    <w:basedOn w:val="Normal"/>
    <w:link w:val="SubtitleChar"/>
    <w:qFormat/>
    <w:rsid w:val="00E24E95"/>
    <w:pPr>
      <w:kinsoku/>
      <w:overflowPunct/>
      <w:autoSpaceDE/>
      <w:autoSpaceDN/>
      <w:adjustRightInd/>
      <w:snapToGrid/>
      <w:spacing w:after="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E24E95"/>
    <w:rPr>
      <w:rFonts w:ascii="Arial" w:eastAsia="Times New Roman" w:hAnsi="Arial" w:cs="Arial"/>
      <w:sz w:val="24"/>
      <w:szCs w:val="24"/>
      <w:lang w:eastAsia="en-US"/>
    </w:rPr>
  </w:style>
  <w:style w:type="table" w:styleId="Table3Deffects1">
    <w:name w:val="Table 3D effects 1"/>
    <w:basedOn w:val="TableNormal"/>
    <w:semiHidden/>
    <w:rsid w:val="00E24E95"/>
    <w:pPr>
      <w:suppressAutoHyphens/>
      <w:spacing w:after="0" w:line="240" w:lineRule="atLeast"/>
    </w:pPr>
    <w:rPr>
      <w:rFonts w:eastAsia="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24E95"/>
    <w:pPr>
      <w:suppressAutoHyphens/>
      <w:spacing w:after="0" w:line="240" w:lineRule="atLeast"/>
    </w:pPr>
    <w:rPr>
      <w:rFonts w:eastAsia="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24E95"/>
    <w:pPr>
      <w:suppressAutoHyphens/>
      <w:spacing w:after="0" w:line="240" w:lineRule="atLeast"/>
    </w:pPr>
    <w:rPr>
      <w:rFonts w:eastAsia="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24E95"/>
    <w:pPr>
      <w:suppressAutoHyphens/>
      <w:spacing w:after="0" w:line="240" w:lineRule="atLeast"/>
    </w:pPr>
    <w:rPr>
      <w:rFonts w:eastAsia="Times New Roman"/>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24E95"/>
    <w:pPr>
      <w:suppressAutoHyphens/>
      <w:spacing w:after="0" w:line="240" w:lineRule="atLeast"/>
    </w:pPr>
    <w:rPr>
      <w:rFonts w:eastAsia="Times New Roman"/>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24E95"/>
    <w:pPr>
      <w:suppressAutoHyphens/>
      <w:spacing w:after="0" w:line="240" w:lineRule="atLeast"/>
    </w:pPr>
    <w:rPr>
      <w:rFonts w:eastAsia="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24E95"/>
    <w:pPr>
      <w:suppressAutoHyphens/>
      <w:spacing w:after="0" w:line="240" w:lineRule="atLeast"/>
    </w:pPr>
    <w:rPr>
      <w:rFonts w:eastAsia="Times New Roman"/>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24E95"/>
    <w:pPr>
      <w:suppressAutoHyphens/>
      <w:spacing w:after="0" w:line="240" w:lineRule="atLeast"/>
    </w:pPr>
    <w:rPr>
      <w:rFonts w:eastAsia="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24E95"/>
    <w:pPr>
      <w:suppressAutoHyphens/>
      <w:spacing w:after="0" w:line="240" w:lineRule="atLeast"/>
    </w:pPr>
    <w:rPr>
      <w:rFonts w:eastAsia="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24E95"/>
    <w:pPr>
      <w:suppressAutoHyphens/>
      <w:spacing w:after="0" w:line="240" w:lineRule="atLeast"/>
    </w:pPr>
    <w:rPr>
      <w:rFonts w:eastAsia="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24E95"/>
    <w:pPr>
      <w:suppressAutoHyphens/>
      <w:spacing w:after="0" w:line="240" w:lineRule="atLeast"/>
    </w:pPr>
    <w:rPr>
      <w:rFonts w:eastAsia="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24E95"/>
    <w:pPr>
      <w:suppressAutoHyphens/>
      <w:spacing w:after="0" w:line="240" w:lineRule="atLeast"/>
    </w:pPr>
    <w:rPr>
      <w:rFonts w:eastAsia="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24E95"/>
    <w:pPr>
      <w:suppressAutoHyphens/>
      <w:spacing w:after="0" w:line="240" w:lineRule="atLeast"/>
    </w:pPr>
    <w:rPr>
      <w:rFonts w:eastAsia="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24E95"/>
    <w:pPr>
      <w:suppressAutoHyphens/>
      <w:spacing w:after="0" w:line="240" w:lineRule="atLeast"/>
    </w:pPr>
    <w:rPr>
      <w:rFonts w:eastAsia="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24E95"/>
    <w:pPr>
      <w:suppressAutoHyphens/>
      <w:spacing w:after="0" w:line="240" w:lineRule="atLeast"/>
    </w:pPr>
    <w:rPr>
      <w:rFonts w:eastAsia="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24E95"/>
    <w:pPr>
      <w:suppressAutoHyphens/>
      <w:spacing w:after="0" w:line="240" w:lineRule="atLeast"/>
    </w:pPr>
    <w:rPr>
      <w:rFonts w:eastAsia="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24E95"/>
    <w:pPr>
      <w:suppressAutoHyphens/>
      <w:spacing w:after="0" w:line="240" w:lineRule="atLeast"/>
    </w:pPr>
    <w:rPr>
      <w:rFonts w:eastAsia="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24E95"/>
    <w:pPr>
      <w:suppressAutoHyphens/>
      <w:spacing w:after="0"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24E95"/>
    <w:pPr>
      <w:suppressAutoHyphens/>
      <w:spacing w:after="0" w:line="240" w:lineRule="atLeast"/>
    </w:pPr>
    <w:rPr>
      <w:rFonts w:eastAsia="Times New Roman"/>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24E95"/>
    <w:pPr>
      <w:suppressAutoHyphens/>
      <w:spacing w:after="0" w:line="240" w:lineRule="atLeast"/>
    </w:pPr>
    <w:rPr>
      <w:rFonts w:eastAsia="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24E95"/>
    <w:pPr>
      <w:suppressAutoHyphens/>
      <w:spacing w:after="0" w:line="240" w:lineRule="atLeast"/>
    </w:pPr>
    <w:rPr>
      <w:rFonts w:eastAsia="Times New Roman"/>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24E95"/>
    <w:pPr>
      <w:suppressAutoHyphens/>
      <w:spacing w:after="0"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24E95"/>
    <w:pPr>
      <w:suppressAutoHyphens/>
      <w:spacing w:after="0"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24E95"/>
    <w:pPr>
      <w:suppressAutoHyphens/>
      <w:spacing w:after="0" w:line="240" w:lineRule="atLeast"/>
    </w:pPr>
    <w:rPr>
      <w:rFonts w:eastAsia="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24E95"/>
    <w:pPr>
      <w:suppressAutoHyphens/>
      <w:spacing w:after="0" w:line="240" w:lineRule="atLeast"/>
    </w:pPr>
    <w:rPr>
      <w:rFonts w:eastAsia="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24E95"/>
    <w:pPr>
      <w:suppressAutoHyphens/>
      <w:spacing w:after="0" w:line="240" w:lineRule="atLeast"/>
    </w:pPr>
    <w:rPr>
      <w:rFonts w:eastAsia="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24E95"/>
    <w:pPr>
      <w:suppressAutoHyphens/>
      <w:spacing w:after="0" w:line="240" w:lineRule="atLeast"/>
    </w:pPr>
    <w:rPr>
      <w:rFonts w:eastAsia="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24E95"/>
    <w:pPr>
      <w:suppressAutoHyphens/>
      <w:spacing w:after="0" w:line="240" w:lineRule="atLeast"/>
    </w:pPr>
    <w:rPr>
      <w:rFonts w:eastAsia="Times New Roman"/>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24E95"/>
    <w:pPr>
      <w:suppressAutoHyphens/>
      <w:spacing w:after="0"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24E95"/>
    <w:pPr>
      <w:suppressAutoHyphens/>
      <w:spacing w:after="0"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24E95"/>
    <w:pPr>
      <w:suppressAutoHyphens/>
      <w:spacing w:after="0"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24E95"/>
    <w:pPr>
      <w:suppressAutoHyphens/>
      <w:spacing w:after="0" w:line="240" w:lineRule="atLeast"/>
    </w:pPr>
    <w:rPr>
      <w:rFonts w:eastAsia="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24E95"/>
    <w:pPr>
      <w:suppressAutoHyphens/>
      <w:spacing w:after="0"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24E95"/>
    <w:pPr>
      <w:suppressAutoHyphens/>
      <w:spacing w:after="0"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24E95"/>
    <w:pPr>
      <w:suppressAutoHyphens/>
      <w:spacing w:after="0" w:line="240" w:lineRule="atLeast"/>
    </w:pPr>
    <w:rPr>
      <w:rFonts w:eastAsia="Times New Roman"/>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24E95"/>
    <w:pPr>
      <w:suppressAutoHyphens/>
      <w:spacing w:after="0" w:line="240" w:lineRule="atLeast"/>
    </w:pPr>
    <w:rPr>
      <w:rFonts w:eastAsia="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24E95"/>
    <w:pPr>
      <w:suppressAutoHyphens/>
      <w:spacing w:after="0"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24E95"/>
    <w:pPr>
      <w:suppressAutoHyphens/>
      <w:spacing w:after="0" w:line="240" w:lineRule="atLeast"/>
    </w:pPr>
    <w:rPr>
      <w:rFonts w:eastAsia="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24E95"/>
    <w:pPr>
      <w:suppressAutoHyphens/>
      <w:spacing w:after="0" w:line="240" w:lineRule="atLeast"/>
    </w:pPr>
    <w:rPr>
      <w:rFonts w:eastAsia="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24E95"/>
    <w:pPr>
      <w:suppressAutoHyphens/>
      <w:spacing w:after="0"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24E95"/>
    <w:pPr>
      <w:suppressAutoHyphens/>
      <w:spacing w:after="0" w:line="240" w:lineRule="atLeast"/>
    </w:pPr>
    <w:rPr>
      <w:rFonts w:eastAsia="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24E95"/>
    <w:pPr>
      <w:suppressAutoHyphens/>
      <w:spacing w:after="0" w:line="240" w:lineRule="atLeast"/>
    </w:pPr>
    <w:rPr>
      <w:rFonts w:eastAsia="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24E95"/>
    <w:pPr>
      <w:suppressAutoHyphens/>
      <w:spacing w:after="0" w:line="240" w:lineRule="atLeast"/>
    </w:pPr>
    <w:rPr>
      <w:rFonts w:eastAsia="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24E95"/>
    <w:pPr>
      <w:kinsoku/>
      <w:overflowPunct/>
      <w:autoSpaceDE/>
      <w:autoSpaceDN/>
      <w:adjustRightInd/>
      <w:snapToGrid/>
      <w:spacing w:before="240" w:after="60"/>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E24E95"/>
    <w:rPr>
      <w:rFonts w:ascii="Arial" w:eastAsia="Times New Roman" w:hAnsi="Arial" w:cs="Arial"/>
      <w:b/>
      <w:bCs/>
      <w:kern w:val="28"/>
      <w:sz w:val="32"/>
      <w:szCs w:val="32"/>
      <w:lang w:eastAsia="en-US"/>
    </w:rPr>
  </w:style>
  <w:style w:type="paragraph" w:styleId="EnvelopeAddress">
    <w:name w:val="envelope address"/>
    <w:basedOn w:val="Normal"/>
    <w:semiHidden/>
    <w:rsid w:val="00E24E95"/>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eastAsia="en-US"/>
    </w:rPr>
  </w:style>
  <w:style w:type="character" w:customStyle="1" w:styleId="HChGChar">
    <w:name w:val="_ H _Ch_G Char"/>
    <w:link w:val="HChG"/>
    <w:rsid w:val="00E24E95"/>
    <w:rPr>
      <w:b/>
      <w:sz w:val="28"/>
    </w:rPr>
  </w:style>
  <w:style w:type="character" w:customStyle="1" w:styleId="SingleTxtGChar">
    <w:name w:val="_ Single Txt_G Char"/>
    <w:link w:val="SingleTxtG"/>
    <w:rsid w:val="00E24E95"/>
  </w:style>
  <w:style w:type="paragraph" w:styleId="ListParagraph">
    <w:name w:val="List Paragraph"/>
    <w:basedOn w:val="Normal"/>
    <w:uiPriority w:val="34"/>
    <w:qFormat/>
    <w:rsid w:val="00E24E95"/>
    <w:pPr>
      <w:suppressAutoHyphens w:val="0"/>
      <w:kinsoku/>
      <w:overflowPunct/>
      <w:autoSpaceDE/>
      <w:autoSpaceDN/>
      <w:adjustRightInd/>
      <w:snapToGrid/>
      <w:spacing w:after="200" w:line="276" w:lineRule="auto"/>
      <w:ind w:left="720"/>
      <w:contextualSpacing/>
    </w:pPr>
    <w:rPr>
      <w:rFonts w:ascii="Arial" w:hAnsi="Arial" w:cs="Arial Unicode MS"/>
      <w:szCs w:val="36"/>
      <w:lang w:val="en-US"/>
    </w:rPr>
  </w:style>
  <w:style w:type="character" w:customStyle="1" w:styleId="H1GChar">
    <w:name w:val="_ H_1_G Char"/>
    <w:link w:val="H1G"/>
    <w:locked/>
    <w:rsid w:val="00E24E95"/>
    <w:rPr>
      <w:b/>
      <w:sz w:val="24"/>
    </w:rPr>
  </w:style>
  <w:style w:type="paragraph" w:customStyle="1" w:styleId="Style1">
    <w:name w:val="Style1"/>
    <w:basedOn w:val="Normal"/>
    <w:rsid w:val="00E24E95"/>
    <w:pPr>
      <w:suppressAutoHyphens w:val="0"/>
      <w:kinsoku/>
      <w:overflowPunct/>
      <w:autoSpaceDE/>
      <w:autoSpaceDN/>
      <w:adjustRightInd/>
      <w:snapToGrid/>
      <w:spacing w:line="240" w:lineRule="auto"/>
    </w:pPr>
    <w:rPr>
      <w:rFonts w:eastAsia="Times New Roman"/>
      <w:sz w:val="22"/>
      <w:szCs w:val="24"/>
      <w:lang w:eastAsia="en-US"/>
    </w:rPr>
  </w:style>
  <w:style w:type="paragraph" w:customStyle="1" w:styleId="Default">
    <w:name w:val="Default"/>
    <w:rsid w:val="00E24E95"/>
    <w:pPr>
      <w:autoSpaceDE w:val="0"/>
      <w:autoSpaceDN w:val="0"/>
      <w:adjustRightInd w:val="0"/>
      <w:spacing w:after="0" w:line="240" w:lineRule="auto"/>
    </w:pPr>
    <w:rPr>
      <w:rFonts w:eastAsia="Times New Roman"/>
      <w:color w:val="000000"/>
      <w:sz w:val="24"/>
      <w:szCs w:val="24"/>
      <w:lang w:val="fr-FR" w:eastAsia="fr-FR"/>
    </w:rPr>
  </w:style>
  <w:style w:type="paragraph" w:styleId="CommentSubject">
    <w:name w:val="annotation subject"/>
    <w:basedOn w:val="CommentText"/>
    <w:next w:val="CommentText"/>
    <w:link w:val="CommentSubjectChar"/>
    <w:semiHidden/>
    <w:unhideWhenUsed/>
    <w:rsid w:val="00E24E95"/>
    <w:pPr>
      <w:spacing w:line="240" w:lineRule="auto"/>
    </w:pPr>
    <w:rPr>
      <w:b/>
      <w:bCs/>
    </w:rPr>
  </w:style>
  <w:style w:type="character" w:customStyle="1" w:styleId="CommentSubjectChar">
    <w:name w:val="Comment Subject Char"/>
    <w:basedOn w:val="CommentTextChar"/>
    <w:link w:val="CommentSubject"/>
    <w:semiHidden/>
    <w:rsid w:val="00E24E95"/>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801C-ABBD-43A9-9DDC-084B680F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TotalTime>
  <Pages>17</Pages>
  <Words>6633</Words>
  <Characters>37813</Characters>
  <Application>Microsoft Office Word</Application>
  <DocSecurity>0</DocSecurity>
  <Lines>315</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ST/SG/AC.10/C.3/2020/20</vt:lpstr>
      <vt:lpstr/>
    </vt:vector>
  </TitlesOfParts>
  <Company/>
  <LinksUpToDate>false</LinksUpToDate>
  <CharactersWithSpaces>44358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ST/SG/AC.10/C.3/2020/20</dc:title>
  <dc:subject/>
  <dc:creator>Rosa</dc:creator>
  <cp:keywords>ST/SG/AC.10/C.4/2020/5</cp:keywords>
  <cp:lastModifiedBy>Laurence Berthet</cp:lastModifiedBy>
  <cp:revision>3</cp:revision>
  <cp:lastPrinted>2020-04-21T07:51:00Z</cp:lastPrinted>
  <dcterms:created xsi:type="dcterms:W3CDTF">2020-04-21T07:51:00Z</dcterms:created>
  <dcterms:modified xsi:type="dcterms:W3CDTF">2020-04-21T07:54:00Z</dcterms:modified>
</cp:coreProperties>
</file>